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January 8, 2004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67310</wp:posOffset>
            </wp:positionV>
            <wp:extent cx="72694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57150</wp:posOffset>
            </wp:positionV>
            <wp:extent cx="1327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S-4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REGISTRATION STATEMENT</w:t>
      </w:r>
    </w:p>
    <w:p>
      <w:pPr>
        <w:jc w:val="center"/>
        <w:spacing w:after="0" w:line="232" w:lineRule="auto"/>
        <w:rPr>
          <w:sz w:val="20"/>
          <w:szCs w:val="20"/>
          <w:color w:val="auto"/>
        </w:rPr>
      </w:pPr>
      <w:r>
        <w:rPr>
          <w:rFonts w:ascii="Arial" w:cs="Arial" w:eastAsia="Arial" w:hAnsi="Arial"/>
          <w:sz w:val="19"/>
          <w:szCs w:val="19"/>
          <w:b w:val="1"/>
          <w:bCs w:val="1"/>
          <w:i w:val="1"/>
          <w:iCs w:val="1"/>
          <w:color w:val="auto"/>
        </w:rPr>
        <w:t>Under</w:t>
      </w: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57150</wp:posOffset>
            </wp:positionV>
            <wp:extent cx="1327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The Scotts Company</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and the guarantors identified in footnote 1 below</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40" w:lineRule="exact"/>
        <w:rPr>
          <w:sz w:val="24"/>
          <w:szCs w:val="24"/>
          <w:color w:val="auto"/>
        </w:rPr>
      </w:pPr>
    </w:p>
    <w:tbl>
      <w:tblPr>
        <w:tblLayout w:type="fixed"/>
        <w:tblInd w:w="1080" w:type="dxa"/>
        <w:tblCellMar>
          <w:top w:w="0" w:type="dxa"/>
          <w:left w:w="0" w:type="dxa"/>
          <w:bottom w:w="0" w:type="dxa"/>
          <w:right w:w="0" w:type="dxa"/>
        </w:tblCellMar>
      </w:tblPr>
      <w:tr>
        <w:trPr>
          <w:trHeight w:val="188"/>
        </w:trPr>
        <w:tc>
          <w:tcPr>
            <w:tcW w:w="1640" w:type="dxa"/>
            <w:vAlign w:val="bottom"/>
          </w:tcPr>
          <w:p>
            <w:pPr>
              <w:jc w:val="center"/>
              <w:ind w:right="55"/>
              <w:spacing w:after="0"/>
              <w:rPr>
                <w:sz w:val="20"/>
                <w:szCs w:val="20"/>
                <w:color w:val="auto"/>
              </w:rPr>
            </w:pPr>
            <w:r>
              <w:rPr>
                <w:rFonts w:ascii="Arial" w:cs="Arial" w:eastAsia="Arial" w:hAnsi="Arial"/>
                <w:sz w:val="15"/>
                <w:szCs w:val="15"/>
                <w:b w:val="1"/>
                <w:bCs w:val="1"/>
                <w:color w:val="auto"/>
                <w:w w:val="93"/>
              </w:rPr>
              <w:t>Ohio</w:t>
            </w:r>
          </w:p>
        </w:tc>
        <w:tc>
          <w:tcPr>
            <w:tcW w:w="4060" w:type="dxa"/>
            <w:vAlign w:val="bottom"/>
            <w:gridSpan w:val="2"/>
          </w:tcPr>
          <w:p>
            <w:pPr>
              <w:jc w:val="center"/>
              <w:ind w:left="1930"/>
              <w:spacing w:after="0"/>
              <w:rPr>
                <w:sz w:val="20"/>
                <w:szCs w:val="20"/>
                <w:color w:val="auto"/>
              </w:rPr>
            </w:pPr>
            <w:r>
              <w:rPr>
                <w:rFonts w:ascii="Arial" w:cs="Arial" w:eastAsia="Arial" w:hAnsi="Arial"/>
                <w:sz w:val="15"/>
                <w:szCs w:val="15"/>
                <w:b w:val="1"/>
                <w:bCs w:val="1"/>
                <w:color w:val="auto"/>
                <w:w w:val="89"/>
              </w:rPr>
              <w:t>2875</w:t>
            </w:r>
          </w:p>
        </w:tc>
        <w:tc>
          <w:tcPr>
            <w:tcW w:w="2120" w:type="dxa"/>
            <w:vAlign w:val="bottom"/>
          </w:tcPr>
          <w:p>
            <w:pPr>
              <w:spacing w:after="0"/>
              <w:rPr>
                <w:sz w:val="16"/>
                <w:szCs w:val="16"/>
                <w:color w:val="auto"/>
              </w:rPr>
            </w:pPr>
          </w:p>
        </w:tc>
        <w:tc>
          <w:tcPr>
            <w:tcW w:w="1180" w:type="dxa"/>
            <w:vAlign w:val="bottom"/>
          </w:tcPr>
          <w:p>
            <w:pPr>
              <w:jc w:val="center"/>
              <w:ind w:left="215"/>
              <w:spacing w:after="0"/>
              <w:rPr>
                <w:sz w:val="20"/>
                <w:szCs w:val="20"/>
                <w:color w:val="auto"/>
              </w:rPr>
            </w:pPr>
            <w:r>
              <w:rPr>
                <w:rFonts w:ascii="Arial" w:cs="Arial" w:eastAsia="Arial" w:hAnsi="Arial"/>
                <w:sz w:val="15"/>
                <w:szCs w:val="15"/>
                <w:b w:val="1"/>
                <w:bCs w:val="1"/>
                <w:color w:val="auto"/>
                <w:w w:val="92"/>
              </w:rPr>
              <w:t>31-1414921</w:t>
            </w:r>
          </w:p>
        </w:tc>
      </w:tr>
      <w:tr>
        <w:trPr>
          <w:trHeight w:val="129"/>
        </w:trPr>
        <w:tc>
          <w:tcPr>
            <w:tcW w:w="1640" w:type="dxa"/>
            <w:vAlign w:val="bottom"/>
          </w:tcPr>
          <w:p>
            <w:pPr>
              <w:jc w:val="center"/>
              <w:ind w:right="35"/>
              <w:spacing w:after="0" w:line="129" w:lineRule="exact"/>
              <w:rPr>
                <w:sz w:val="20"/>
                <w:szCs w:val="20"/>
                <w:color w:val="auto"/>
              </w:rPr>
            </w:pPr>
            <w:r>
              <w:rPr>
                <w:rFonts w:ascii="Arial" w:cs="Arial" w:eastAsia="Arial" w:hAnsi="Arial"/>
                <w:sz w:val="12"/>
                <w:szCs w:val="12"/>
                <w:b w:val="1"/>
                <w:bCs w:val="1"/>
                <w:color w:val="auto"/>
                <w:w w:val="88"/>
              </w:rPr>
              <w:t>(State or other jurisdiction of</w:t>
            </w:r>
          </w:p>
        </w:tc>
        <w:tc>
          <w:tcPr>
            <w:tcW w:w="1960" w:type="dxa"/>
            <w:vAlign w:val="bottom"/>
          </w:tcPr>
          <w:p>
            <w:pPr>
              <w:spacing w:after="0"/>
              <w:rPr>
                <w:sz w:val="11"/>
                <w:szCs w:val="11"/>
                <w:color w:val="auto"/>
              </w:rPr>
            </w:pPr>
          </w:p>
        </w:tc>
        <w:tc>
          <w:tcPr>
            <w:tcW w:w="4220" w:type="dxa"/>
            <w:vAlign w:val="bottom"/>
            <w:gridSpan w:val="2"/>
          </w:tcPr>
          <w:p>
            <w:pPr>
              <w:jc w:val="center"/>
              <w:ind w:right="2080"/>
              <w:spacing w:after="0" w:line="129" w:lineRule="exact"/>
              <w:rPr>
                <w:sz w:val="20"/>
                <w:szCs w:val="20"/>
                <w:color w:val="auto"/>
              </w:rPr>
            </w:pPr>
            <w:r>
              <w:rPr>
                <w:rFonts w:ascii="Arial" w:cs="Arial" w:eastAsia="Arial" w:hAnsi="Arial"/>
                <w:sz w:val="12"/>
                <w:szCs w:val="12"/>
                <w:b w:val="1"/>
                <w:bCs w:val="1"/>
                <w:color w:val="auto"/>
                <w:w w:val="92"/>
              </w:rPr>
              <w:t>(Primary Standard Industrial</w:t>
            </w:r>
          </w:p>
        </w:tc>
        <w:tc>
          <w:tcPr>
            <w:tcW w:w="1180" w:type="dxa"/>
            <w:vAlign w:val="bottom"/>
          </w:tcPr>
          <w:p>
            <w:pPr>
              <w:jc w:val="center"/>
              <w:ind w:left="215"/>
              <w:spacing w:after="0" w:line="129" w:lineRule="exact"/>
              <w:rPr>
                <w:sz w:val="20"/>
                <w:szCs w:val="20"/>
                <w:color w:val="auto"/>
              </w:rPr>
            </w:pPr>
            <w:r>
              <w:rPr>
                <w:rFonts w:ascii="Arial" w:cs="Arial" w:eastAsia="Arial" w:hAnsi="Arial"/>
                <w:sz w:val="12"/>
                <w:szCs w:val="12"/>
                <w:b w:val="1"/>
                <w:bCs w:val="1"/>
                <w:color w:val="auto"/>
                <w:w w:val="93"/>
              </w:rPr>
              <w:t>(I.R.S. Employer</w:t>
            </w:r>
          </w:p>
        </w:tc>
      </w:tr>
      <w:tr>
        <w:trPr>
          <w:trHeight w:val="151"/>
        </w:trPr>
        <w:tc>
          <w:tcPr>
            <w:tcW w:w="1640" w:type="dxa"/>
            <w:vAlign w:val="bottom"/>
          </w:tcPr>
          <w:p>
            <w:pPr>
              <w:jc w:val="center"/>
              <w:ind w:right="35"/>
              <w:spacing w:after="0"/>
              <w:rPr>
                <w:sz w:val="20"/>
                <w:szCs w:val="20"/>
                <w:color w:val="auto"/>
              </w:rPr>
            </w:pPr>
            <w:r>
              <w:rPr>
                <w:rFonts w:ascii="Arial" w:cs="Arial" w:eastAsia="Arial" w:hAnsi="Arial"/>
                <w:sz w:val="12"/>
                <w:szCs w:val="12"/>
                <w:b w:val="1"/>
                <w:bCs w:val="1"/>
                <w:color w:val="auto"/>
                <w:w w:val="89"/>
              </w:rPr>
              <w:t>incorporation or organization)</w:t>
            </w:r>
          </w:p>
        </w:tc>
        <w:tc>
          <w:tcPr>
            <w:tcW w:w="1960" w:type="dxa"/>
            <w:vAlign w:val="bottom"/>
          </w:tcPr>
          <w:p>
            <w:pPr>
              <w:spacing w:after="0"/>
              <w:rPr>
                <w:sz w:val="13"/>
                <w:szCs w:val="13"/>
                <w:color w:val="auto"/>
              </w:rPr>
            </w:pPr>
          </w:p>
        </w:tc>
        <w:tc>
          <w:tcPr>
            <w:tcW w:w="422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88"/>
              </w:rPr>
              <w:t>Classification Code Number)</w:t>
            </w:r>
          </w:p>
        </w:tc>
        <w:tc>
          <w:tcPr>
            <w:tcW w:w="1180" w:type="dxa"/>
            <w:vAlign w:val="bottom"/>
          </w:tcPr>
          <w:p>
            <w:pPr>
              <w:jc w:val="center"/>
              <w:ind w:left="195"/>
              <w:spacing w:after="0"/>
              <w:rPr>
                <w:sz w:val="20"/>
                <w:szCs w:val="20"/>
                <w:color w:val="auto"/>
              </w:rPr>
            </w:pPr>
            <w:r>
              <w:rPr>
                <w:rFonts w:ascii="Arial" w:cs="Arial" w:eastAsia="Arial" w:hAnsi="Arial"/>
                <w:sz w:val="12"/>
                <w:szCs w:val="12"/>
                <w:b w:val="1"/>
                <w:bCs w:val="1"/>
                <w:color w:val="auto"/>
                <w:w w:val="90"/>
              </w:rPr>
              <w:t>Identification No.)</w:t>
            </w:r>
          </w:p>
        </w:tc>
      </w:tr>
      <w:tr>
        <w:trPr>
          <w:trHeight w:val="225"/>
        </w:trPr>
        <w:tc>
          <w:tcPr>
            <w:tcW w:w="1640" w:type="dxa"/>
            <w:vAlign w:val="bottom"/>
          </w:tcPr>
          <w:p>
            <w:pPr>
              <w:spacing w:after="0"/>
              <w:rPr>
                <w:sz w:val="19"/>
                <w:szCs w:val="19"/>
                <w:color w:val="auto"/>
              </w:rPr>
            </w:pPr>
          </w:p>
        </w:tc>
        <w:tc>
          <w:tcPr>
            <w:tcW w:w="61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14111 Scottslawn Road, Marysville, Ohio 43041, (937) 644-0011</w:t>
            </w:r>
          </w:p>
        </w:tc>
        <w:tc>
          <w:tcPr>
            <w:tcW w:w="1180" w:type="dxa"/>
            <w:vAlign w:val="bottom"/>
          </w:tcPr>
          <w:p>
            <w:pPr>
              <w:spacing w:after="0"/>
              <w:rPr>
                <w:sz w:val="19"/>
                <w:szCs w:val="19"/>
                <w:color w:val="auto"/>
              </w:rPr>
            </w:pPr>
          </w:p>
        </w:tc>
      </w:tr>
      <w:tr>
        <w:trPr>
          <w:trHeight w:val="151"/>
        </w:trPr>
        <w:tc>
          <w:tcPr>
            <w:tcW w:w="1640" w:type="dxa"/>
            <w:vAlign w:val="bottom"/>
          </w:tcPr>
          <w:p>
            <w:pPr>
              <w:spacing w:after="0"/>
              <w:rPr>
                <w:sz w:val="13"/>
                <w:szCs w:val="13"/>
                <w:color w:val="auto"/>
              </w:rPr>
            </w:pPr>
          </w:p>
        </w:tc>
        <w:tc>
          <w:tcPr>
            <w:tcW w:w="61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6"/>
              </w:rPr>
              <w:t>(Address, including zip code, and telephone number, including area code, of Registrant’s principal executive offices)</w:t>
            </w:r>
          </w:p>
        </w:tc>
        <w:tc>
          <w:tcPr>
            <w:tcW w:w="1180" w:type="dxa"/>
            <w:vAlign w:val="bottom"/>
          </w:tcPr>
          <w:p>
            <w:pPr>
              <w:spacing w:after="0"/>
              <w:rPr>
                <w:sz w:val="13"/>
                <w:szCs w:val="13"/>
                <w:color w:val="auto"/>
              </w:rPr>
            </w:pPr>
          </w:p>
        </w:tc>
      </w:tr>
      <w:tr>
        <w:trPr>
          <w:trHeight w:val="225"/>
        </w:trPr>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20" w:type="dxa"/>
            <w:vAlign w:val="bottom"/>
            <w:gridSpan w:val="2"/>
          </w:tcPr>
          <w:p>
            <w:pPr>
              <w:jc w:val="center"/>
              <w:ind w:right="2100"/>
              <w:spacing w:after="0"/>
              <w:rPr>
                <w:sz w:val="20"/>
                <w:szCs w:val="20"/>
                <w:color w:val="auto"/>
              </w:rPr>
            </w:pPr>
            <w:r>
              <w:rPr>
                <w:rFonts w:ascii="Arial" w:cs="Arial" w:eastAsia="Arial" w:hAnsi="Arial"/>
                <w:sz w:val="15"/>
                <w:szCs w:val="15"/>
                <w:b w:val="1"/>
                <w:bCs w:val="1"/>
                <w:color w:val="auto"/>
                <w:w w:val="95"/>
              </w:rPr>
              <w:t>David M. Aronowitz</w:t>
            </w:r>
          </w:p>
        </w:tc>
        <w:tc>
          <w:tcPr>
            <w:tcW w:w="1180" w:type="dxa"/>
            <w:vAlign w:val="bottom"/>
          </w:tcPr>
          <w:p>
            <w:pPr>
              <w:spacing w:after="0"/>
              <w:rPr>
                <w:sz w:val="19"/>
                <w:szCs w:val="19"/>
                <w:color w:val="auto"/>
              </w:rPr>
            </w:pPr>
          </w:p>
        </w:tc>
      </w:tr>
      <w:tr>
        <w:trPr>
          <w:trHeight w:val="188"/>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20" w:type="dxa"/>
            <w:vAlign w:val="bottom"/>
            <w:gridSpan w:val="2"/>
          </w:tcPr>
          <w:p>
            <w:pPr>
              <w:jc w:val="center"/>
              <w:ind w:right="2120"/>
              <w:spacing w:after="0"/>
              <w:rPr>
                <w:sz w:val="20"/>
                <w:szCs w:val="20"/>
                <w:color w:val="auto"/>
              </w:rPr>
            </w:pPr>
            <w:r>
              <w:rPr>
                <w:rFonts w:ascii="Arial" w:cs="Arial" w:eastAsia="Arial" w:hAnsi="Arial"/>
                <w:sz w:val="15"/>
                <w:szCs w:val="15"/>
                <w:b w:val="1"/>
                <w:bCs w:val="1"/>
                <w:color w:val="auto"/>
                <w:w w:val="89"/>
              </w:rPr>
              <w:t>14111 Scottslawn Road</w:t>
            </w:r>
          </w:p>
        </w:tc>
        <w:tc>
          <w:tcPr>
            <w:tcW w:w="1180" w:type="dxa"/>
            <w:vAlign w:val="bottom"/>
          </w:tcPr>
          <w:p>
            <w:pPr>
              <w:spacing w:after="0"/>
              <w:rPr>
                <w:sz w:val="16"/>
                <w:szCs w:val="16"/>
                <w:color w:val="auto"/>
              </w:rPr>
            </w:pPr>
          </w:p>
        </w:tc>
      </w:tr>
      <w:tr>
        <w:trPr>
          <w:trHeight w:val="188"/>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20" w:type="dxa"/>
            <w:vAlign w:val="bottom"/>
            <w:gridSpan w:val="2"/>
          </w:tcPr>
          <w:p>
            <w:pPr>
              <w:jc w:val="center"/>
              <w:ind w:right="2100"/>
              <w:spacing w:after="0"/>
              <w:rPr>
                <w:sz w:val="20"/>
                <w:szCs w:val="20"/>
                <w:color w:val="auto"/>
              </w:rPr>
            </w:pPr>
            <w:r>
              <w:rPr>
                <w:rFonts w:ascii="Arial" w:cs="Arial" w:eastAsia="Arial" w:hAnsi="Arial"/>
                <w:sz w:val="15"/>
                <w:szCs w:val="15"/>
                <w:b w:val="1"/>
                <w:bCs w:val="1"/>
                <w:color w:val="auto"/>
                <w:w w:val="94"/>
              </w:rPr>
              <w:t>Marysville, Ohio 43041</w:t>
            </w:r>
          </w:p>
        </w:tc>
        <w:tc>
          <w:tcPr>
            <w:tcW w:w="1180" w:type="dxa"/>
            <w:vAlign w:val="bottom"/>
          </w:tcPr>
          <w:p>
            <w:pPr>
              <w:spacing w:after="0"/>
              <w:rPr>
                <w:sz w:val="16"/>
                <w:szCs w:val="16"/>
                <w:color w:val="auto"/>
              </w:rPr>
            </w:pPr>
          </w:p>
        </w:tc>
      </w:tr>
      <w:tr>
        <w:trPr>
          <w:trHeight w:val="188"/>
        </w:trPr>
        <w:tc>
          <w:tcPr>
            <w:tcW w:w="1640" w:type="dxa"/>
            <w:vAlign w:val="bottom"/>
          </w:tcPr>
          <w:p>
            <w:pPr>
              <w:spacing w:after="0"/>
              <w:rPr>
                <w:sz w:val="16"/>
                <w:szCs w:val="16"/>
                <w:color w:val="auto"/>
              </w:rPr>
            </w:pPr>
          </w:p>
        </w:tc>
        <w:tc>
          <w:tcPr>
            <w:tcW w:w="4060" w:type="dxa"/>
            <w:vAlign w:val="bottom"/>
            <w:gridSpan w:val="2"/>
          </w:tcPr>
          <w:p>
            <w:pPr>
              <w:jc w:val="center"/>
              <w:ind w:left="1890"/>
              <w:spacing w:after="0"/>
              <w:rPr>
                <w:sz w:val="20"/>
                <w:szCs w:val="20"/>
                <w:color w:val="auto"/>
              </w:rPr>
            </w:pPr>
            <w:r>
              <w:rPr>
                <w:rFonts w:ascii="Arial" w:cs="Arial" w:eastAsia="Arial" w:hAnsi="Arial"/>
                <w:sz w:val="15"/>
                <w:szCs w:val="15"/>
                <w:b w:val="1"/>
                <w:bCs w:val="1"/>
                <w:color w:val="auto"/>
                <w:w w:val="91"/>
              </w:rPr>
              <w:t>(937) 644-0011</w:t>
            </w:r>
          </w:p>
        </w:tc>
        <w:tc>
          <w:tcPr>
            <w:tcW w:w="2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1"/>
        </w:trPr>
        <w:tc>
          <w:tcPr>
            <w:tcW w:w="1640" w:type="dxa"/>
            <w:vAlign w:val="bottom"/>
          </w:tcPr>
          <w:p>
            <w:pPr>
              <w:spacing w:after="0"/>
              <w:rPr>
                <w:sz w:val="13"/>
                <w:szCs w:val="13"/>
                <w:color w:val="auto"/>
              </w:rPr>
            </w:pPr>
          </w:p>
        </w:tc>
        <w:tc>
          <w:tcPr>
            <w:tcW w:w="61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6"/>
              </w:rPr>
              <w:t>(Name, address, including zip code, and telephone number, including area code, of agent for service)</w:t>
            </w:r>
          </w:p>
        </w:tc>
        <w:tc>
          <w:tcPr>
            <w:tcW w:w="1180" w:type="dxa"/>
            <w:vAlign w:val="bottom"/>
          </w:tcPr>
          <w:p>
            <w:pPr>
              <w:spacing w:after="0"/>
              <w:rPr>
                <w:sz w:val="13"/>
                <w:szCs w:val="13"/>
                <w:color w:val="auto"/>
              </w:rPr>
            </w:pPr>
          </w:p>
        </w:tc>
      </w:tr>
      <w:tr>
        <w:trPr>
          <w:trHeight w:val="83"/>
        </w:trPr>
        <w:tc>
          <w:tcPr>
            <w:tcW w:w="16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63"/>
        </w:trPr>
        <w:tc>
          <w:tcPr>
            <w:tcW w:w="16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220" w:type="dxa"/>
            <w:vAlign w:val="bottom"/>
            <w:gridSpan w:val="2"/>
          </w:tcPr>
          <w:p>
            <w:pPr>
              <w:jc w:val="center"/>
              <w:ind w:right="2100"/>
              <w:spacing w:after="0"/>
              <w:rPr>
                <w:sz w:val="20"/>
                <w:szCs w:val="20"/>
                <w:color w:val="auto"/>
              </w:rPr>
            </w:pPr>
            <w:r>
              <w:rPr>
                <w:rFonts w:ascii="Arial" w:cs="Arial" w:eastAsia="Arial" w:hAnsi="Arial"/>
                <w:sz w:val="15"/>
                <w:szCs w:val="15"/>
                <w:b w:val="1"/>
                <w:bCs w:val="1"/>
                <w:i w:val="1"/>
                <w:iCs w:val="1"/>
                <w:color w:val="auto"/>
                <w:w w:val="87"/>
              </w:rPr>
              <w:t>Copies to:</w:t>
            </w:r>
          </w:p>
        </w:tc>
        <w:tc>
          <w:tcPr>
            <w:tcW w:w="1180" w:type="dxa"/>
            <w:vAlign w:val="bottom"/>
          </w:tcPr>
          <w:p>
            <w:pPr>
              <w:spacing w:after="0"/>
              <w:rPr>
                <w:sz w:val="22"/>
                <w:szCs w:val="22"/>
                <w:color w:val="auto"/>
              </w:rPr>
            </w:pPr>
          </w:p>
        </w:tc>
      </w:tr>
      <w:tr>
        <w:trPr>
          <w:trHeight w:val="188"/>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20" w:type="dxa"/>
            <w:vAlign w:val="bottom"/>
            <w:gridSpan w:val="2"/>
          </w:tcPr>
          <w:p>
            <w:pPr>
              <w:jc w:val="center"/>
              <w:ind w:right="2100"/>
              <w:spacing w:after="0"/>
              <w:rPr>
                <w:sz w:val="20"/>
                <w:szCs w:val="20"/>
                <w:color w:val="auto"/>
              </w:rPr>
            </w:pPr>
            <w:r>
              <w:rPr>
                <w:rFonts w:ascii="Arial" w:cs="Arial" w:eastAsia="Arial" w:hAnsi="Arial"/>
                <w:sz w:val="15"/>
                <w:szCs w:val="15"/>
                <w:b w:val="1"/>
                <w:bCs w:val="1"/>
                <w:color w:val="auto"/>
                <w:w w:val="92"/>
              </w:rPr>
              <w:t>Ronald A. Robins, Jr.</w:t>
            </w:r>
          </w:p>
        </w:tc>
        <w:tc>
          <w:tcPr>
            <w:tcW w:w="1180" w:type="dxa"/>
            <w:vAlign w:val="bottom"/>
          </w:tcPr>
          <w:p>
            <w:pPr>
              <w:spacing w:after="0"/>
              <w:rPr>
                <w:sz w:val="16"/>
                <w:szCs w:val="16"/>
                <w:color w:val="auto"/>
              </w:rPr>
            </w:pPr>
          </w:p>
        </w:tc>
      </w:tr>
      <w:tr>
        <w:trPr>
          <w:trHeight w:val="188"/>
        </w:trPr>
        <w:tc>
          <w:tcPr>
            <w:tcW w:w="1640" w:type="dxa"/>
            <w:vAlign w:val="bottom"/>
          </w:tcPr>
          <w:p>
            <w:pPr>
              <w:spacing w:after="0"/>
              <w:rPr>
                <w:sz w:val="16"/>
                <w:szCs w:val="16"/>
                <w:color w:val="auto"/>
              </w:rPr>
            </w:pPr>
          </w:p>
        </w:tc>
        <w:tc>
          <w:tcPr>
            <w:tcW w:w="61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0"/>
              </w:rPr>
              <w:t>Vorys, Sater, Seymour and Pease LLP</w:t>
            </w:r>
          </w:p>
        </w:tc>
        <w:tc>
          <w:tcPr>
            <w:tcW w:w="1180" w:type="dxa"/>
            <w:vAlign w:val="bottom"/>
          </w:tcPr>
          <w:p>
            <w:pPr>
              <w:spacing w:after="0"/>
              <w:rPr>
                <w:sz w:val="16"/>
                <w:szCs w:val="16"/>
                <w:color w:val="auto"/>
              </w:rPr>
            </w:pPr>
          </w:p>
        </w:tc>
      </w:tr>
      <w:tr>
        <w:trPr>
          <w:trHeight w:val="188"/>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20" w:type="dxa"/>
            <w:vAlign w:val="bottom"/>
            <w:gridSpan w:val="2"/>
          </w:tcPr>
          <w:p>
            <w:pPr>
              <w:jc w:val="center"/>
              <w:ind w:right="2120"/>
              <w:spacing w:after="0"/>
              <w:rPr>
                <w:sz w:val="20"/>
                <w:szCs w:val="20"/>
                <w:color w:val="auto"/>
              </w:rPr>
            </w:pPr>
            <w:r>
              <w:rPr>
                <w:rFonts w:ascii="Arial" w:cs="Arial" w:eastAsia="Arial" w:hAnsi="Arial"/>
                <w:sz w:val="15"/>
                <w:szCs w:val="15"/>
                <w:b w:val="1"/>
                <w:bCs w:val="1"/>
                <w:color w:val="auto"/>
                <w:w w:val="92"/>
              </w:rPr>
              <w:t>52 East Gay Street</w:t>
            </w:r>
          </w:p>
        </w:tc>
        <w:tc>
          <w:tcPr>
            <w:tcW w:w="1180" w:type="dxa"/>
            <w:vAlign w:val="bottom"/>
          </w:tcPr>
          <w:p>
            <w:pPr>
              <w:spacing w:after="0"/>
              <w:rPr>
                <w:sz w:val="16"/>
                <w:szCs w:val="16"/>
                <w:color w:val="auto"/>
              </w:rPr>
            </w:pPr>
          </w:p>
        </w:tc>
      </w:tr>
      <w:tr>
        <w:trPr>
          <w:trHeight w:val="198"/>
        </w:trPr>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220" w:type="dxa"/>
            <w:vAlign w:val="bottom"/>
            <w:gridSpan w:val="2"/>
          </w:tcPr>
          <w:p>
            <w:pPr>
              <w:jc w:val="center"/>
              <w:ind w:right="2120"/>
              <w:spacing w:after="0"/>
              <w:rPr>
                <w:sz w:val="20"/>
                <w:szCs w:val="20"/>
                <w:color w:val="auto"/>
              </w:rPr>
            </w:pPr>
            <w:r>
              <w:rPr>
                <w:rFonts w:ascii="Arial" w:cs="Arial" w:eastAsia="Arial" w:hAnsi="Arial"/>
                <w:sz w:val="15"/>
                <w:szCs w:val="15"/>
                <w:b w:val="1"/>
                <w:bCs w:val="1"/>
                <w:color w:val="auto"/>
                <w:w w:val="92"/>
              </w:rPr>
              <w:t>Columbus, Ohio 43215</w:t>
            </w:r>
          </w:p>
        </w:tc>
        <w:tc>
          <w:tcPr>
            <w:tcW w:w="11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60325</wp:posOffset>
            </wp:positionV>
            <wp:extent cx="13277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74" w:lineRule="exact"/>
        <w:rPr>
          <w:sz w:val="24"/>
          <w:szCs w:val="24"/>
          <w:color w:val="auto"/>
        </w:rPr>
      </w:pPr>
    </w:p>
    <w:p>
      <w:pPr>
        <w:ind w:left="20" w:right="660" w:firstLine="457"/>
        <w:spacing w:after="0" w:line="265" w:lineRule="auto"/>
        <w:rPr>
          <w:sz w:val="20"/>
          <w:szCs w:val="20"/>
          <w:color w:val="auto"/>
        </w:rPr>
      </w:pPr>
      <w:r>
        <w:rPr>
          <w:rFonts w:ascii="Arial" w:cs="Arial" w:eastAsia="Arial" w:hAnsi="Arial"/>
          <w:sz w:val="15"/>
          <w:szCs w:val="15"/>
          <w:color w:val="auto"/>
        </w:rPr>
        <w:t>Approximate date of commencement of proposed sale of the securities to the public: As soon as practicable after the effective date of this Registration Statement as the Registrant shall determine.</w:t>
      </w:r>
    </w:p>
    <w:p>
      <w:pPr>
        <w:spacing w:after="0" w:line="1" w:lineRule="exact"/>
        <w:rPr>
          <w:sz w:val="24"/>
          <w:szCs w:val="24"/>
          <w:color w:val="auto"/>
        </w:rPr>
      </w:pPr>
    </w:p>
    <w:p>
      <w:pPr>
        <w:ind w:left="20" w:right="120" w:firstLine="457"/>
        <w:spacing w:after="0" w:line="191" w:lineRule="exact"/>
        <w:rPr>
          <w:sz w:val="20"/>
          <w:szCs w:val="20"/>
          <w:color w:val="auto"/>
        </w:rPr>
      </w:pPr>
      <w:r>
        <w:rPr>
          <w:rFonts w:ascii="Arial" w:cs="Arial" w:eastAsia="Arial" w:hAnsi="Arial"/>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20" w:right="60" w:firstLine="457"/>
        <w:spacing w:after="0" w:line="188"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20" w:right="40" w:firstLine="457"/>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50800</wp:posOffset>
            </wp:positionV>
            <wp:extent cx="13277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73660</wp:posOffset>
            </wp:positionV>
            <wp:extent cx="72694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780" w:type="dxa"/>
            <w:vAlign w:val="bottom"/>
          </w:tcPr>
          <w:p>
            <w:pPr>
              <w:jc w:val="center"/>
              <w:ind w:right="881"/>
              <w:spacing w:after="0"/>
              <w:rPr>
                <w:sz w:val="20"/>
                <w:szCs w:val="20"/>
                <w:color w:val="auto"/>
              </w:rPr>
            </w:pPr>
            <w:r>
              <w:rPr>
                <w:rFonts w:ascii="Arial" w:cs="Arial" w:eastAsia="Arial" w:hAnsi="Arial"/>
                <w:sz w:val="12"/>
                <w:szCs w:val="12"/>
                <w:b w:val="1"/>
                <w:bCs w:val="1"/>
                <w:color w:val="auto"/>
                <w:w w:val="84"/>
              </w:rPr>
              <w:t>Title of each class of</w:t>
            </w:r>
          </w:p>
        </w:tc>
        <w:tc>
          <w:tcPr>
            <w:tcW w:w="1380" w:type="dxa"/>
            <w:vAlign w:val="bottom"/>
          </w:tcPr>
          <w:p>
            <w:pPr>
              <w:spacing w:after="0"/>
              <w:rPr>
                <w:sz w:val="12"/>
                <w:szCs w:val="12"/>
                <w:color w:val="auto"/>
              </w:rPr>
            </w:pPr>
          </w:p>
        </w:tc>
        <w:tc>
          <w:tcPr>
            <w:tcW w:w="1460" w:type="dxa"/>
            <w:vAlign w:val="bottom"/>
          </w:tcPr>
          <w:p>
            <w:pPr>
              <w:ind w:left="40"/>
              <w:spacing w:after="0"/>
              <w:rPr>
                <w:sz w:val="20"/>
                <w:szCs w:val="20"/>
                <w:color w:val="auto"/>
              </w:rPr>
            </w:pPr>
            <w:r>
              <w:rPr>
                <w:rFonts w:ascii="Arial" w:cs="Arial" w:eastAsia="Arial" w:hAnsi="Arial"/>
                <w:sz w:val="12"/>
                <w:szCs w:val="12"/>
                <w:b w:val="1"/>
                <w:bCs w:val="1"/>
                <w:color w:val="auto"/>
              </w:rPr>
              <w:t>Amount to be</w:t>
            </w:r>
          </w:p>
        </w:tc>
        <w:tc>
          <w:tcPr>
            <w:tcW w:w="2360" w:type="dxa"/>
            <w:vAlign w:val="bottom"/>
          </w:tcPr>
          <w:p>
            <w:pPr>
              <w:jc w:val="right"/>
              <w:ind w:right="652"/>
              <w:spacing w:after="0"/>
              <w:rPr>
                <w:sz w:val="20"/>
                <w:szCs w:val="20"/>
                <w:color w:val="auto"/>
              </w:rPr>
            </w:pPr>
            <w:r>
              <w:rPr>
                <w:rFonts w:ascii="Arial" w:cs="Arial" w:eastAsia="Arial" w:hAnsi="Arial"/>
                <w:sz w:val="12"/>
                <w:szCs w:val="12"/>
                <w:b w:val="1"/>
                <w:bCs w:val="1"/>
                <w:color w:val="auto"/>
              </w:rPr>
              <w:t>Proposed maximum</w:t>
            </w:r>
          </w:p>
        </w:tc>
        <w:tc>
          <w:tcPr>
            <w:tcW w:w="620" w:type="dxa"/>
            <w:vAlign w:val="bottom"/>
          </w:tcPr>
          <w:p>
            <w:pPr>
              <w:spacing w:after="0"/>
              <w:rPr>
                <w:sz w:val="12"/>
                <w:szCs w:val="12"/>
                <w:color w:val="auto"/>
              </w:rPr>
            </w:pPr>
          </w:p>
        </w:tc>
        <w:tc>
          <w:tcPr>
            <w:tcW w:w="780" w:type="dxa"/>
            <w:vAlign w:val="bottom"/>
          </w:tcPr>
          <w:p>
            <w:pPr>
              <w:jc w:val="right"/>
              <w:ind w:right="150"/>
              <w:spacing w:after="0"/>
              <w:rPr>
                <w:sz w:val="20"/>
                <w:szCs w:val="20"/>
                <w:color w:val="auto"/>
              </w:rPr>
            </w:pPr>
            <w:r>
              <w:rPr>
                <w:rFonts w:ascii="Arial" w:cs="Arial" w:eastAsia="Arial" w:hAnsi="Arial"/>
                <w:sz w:val="12"/>
                <w:szCs w:val="12"/>
                <w:b w:val="1"/>
                <w:bCs w:val="1"/>
                <w:color w:val="auto"/>
                <w:w w:val="89"/>
              </w:rPr>
              <w:t>Amount of</w:t>
            </w: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780" w:type="dxa"/>
            <w:vAlign w:val="bottom"/>
          </w:tcPr>
          <w:p>
            <w:pPr>
              <w:jc w:val="center"/>
              <w:ind w:right="881"/>
              <w:spacing w:after="0"/>
              <w:rPr>
                <w:sz w:val="20"/>
                <w:szCs w:val="20"/>
                <w:color w:val="auto"/>
              </w:rPr>
            </w:pPr>
            <w:r>
              <w:rPr>
                <w:rFonts w:ascii="Arial" w:cs="Arial" w:eastAsia="Arial" w:hAnsi="Arial"/>
                <w:sz w:val="12"/>
                <w:szCs w:val="12"/>
                <w:b w:val="1"/>
                <w:bCs w:val="1"/>
                <w:color w:val="auto"/>
                <w:w w:val="85"/>
              </w:rPr>
              <w:t>securities to be registered</w:t>
            </w:r>
          </w:p>
        </w:tc>
        <w:tc>
          <w:tcPr>
            <w:tcW w:w="1380" w:type="dxa"/>
            <w:vAlign w:val="bottom"/>
          </w:tcPr>
          <w:p>
            <w:pPr>
              <w:spacing w:after="0"/>
              <w:rPr>
                <w:sz w:val="13"/>
                <w:szCs w:val="13"/>
                <w:color w:val="auto"/>
              </w:rPr>
            </w:pPr>
          </w:p>
        </w:tc>
        <w:tc>
          <w:tcPr>
            <w:tcW w:w="1460" w:type="dxa"/>
            <w:vAlign w:val="bottom"/>
          </w:tcPr>
          <w:p>
            <w:pPr>
              <w:ind w:left="140"/>
              <w:spacing w:after="0"/>
              <w:rPr>
                <w:sz w:val="20"/>
                <w:szCs w:val="20"/>
                <w:color w:val="auto"/>
              </w:rPr>
            </w:pPr>
            <w:r>
              <w:rPr>
                <w:rFonts w:ascii="Arial" w:cs="Arial" w:eastAsia="Arial" w:hAnsi="Arial"/>
                <w:sz w:val="12"/>
                <w:szCs w:val="12"/>
                <w:b w:val="1"/>
                <w:bCs w:val="1"/>
                <w:color w:val="auto"/>
              </w:rPr>
              <w:t>registered</w:t>
            </w:r>
          </w:p>
        </w:tc>
        <w:tc>
          <w:tcPr>
            <w:tcW w:w="2360" w:type="dxa"/>
            <w:vAlign w:val="bottom"/>
          </w:tcPr>
          <w:p>
            <w:pPr>
              <w:jc w:val="right"/>
              <w:ind w:right="592"/>
              <w:spacing w:after="0"/>
              <w:rPr>
                <w:sz w:val="20"/>
                <w:szCs w:val="20"/>
                <w:color w:val="auto"/>
              </w:rPr>
            </w:pPr>
            <w:r>
              <w:rPr>
                <w:rFonts w:ascii="Arial" w:cs="Arial" w:eastAsia="Arial" w:hAnsi="Arial"/>
                <w:sz w:val="12"/>
                <w:szCs w:val="12"/>
                <w:b w:val="1"/>
                <w:bCs w:val="1"/>
                <w:color w:val="auto"/>
              </w:rPr>
              <w:t>offering price per unit</w:t>
            </w:r>
          </w:p>
        </w:tc>
        <w:tc>
          <w:tcPr>
            <w:tcW w:w="1400" w:type="dxa"/>
            <w:vAlign w:val="bottom"/>
            <w:gridSpan w:val="2"/>
          </w:tcPr>
          <w:p>
            <w:pPr>
              <w:ind w:left="540"/>
              <w:spacing w:after="0"/>
              <w:rPr>
                <w:sz w:val="20"/>
                <w:szCs w:val="20"/>
                <w:color w:val="auto"/>
              </w:rPr>
            </w:pPr>
            <w:r>
              <w:rPr>
                <w:rFonts w:ascii="Arial" w:cs="Arial" w:eastAsia="Arial" w:hAnsi="Arial"/>
                <w:sz w:val="12"/>
                <w:szCs w:val="12"/>
                <w:b w:val="1"/>
                <w:bCs w:val="1"/>
                <w:color w:val="auto"/>
                <w:w w:val="96"/>
              </w:rPr>
              <w:t>registration fee</w:t>
            </w:r>
          </w:p>
        </w:tc>
      </w:tr>
      <w:tr>
        <w:trPr>
          <w:trHeight w:val="83"/>
        </w:trPr>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r>
      <w:tr>
        <w:trPr>
          <w:trHeight w:val="273"/>
        </w:trPr>
        <w:tc>
          <w:tcPr>
            <w:tcW w:w="2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15"/>
                <w:szCs w:val="15"/>
                <w:color w:val="auto"/>
              </w:rPr>
              <w:t>6.625% Senior Subordinated Notes due 2013</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ind w:left="120"/>
              <w:spacing w:after="0"/>
              <w:rPr>
                <w:sz w:val="20"/>
                <w:szCs w:val="20"/>
                <w:color w:val="auto"/>
              </w:rPr>
            </w:pPr>
            <w:r>
              <w:rPr>
                <w:rFonts w:ascii="Arial" w:cs="Arial" w:eastAsia="Arial" w:hAnsi="Arial"/>
                <w:sz w:val="15"/>
                <w:szCs w:val="15"/>
                <w:color w:val="auto"/>
              </w:rPr>
              <w:t>200,000,000</w:t>
            </w:r>
          </w:p>
        </w:tc>
        <w:tc>
          <w:tcPr>
            <w:tcW w:w="2360" w:type="dxa"/>
            <w:vAlign w:val="bottom"/>
          </w:tcPr>
          <w:p>
            <w:pPr>
              <w:jc w:val="right"/>
              <w:ind w:right="472"/>
              <w:spacing w:after="0"/>
              <w:rPr>
                <w:sz w:val="20"/>
                <w:szCs w:val="20"/>
                <w:color w:val="auto"/>
              </w:rPr>
            </w:pPr>
            <w:r>
              <w:rPr>
                <w:rFonts w:ascii="Arial" w:cs="Arial" w:eastAsia="Arial" w:hAnsi="Arial"/>
                <w:sz w:val="15"/>
                <w:szCs w:val="15"/>
                <w:color w:val="auto"/>
              </w:rPr>
              <w:t>100%</w:t>
            </w:r>
          </w:p>
        </w:tc>
        <w:tc>
          <w:tcPr>
            <w:tcW w:w="620" w:type="dxa"/>
            <w:vAlign w:val="bottom"/>
          </w:tcPr>
          <w:p>
            <w:pPr>
              <w:ind w:left="5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0"/>
              <w:spacing w:after="0"/>
              <w:rPr>
                <w:sz w:val="20"/>
                <w:szCs w:val="20"/>
                <w:color w:val="auto"/>
              </w:rPr>
            </w:pPr>
            <w:r>
              <w:rPr>
                <w:rFonts w:ascii="Arial" w:cs="Arial" w:eastAsia="Arial" w:hAnsi="Arial"/>
                <w:sz w:val="15"/>
                <w:szCs w:val="15"/>
                <w:color w:val="auto"/>
              </w:rPr>
              <w:t>16,180</w:t>
            </w: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73"/>
        </w:trPr>
        <w:tc>
          <w:tcPr>
            <w:tcW w:w="2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15"/>
                <w:szCs w:val="15"/>
                <w:color w:val="auto"/>
              </w:rPr>
              <w:t>Guarantee of 6.625% Senior Subordinated Notes due 2013</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ind w:left="120"/>
              <w:spacing w:after="0"/>
              <w:rPr>
                <w:sz w:val="20"/>
                <w:szCs w:val="20"/>
                <w:color w:val="auto"/>
              </w:rPr>
            </w:pPr>
            <w:r>
              <w:rPr>
                <w:rFonts w:ascii="Arial" w:cs="Arial" w:eastAsia="Arial" w:hAnsi="Arial"/>
                <w:sz w:val="15"/>
                <w:szCs w:val="15"/>
                <w:color w:val="auto"/>
              </w:rPr>
              <w:t>200,000,000</w:t>
            </w:r>
          </w:p>
        </w:tc>
        <w:tc>
          <w:tcPr>
            <w:tcW w:w="2360" w:type="dxa"/>
            <w:vAlign w:val="bottom"/>
          </w:tcPr>
          <w:p>
            <w:pPr>
              <w:jc w:val="right"/>
              <w:ind w:right="552"/>
              <w:spacing w:after="0"/>
              <w:rPr>
                <w:sz w:val="20"/>
                <w:szCs w:val="20"/>
                <w:color w:val="auto"/>
              </w:rPr>
            </w:pPr>
            <w:r>
              <w:rPr>
                <w:rFonts w:ascii="Arial" w:cs="Arial" w:eastAsia="Arial" w:hAnsi="Arial"/>
                <w:sz w:val="15"/>
                <w:szCs w:val="15"/>
                <w:color w:val="auto"/>
              </w:rPr>
              <w:t>(2)</w:t>
            </w:r>
          </w:p>
        </w:tc>
        <w:tc>
          <w:tcPr>
            <w:tcW w:w="6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14"/>
        </w:trPr>
        <w:tc>
          <w:tcPr>
            <w:tcW w:w="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90"/>
        </w:trPr>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7263130</wp:posOffset>
            </wp:positionH>
            <wp:positionV relativeFrom="paragraph">
              <wp:posOffset>-91440</wp:posOffset>
            </wp:positionV>
            <wp:extent cx="127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-91440</wp:posOffset>
            </wp:positionV>
            <wp:extent cx="127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65" w:lineRule="exact"/>
        <w:rPr>
          <w:sz w:val="24"/>
          <w:szCs w:val="24"/>
          <w:color w:val="auto"/>
        </w:rPr>
      </w:pPr>
    </w:p>
    <w:p>
      <w:pPr>
        <w:ind w:left="360" w:right="40" w:hanging="346"/>
        <w:spacing w:after="0" w:line="248" w:lineRule="auto"/>
        <w:tabs>
          <w:tab w:leader="none" w:pos="36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following domestic direct and indirect subsidiaries of Scotts are guarantors of the notes and co-registrants. Each of the guarantors is incorporated in the state indicated and has the I.R.S. Employer Identification Number indicated: Scotts Manufacturing Company, a Delaware corporation (42-1508875); Miracle-Gro Lawn Products, Inc., a New York corporation (11-3186421); OMS Investments, Inc., a Delaware corporation (51-0357374); Hyponex Corporation, a Delaware corporation (31-1254519); Scotts Products Co., an Ohio corporation (31-1269080); Scotts Professional Products Co., an Ohio corporation (31-1269066); Scotts Temecula Operations, LLC, a Delaware limited liability company (33-0978312); Scotts-Sierra Horticultural Products Company, a California corporation (94-1634227); Scotts-Sierra Crop Protection Company, a California corporation (77-0153275); Scotts-Sierra Investments, Inc., a Delaware corporation (51-0371209); Swiss Farms Products, Inc., a Delaware corporation (88-0407223); and EG Systems, Inc., an Indiana corporation (35-1937875).</w:t>
      </w:r>
    </w:p>
    <w:p>
      <w:pPr>
        <w:spacing w:after="0" w:line="2" w:lineRule="exact"/>
        <w:rPr>
          <w:rFonts w:ascii="Arial" w:cs="Arial" w:eastAsia="Arial" w:hAnsi="Arial"/>
          <w:sz w:val="11"/>
          <w:szCs w:val="11"/>
          <w:color w:val="auto"/>
        </w:rPr>
      </w:pPr>
    </w:p>
    <w:p>
      <w:pPr>
        <w:ind w:left="360" w:hanging="346"/>
        <w:spacing w:after="0"/>
        <w:tabs>
          <w:tab w:leader="none" w:pos="360" w:val="left"/>
        </w:tabs>
        <w:numPr>
          <w:ilvl w:val="0"/>
          <w:numId w:val="1"/>
        </w:numPr>
        <w:rPr>
          <w:rFonts w:ascii="Arial" w:cs="Arial" w:eastAsia="Arial" w:hAnsi="Arial"/>
          <w:sz w:val="12"/>
          <w:szCs w:val="12"/>
          <w:color w:val="auto"/>
        </w:rPr>
      </w:pPr>
      <w:r>
        <w:rPr>
          <w:rFonts w:ascii="Arial" w:cs="Arial" w:eastAsia="Arial" w:hAnsi="Arial"/>
          <w:sz w:val="12"/>
          <w:szCs w:val="12"/>
          <w:color w:val="auto"/>
        </w:rPr>
        <w:t>No additional consideration for the guarantees of the 6.625% Senior Subordinated Notes due 2013 will be furnished. Pursuant to Rule 457(n), no separate fee is payable with respect to such guarantees.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2977515</wp:posOffset>
            </wp:positionH>
            <wp:positionV relativeFrom="paragraph">
              <wp:posOffset>53340</wp:posOffset>
            </wp:positionV>
            <wp:extent cx="13277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59" w:lineRule="exact"/>
        <w:rPr>
          <w:sz w:val="24"/>
          <w:szCs w:val="24"/>
          <w:color w:val="auto"/>
        </w:rPr>
      </w:pPr>
    </w:p>
    <w:p>
      <w:pPr>
        <w:ind w:left="20" w:right="120" w:firstLine="457"/>
        <w:spacing w:after="0" w:line="30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29845</wp:posOffset>
            </wp:positionV>
            <wp:extent cx="726948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ectPr>
          <w:pgSz w:w="11900" w:h="16838" w:orient="portrait"/>
          <w:cols w:equalWidth="0" w:num="1">
            <w:col w:w="11460"/>
          </w:cols>
          <w:pgMar w:left="220" w:top="217" w:right="2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65"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DE1A1E"/>
        </w:rPr>
        <w:t>(Subject to completion, dated January 8, 2004)</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99060</wp:posOffset>
            </wp:positionV>
            <wp:extent cx="1163320" cy="71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3320" cy="71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$200,000,000</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auto"/>
        </w:rPr>
        <w:t>The Scotts Company</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Offer to exchange its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6.625% Senior Subordinated Notes due 2013,</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which have been registered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under the Securities Act of 1933, as amended,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 an equal principal amount of its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6.625% Senior Subordinated Notes due 2013,</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which have not been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145415</wp:posOffset>
            </wp:positionV>
            <wp:extent cx="1536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670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terms of the exchange offer:</w:t>
      </w:r>
    </w:p>
    <w:p>
      <w:pPr>
        <w:spacing w:after="0" w:line="149" w:lineRule="exact"/>
        <w:rPr>
          <w:sz w:val="20"/>
          <w:szCs w:val="20"/>
          <w:color w:val="auto"/>
        </w:rPr>
      </w:pPr>
    </w:p>
    <w:p>
      <w:pPr>
        <w:ind w:left="440"/>
        <w:spacing w:after="0"/>
        <w:tabs>
          <w:tab w:leader="none" w:pos="760" w:val="left"/>
          <w:tab w:leader="none" w:pos="52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exchange offer expires at 5:00 p.m., New York City time, on</w:t>
      </w:r>
      <w:r>
        <w:rPr>
          <w:sz w:val="20"/>
          <w:szCs w:val="20"/>
          <w:color w:val="auto"/>
        </w:rPr>
        <w:tab/>
      </w:r>
      <w:r>
        <w:rPr>
          <w:rFonts w:ascii="Arial" w:cs="Arial" w:eastAsia="Arial" w:hAnsi="Arial"/>
          <w:sz w:val="13"/>
          <w:szCs w:val="13"/>
          <w:color w:val="auto"/>
        </w:rPr>
        <w:t>, 2004, unless extended.</w:t>
      </w:r>
    </w:p>
    <w:p>
      <w:pPr>
        <w:spacing w:after="0" w:line="145" w:lineRule="exact"/>
        <w:rPr>
          <w:sz w:val="20"/>
          <w:szCs w:val="20"/>
          <w:color w:val="auto"/>
        </w:rPr>
      </w:pPr>
    </w:p>
    <w:p>
      <w:pPr>
        <w:ind w:left="780" w:right="520" w:hanging="340"/>
        <w:spacing w:after="0" w:line="291"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will exchange all outstanding Original Notes that are validly tendered and not validly withdrawn for an equal principal amount of our Exchange Notes which are registered under the Securities Act.</w:t>
      </w:r>
    </w:p>
    <w:p>
      <w:pPr>
        <w:spacing w:after="0" w:line="86" w:lineRule="exact"/>
        <w:rPr>
          <w:rFonts w:ascii="Arial" w:cs="Arial" w:eastAsia="Arial" w:hAnsi="Arial"/>
          <w:sz w:val="15"/>
          <w:szCs w:val="15"/>
          <w:color w:val="auto"/>
        </w:rPr>
      </w:pPr>
    </w:p>
    <w:p>
      <w:pPr>
        <w:ind w:left="780" w:right="240" w:hanging="340"/>
        <w:spacing w:after="0" w:line="291"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exchange offer is not subject to any conditions other than that it not violate applicable law or any applicable interpretation of the staff of the Securities and Exchange Commission.</w:t>
      </w:r>
    </w:p>
    <w:p>
      <w:pPr>
        <w:spacing w:after="0" w:line="86" w:lineRule="exact"/>
        <w:rPr>
          <w:rFonts w:ascii="Arial" w:cs="Arial" w:eastAsia="Arial" w:hAnsi="Arial"/>
          <w:sz w:val="15"/>
          <w:szCs w:val="15"/>
          <w:color w:val="auto"/>
        </w:rPr>
      </w:pPr>
    </w:p>
    <w:p>
      <w:pPr>
        <w:ind w:left="780" w:right="120" w:hanging="340"/>
        <w:spacing w:after="0" w:line="291"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terms of the Exchange Notes are substantially identical to the Original Notes, except that the Original Notes contain transfer restrictions and registration rights that the Exchange Notes do not contain.</w:t>
      </w:r>
    </w:p>
    <w:p>
      <w:pPr>
        <w:spacing w:after="0" w:line="86" w:lineRule="exact"/>
        <w:rPr>
          <w:rFonts w:ascii="Arial" w:cs="Arial" w:eastAsia="Arial" w:hAnsi="Arial"/>
          <w:sz w:val="15"/>
          <w:szCs w:val="15"/>
          <w:color w:val="auto"/>
        </w:rPr>
      </w:pPr>
    </w:p>
    <w:p>
      <w:pPr>
        <w:ind w:left="780" w:hanging="340"/>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You may withdraw tenders of Original Notes at any time before the exchange offer expires.</w:t>
      </w:r>
    </w:p>
    <w:p>
      <w:pPr>
        <w:spacing w:after="0" w:line="144" w:lineRule="exact"/>
        <w:rPr>
          <w:rFonts w:ascii="Arial" w:cs="Arial" w:eastAsia="Arial" w:hAnsi="Arial"/>
          <w:sz w:val="15"/>
          <w:szCs w:val="15"/>
          <w:color w:val="auto"/>
        </w:rPr>
      </w:pPr>
    </w:p>
    <w:p>
      <w:pPr>
        <w:ind w:left="780" w:hanging="340"/>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You may tender outstanding Original Notes only in denominations of $1,000 and multiples of $1,000.</w:t>
      </w:r>
    </w:p>
    <w:p>
      <w:pPr>
        <w:spacing w:after="0" w:line="144" w:lineRule="exact"/>
        <w:rPr>
          <w:rFonts w:ascii="Arial" w:cs="Arial" w:eastAsia="Arial" w:hAnsi="Arial"/>
          <w:sz w:val="15"/>
          <w:szCs w:val="15"/>
          <w:color w:val="auto"/>
        </w:rPr>
      </w:pPr>
    </w:p>
    <w:p>
      <w:pPr>
        <w:ind w:left="780" w:hanging="340"/>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will not receive any proceeds from the exchange offer, and we will pay all expenses of the exchange offer.</w:t>
      </w:r>
    </w:p>
    <w:p>
      <w:pPr>
        <w:spacing w:after="0" w:line="144" w:lineRule="exact"/>
        <w:rPr>
          <w:rFonts w:ascii="Arial" w:cs="Arial" w:eastAsia="Arial" w:hAnsi="Arial"/>
          <w:sz w:val="15"/>
          <w:szCs w:val="15"/>
          <w:color w:val="auto"/>
        </w:rPr>
      </w:pPr>
    </w:p>
    <w:p>
      <w:pPr>
        <w:ind w:left="780" w:hanging="340"/>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affiliates may not participate in the exchange offer.</w:t>
      </w:r>
    </w:p>
    <w:p>
      <w:pPr>
        <w:spacing w:after="0" w:line="129" w:lineRule="exact"/>
        <w:rPr>
          <w:sz w:val="20"/>
          <w:szCs w:val="20"/>
          <w:color w:val="auto"/>
        </w:rPr>
      </w:pPr>
    </w:p>
    <w:p>
      <w:pPr>
        <w:ind w:right="560" w:firstLine="572"/>
        <w:spacing w:after="0" w:line="259"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Please refer to the section entitled “ </w:t>
      </w:r>
      <w:hyperlink w:anchor="page1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11 for a description of risks that you should consider when evaluating this investment.</w:t>
      </w:r>
    </w:p>
    <w:p>
      <w:pPr>
        <w:spacing w:after="0" w:line="96"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2004</w:t>
      </w:r>
    </w:p>
    <w:p>
      <w:pPr>
        <w:sectPr>
          <w:pgSz w:w="11900" w:h="16838" w:orient="portrait"/>
          <w:cols w:equalWidth="0" w:num="1">
            <w:col w:w="11360"/>
          </w:cols>
          <w:pgMar w:left="240" w:top="417" w:right="29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5"/>
          <w:szCs w:val="15"/>
          <w:b w:val="1"/>
          <w:bCs w:val="1"/>
          <w:color w:val="auto"/>
        </w:rPr>
        <w:t>In making your investment decision, you should rely only on the information contained in this prospectus. We have not authorized anyone to provide you with other information. If you receive any other information, you should not rely on it. We are not making an offer of these notes in any state where the offer is not permitted. You should assume that the information appearing in this prospectus is accurate as of the date on the front cover of this prospectus only. Our business, financial condition, results of operations and prospects may have changed since that date. The delivery of this prospectus shall under no circumstances imply that the information herein is correct as of any date subsequent to the date on the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129540</wp:posOffset>
            </wp:positionV>
            <wp:extent cx="1536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670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20" w:type="dxa"/>
            <w:vAlign w:val="bottom"/>
            <w:gridSpan w:val="2"/>
          </w:tcPr>
          <w:p>
            <w:pPr>
              <w:jc w:val="right"/>
              <w:ind w:right="4827"/>
              <w:spacing w:after="0"/>
              <w:rPr>
                <w:sz w:val="20"/>
                <w:szCs w:val="20"/>
                <w:color w:val="auto"/>
              </w:rPr>
            </w:pPr>
            <w:r>
              <w:rPr>
                <w:rFonts w:ascii="Arial" w:cs="Arial" w:eastAsia="Arial" w:hAnsi="Arial"/>
                <w:sz w:val="15"/>
                <w:szCs w:val="15"/>
                <w:b w:val="1"/>
                <w:bCs w:val="1"/>
                <w:color w:val="auto"/>
              </w:rPr>
              <w:t>TABLE OF CONTENTS</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83"/>
        </w:trPr>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1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238"/>
        </w:trPr>
        <w:tc>
          <w:tcPr>
            <w:tcW w:w="4020" w:type="dxa"/>
            <w:vAlign w:val="bottom"/>
            <w:gridSpan w:val="18"/>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Available Information</w:t>
              </w:r>
            </w:hyperlink>
          </w:p>
        </w:tc>
        <w:tc>
          <w:tcPr>
            <w:tcW w:w="7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ii</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2"/>
        </w:trPr>
        <w:tc>
          <w:tcPr>
            <w:tcW w:w="3160" w:type="dxa"/>
            <w:vAlign w:val="bottom"/>
            <w:tcBorders>
              <w:bottom w:val="single" w:sz="8" w:color="0000EE"/>
            </w:tcBorders>
            <w:gridSpan w:val="17"/>
          </w:tcPr>
          <w:p>
            <w:pPr>
              <w:spacing w:after="0"/>
              <w:rPr>
                <w:rFonts w:ascii="Arial" w:cs="Arial" w:eastAsia="Arial" w:hAnsi="Arial"/>
                <w:sz w:val="15"/>
                <w:szCs w:val="15"/>
                <w:color w:val="0000EE"/>
                <w:w w:val="92"/>
              </w:rPr>
            </w:pPr>
            <w:hyperlink w:anchor="page4">
              <w:r>
                <w:rPr>
                  <w:rFonts w:ascii="Arial" w:cs="Arial" w:eastAsia="Arial" w:hAnsi="Arial"/>
                  <w:sz w:val="15"/>
                  <w:szCs w:val="15"/>
                  <w:color w:val="0000EE"/>
                  <w:w w:val="92"/>
                </w:rPr>
                <w:t>Disclosure Regarding Forward-Looking Statements</w:t>
              </w:r>
            </w:hyperlink>
          </w:p>
        </w:tc>
        <w:tc>
          <w:tcPr>
            <w:tcW w:w="86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ii</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Use of Certain Terms</w:t>
              </w:r>
            </w:hyperlink>
          </w:p>
        </w:tc>
        <w:tc>
          <w:tcPr>
            <w:tcW w:w="71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iii</w:t>
            </w:r>
          </w:p>
        </w:tc>
      </w:tr>
      <w:tr>
        <w:trPr>
          <w:trHeight w:val="262"/>
        </w:trPr>
        <w:tc>
          <w:tcPr>
            <w:tcW w:w="72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87"/>
              </w:rPr>
            </w:pPr>
            <w:hyperlink w:anchor="page5">
              <w:r>
                <w:rPr>
                  <w:rFonts w:ascii="Arial" w:cs="Arial" w:eastAsia="Arial" w:hAnsi="Arial"/>
                  <w:sz w:val="15"/>
                  <w:szCs w:val="15"/>
                  <w:color w:val="0000EE"/>
                  <w:w w:val="87"/>
                </w:rPr>
                <w:t>Trademarks</w:t>
              </w:r>
            </w:hyperlink>
          </w:p>
        </w:tc>
        <w:tc>
          <w:tcPr>
            <w:tcW w:w="620" w:type="dxa"/>
            <w:vAlign w:val="bottom"/>
            <w:tcBorders>
              <w:top w:val="single" w:sz="8" w:color="0000EE"/>
            </w:tcBorders>
            <w:gridSpan w:val="8"/>
          </w:tcPr>
          <w:p>
            <w:pPr>
              <w:spacing w:after="0"/>
              <w:rPr>
                <w:sz w:val="22"/>
                <w:szCs w:val="22"/>
                <w:color w:val="auto"/>
              </w:rPr>
            </w:pPr>
          </w:p>
        </w:tc>
        <w:tc>
          <w:tcPr>
            <w:tcW w:w="2680" w:type="dxa"/>
            <w:vAlign w:val="bottom"/>
            <w:gridSpan w:val="7"/>
          </w:tcPr>
          <w:p>
            <w:pPr>
              <w:spacing w:after="0"/>
              <w:rPr>
                <w:sz w:val="22"/>
                <w:szCs w:val="22"/>
                <w:color w:val="auto"/>
              </w:rPr>
            </w:pPr>
          </w:p>
        </w:tc>
        <w:tc>
          <w:tcPr>
            <w:tcW w:w="71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iii</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Summary</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Risk Factors</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262"/>
        </w:trPr>
        <w:tc>
          <w:tcPr>
            <w:tcW w:w="1240" w:type="dxa"/>
            <w:vAlign w:val="bottom"/>
            <w:tcBorders>
              <w:bottom w:val="single" w:sz="8" w:color="0000EE"/>
            </w:tcBorders>
            <w:gridSpan w:val="9"/>
          </w:tcPr>
          <w:p>
            <w:pPr>
              <w:spacing w:after="0"/>
              <w:rPr>
                <w:rFonts w:ascii="Arial" w:cs="Arial" w:eastAsia="Arial" w:hAnsi="Arial"/>
                <w:sz w:val="15"/>
                <w:szCs w:val="15"/>
                <w:color w:val="0000EE"/>
                <w:w w:val="90"/>
              </w:rPr>
            </w:pPr>
            <w:hyperlink w:anchor="page24">
              <w:r>
                <w:rPr>
                  <w:rFonts w:ascii="Arial" w:cs="Arial" w:eastAsia="Arial" w:hAnsi="Arial"/>
                  <w:sz w:val="15"/>
                  <w:szCs w:val="15"/>
                  <w:color w:val="0000EE"/>
                  <w:w w:val="90"/>
                </w:rPr>
                <w:t>The Exchange Offer</w:t>
              </w:r>
            </w:hyperlink>
          </w:p>
        </w:tc>
        <w:tc>
          <w:tcPr>
            <w:tcW w:w="2780" w:type="dxa"/>
            <w:vAlign w:val="bottom"/>
            <w:gridSpan w:val="9"/>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33">
              <w:r>
                <w:rPr>
                  <w:rFonts w:ascii="Arial" w:cs="Arial" w:eastAsia="Arial" w:hAnsi="Arial"/>
                  <w:sz w:val="15"/>
                  <w:szCs w:val="15"/>
                  <w:color w:val="0000EE"/>
                </w:rPr>
                <w:t>Ratio of Earnings to Fixed Charges</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262"/>
        </w:trPr>
        <w:tc>
          <w:tcPr>
            <w:tcW w:w="2140" w:type="dxa"/>
            <w:vAlign w:val="bottom"/>
            <w:tcBorders>
              <w:top w:val="single" w:sz="8" w:color="0000EE"/>
            </w:tcBorders>
            <w:gridSpan w:val="13"/>
          </w:tcPr>
          <w:p>
            <w:pPr>
              <w:spacing w:after="0"/>
              <w:rPr>
                <w:rFonts w:ascii="Arial" w:cs="Arial" w:eastAsia="Arial" w:hAnsi="Arial"/>
                <w:sz w:val="15"/>
                <w:szCs w:val="15"/>
                <w:color w:val="0000EE"/>
              </w:rPr>
            </w:pPr>
            <w:hyperlink w:anchor="page33">
              <w:r>
                <w:rPr>
                  <w:rFonts w:ascii="Arial" w:cs="Arial" w:eastAsia="Arial" w:hAnsi="Arial"/>
                  <w:sz w:val="15"/>
                  <w:szCs w:val="15"/>
                  <w:color w:val="0000EE"/>
                </w:rPr>
                <w:t>Use of Proceeds</w:t>
              </w:r>
            </w:hyperlink>
          </w:p>
        </w:tc>
        <w:tc>
          <w:tcPr>
            <w:tcW w:w="1880" w:type="dxa"/>
            <w:vAlign w:val="bottom"/>
            <w:gridSpan w:val="5"/>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262"/>
        </w:trPr>
        <w:tc>
          <w:tcPr>
            <w:tcW w:w="8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5"/>
                <w:szCs w:val="15"/>
                <w:color w:val="0000EE"/>
                <w:w w:val="93"/>
              </w:rPr>
              <w:t>Capitalization</w:t>
            </w:r>
          </w:p>
        </w:tc>
        <w:tc>
          <w:tcPr>
            <w:tcW w:w="120" w:type="dxa"/>
            <w:vAlign w:val="bottom"/>
            <w:tcBorders>
              <w:top w:val="single" w:sz="8" w:color="0000EE"/>
            </w:tcBorders>
          </w:tcPr>
          <w:p>
            <w:pPr>
              <w:spacing w:after="0"/>
              <w:rPr>
                <w:sz w:val="22"/>
                <w:szCs w:val="22"/>
                <w:color w:val="auto"/>
              </w:rPr>
            </w:pPr>
          </w:p>
        </w:tc>
        <w:tc>
          <w:tcPr>
            <w:tcW w:w="3040" w:type="dxa"/>
            <w:vAlign w:val="bottom"/>
            <w:gridSpan w:val="11"/>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28</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34">
              <w:r>
                <w:rPr>
                  <w:rFonts w:ascii="Arial" w:cs="Arial" w:eastAsia="Arial" w:hAnsi="Arial"/>
                  <w:sz w:val="15"/>
                  <w:szCs w:val="15"/>
                  <w:color w:val="0000EE"/>
                </w:rPr>
                <w:t>Selected Consolidated Financial Data</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62"/>
        </w:trPr>
        <w:tc>
          <w:tcPr>
            <w:tcW w:w="2200" w:type="dxa"/>
            <w:vAlign w:val="bottom"/>
            <w:tcBorders>
              <w:top w:val="single" w:sz="8" w:color="0000EE"/>
              <w:bottom w:val="single" w:sz="8" w:color="0000EE"/>
            </w:tcBorders>
            <w:gridSpan w:val="14"/>
          </w:tcPr>
          <w:p>
            <w:pPr>
              <w:spacing w:after="0"/>
              <w:rPr>
                <w:rFonts w:ascii="Arial" w:cs="Arial" w:eastAsia="Arial" w:hAnsi="Arial"/>
                <w:sz w:val="15"/>
                <w:szCs w:val="15"/>
                <w:color w:val="0000EE"/>
                <w:w w:val="91"/>
              </w:rPr>
            </w:pPr>
            <w:hyperlink w:anchor="page36">
              <w:r>
                <w:rPr>
                  <w:rFonts w:ascii="Arial" w:cs="Arial" w:eastAsia="Arial" w:hAnsi="Arial"/>
                  <w:sz w:val="15"/>
                  <w:szCs w:val="15"/>
                  <w:color w:val="0000EE"/>
                  <w:w w:val="91"/>
                </w:rPr>
                <w:t>Description of Certain Indebtedness</w:t>
              </w:r>
            </w:hyperlink>
          </w:p>
        </w:tc>
        <w:tc>
          <w:tcPr>
            <w:tcW w:w="80" w:type="dxa"/>
            <w:vAlign w:val="bottom"/>
            <w:tcBorders>
              <w:top w:val="single" w:sz="8" w:color="0000EE"/>
            </w:tcBorders>
          </w:tcPr>
          <w:p>
            <w:pPr>
              <w:spacing w:after="0"/>
              <w:rPr>
                <w:sz w:val="22"/>
                <w:szCs w:val="22"/>
                <w:color w:val="auto"/>
              </w:rPr>
            </w:pPr>
          </w:p>
        </w:tc>
        <w:tc>
          <w:tcPr>
            <w:tcW w:w="1740" w:type="dxa"/>
            <w:vAlign w:val="bottom"/>
            <w:gridSpan w:val="3"/>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Description of Notes</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262"/>
        </w:trPr>
        <w:tc>
          <w:tcPr>
            <w:tcW w:w="3020" w:type="dxa"/>
            <w:vAlign w:val="bottom"/>
            <w:tcBorders>
              <w:bottom w:val="single" w:sz="8" w:color="0000EE"/>
            </w:tcBorders>
            <w:gridSpan w:val="16"/>
          </w:tcPr>
          <w:p>
            <w:pPr>
              <w:spacing w:after="0"/>
              <w:rPr>
                <w:rFonts w:ascii="Arial" w:cs="Arial" w:eastAsia="Arial" w:hAnsi="Arial"/>
                <w:sz w:val="15"/>
                <w:szCs w:val="15"/>
                <w:color w:val="0000EE"/>
                <w:w w:val="90"/>
              </w:rPr>
            </w:pPr>
            <w:hyperlink w:anchor="page73">
              <w:r>
                <w:rPr>
                  <w:rFonts w:ascii="Arial" w:cs="Arial" w:eastAsia="Arial" w:hAnsi="Arial"/>
                  <w:sz w:val="15"/>
                  <w:szCs w:val="15"/>
                  <w:color w:val="0000EE"/>
                  <w:w w:val="90"/>
                </w:rPr>
                <w:t>Certain United States Federal Tax Considerations</w:t>
              </w:r>
            </w:hyperlink>
          </w:p>
        </w:tc>
        <w:tc>
          <w:tcPr>
            <w:tcW w:w="1000" w:type="dxa"/>
            <w:vAlign w:val="bottom"/>
            <w:gridSpan w:val="2"/>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68</w:t>
            </w:r>
          </w:p>
        </w:tc>
      </w:tr>
      <w:tr>
        <w:trPr>
          <w:trHeight w:val="262"/>
        </w:trPr>
        <w:tc>
          <w:tcPr>
            <w:tcW w:w="4020" w:type="dxa"/>
            <w:vAlign w:val="bottom"/>
            <w:gridSpan w:val="18"/>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ERISA Considerations</w:t>
              </w:r>
            </w:hyperlink>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72</w:t>
            </w:r>
          </w:p>
        </w:tc>
      </w:tr>
      <w:tr>
        <w:trPr>
          <w:trHeight w:val="262"/>
        </w:trPr>
        <w:tc>
          <w:tcPr>
            <w:tcW w:w="1380" w:type="dxa"/>
            <w:vAlign w:val="bottom"/>
            <w:tcBorders>
              <w:top w:val="single" w:sz="8" w:color="0000EE"/>
            </w:tcBorders>
            <w:gridSpan w:val="12"/>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Plan of Distribution</w:t>
              </w:r>
            </w:hyperlink>
          </w:p>
        </w:tc>
        <w:tc>
          <w:tcPr>
            <w:tcW w:w="2640" w:type="dxa"/>
            <w:vAlign w:val="bottom"/>
            <w:gridSpan w:val="6"/>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73</w:t>
            </w:r>
          </w:p>
        </w:tc>
      </w:tr>
      <w:tr>
        <w:trPr>
          <w:trHeight w:val="262"/>
        </w:trPr>
        <w:tc>
          <w:tcPr>
            <w:tcW w:w="1200" w:type="dxa"/>
            <w:vAlign w:val="bottom"/>
            <w:tcBorders>
              <w:top w:val="single" w:sz="8" w:color="0000EE"/>
            </w:tcBorders>
            <w:gridSpan w:val="8"/>
          </w:tcPr>
          <w:p>
            <w:pPr>
              <w:spacing w:after="0"/>
              <w:rPr>
                <w:rFonts w:ascii="Arial" w:cs="Arial" w:eastAsia="Arial" w:hAnsi="Arial"/>
                <w:sz w:val="15"/>
                <w:szCs w:val="15"/>
                <w:color w:val="0000EE"/>
              </w:rPr>
            </w:pPr>
            <w:hyperlink w:anchor="page79">
              <w:r>
                <w:rPr>
                  <w:rFonts w:ascii="Arial" w:cs="Arial" w:eastAsia="Arial" w:hAnsi="Arial"/>
                  <w:sz w:val="15"/>
                  <w:szCs w:val="15"/>
                  <w:color w:val="0000EE"/>
                </w:rPr>
                <w:t>Legal Matters</w:t>
              </w:r>
            </w:hyperlink>
          </w:p>
        </w:tc>
        <w:tc>
          <w:tcPr>
            <w:tcW w:w="2820" w:type="dxa"/>
            <w:vAlign w:val="bottom"/>
            <w:gridSpan w:val="10"/>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74</w:t>
            </w:r>
          </w:p>
        </w:tc>
      </w:tr>
      <w:tr>
        <w:trPr>
          <w:trHeight w:val="262"/>
        </w:trPr>
        <w:tc>
          <w:tcPr>
            <w:tcW w:w="840" w:type="dxa"/>
            <w:vAlign w:val="bottom"/>
            <w:tcBorders>
              <w:top w:val="single" w:sz="8" w:color="0000EE"/>
            </w:tcBorders>
            <w:gridSpan w:val="5"/>
          </w:tcPr>
          <w:p>
            <w:pPr>
              <w:spacing w:after="0"/>
              <w:rPr>
                <w:rFonts w:ascii="Arial" w:cs="Arial" w:eastAsia="Arial" w:hAnsi="Arial"/>
                <w:sz w:val="15"/>
                <w:szCs w:val="15"/>
                <w:color w:val="0000EE"/>
              </w:rPr>
            </w:pPr>
            <w:hyperlink w:anchor="page79">
              <w:r>
                <w:rPr>
                  <w:rFonts w:ascii="Arial" w:cs="Arial" w:eastAsia="Arial" w:hAnsi="Arial"/>
                  <w:sz w:val="15"/>
                  <w:szCs w:val="15"/>
                  <w:color w:val="0000EE"/>
                </w:rPr>
                <w:t>Experts</w:t>
              </w:r>
            </w:hyperlink>
          </w:p>
        </w:tc>
        <w:tc>
          <w:tcPr>
            <w:tcW w:w="3180" w:type="dxa"/>
            <w:vAlign w:val="bottom"/>
            <w:gridSpan w:val="13"/>
          </w:tcPr>
          <w:p>
            <w:pPr>
              <w:spacing w:after="0"/>
              <w:rPr>
                <w:sz w:val="22"/>
                <w:szCs w:val="22"/>
                <w:color w:val="auto"/>
              </w:rPr>
            </w:pPr>
          </w:p>
        </w:tc>
        <w:tc>
          <w:tcPr>
            <w:tcW w:w="7420" w:type="dxa"/>
            <w:vAlign w:val="bottom"/>
            <w:gridSpan w:val="2"/>
          </w:tcPr>
          <w:p>
            <w:pPr>
              <w:jc w:val="right"/>
              <w:spacing w:after="0"/>
              <w:rPr>
                <w:sz w:val="20"/>
                <w:szCs w:val="20"/>
                <w:color w:val="auto"/>
              </w:rPr>
            </w:pPr>
            <w:r>
              <w:rPr>
                <w:rFonts w:ascii="Arial" w:cs="Arial" w:eastAsia="Arial" w:hAnsi="Arial"/>
                <w:sz w:val="15"/>
                <w:szCs w:val="15"/>
                <w:color w:val="auto"/>
              </w:rPr>
              <w:t>74</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440"/>
          </w:cols>
          <w:pgMar w:left="240" w:top="417" w:right="2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AVAILABLE INFORMATION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file reports, proxy statements and other information with the SEC, in accordance with the Securities Exchange Act of 1934, as amended.</w:t>
      </w:r>
    </w:p>
    <w:p>
      <w:pPr>
        <w:spacing w:after="0" w:line="145"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On January 8, 2004, we filed with the SEC a registration statement on Form S-4 under the Securities Act, of which this prospectus is a part. This prospectus does not contain all of the information in the registration statement.</w:t>
      </w:r>
    </w:p>
    <w:p>
      <w:pPr>
        <w:spacing w:after="0" w:line="87" w:lineRule="exact"/>
        <w:rPr>
          <w:sz w:val="20"/>
          <w:szCs w:val="20"/>
          <w:color w:val="auto"/>
        </w:rPr>
      </w:pPr>
    </w:p>
    <w:p>
      <w:pPr>
        <w:ind w:firstLine="457"/>
        <w:spacing w:after="0" w:line="319" w:lineRule="auto"/>
        <w:rPr>
          <w:sz w:val="20"/>
          <w:szCs w:val="20"/>
          <w:color w:val="auto"/>
        </w:rPr>
      </w:pPr>
      <w:r>
        <w:rPr>
          <w:rFonts w:ascii="Arial" w:cs="Arial" w:eastAsia="Arial" w:hAnsi="Arial"/>
          <w:sz w:val="13"/>
          <w:szCs w:val="13"/>
          <w:color w:val="auto"/>
        </w:rPr>
        <w:t>Any statements made in this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SEC at 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facilities. Filed documents are also available to the public over the Internet on the SEC’s website at http://www.sec.gov.</w:t>
      </w:r>
    </w:p>
    <w:p>
      <w:pPr>
        <w:spacing w:after="0" w:line="7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Copies of documents incorporated in this prospectus by reference or other documents referred to in this prospectus may be obtained upon request without charge by contacting The Scotts Company, 14111 Scottslawn Road, Marysville, Ohio 43041, Attention: Treasurer, (937) 644-0011.</w:t>
      </w:r>
    </w:p>
    <w:p>
      <w:pPr>
        <w:spacing w:after="0" w:line="87" w:lineRule="exact"/>
        <w:rPr>
          <w:sz w:val="20"/>
          <w:szCs w:val="20"/>
          <w:color w:val="auto"/>
        </w:rPr>
      </w:pPr>
    </w:p>
    <w:p>
      <w:pPr>
        <w:ind w:right="20" w:firstLine="457"/>
        <w:spacing w:after="0" w:line="276" w:lineRule="auto"/>
        <w:rPr>
          <w:sz w:val="20"/>
          <w:szCs w:val="20"/>
          <w:color w:val="auto"/>
        </w:rPr>
      </w:pPr>
      <w:r>
        <w:rPr>
          <w:rFonts w:ascii="Arial" w:cs="Arial" w:eastAsia="Arial" w:hAnsi="Arial"/>
          <w:sz w:val="15"/>
          <w:szCs w:val="15"/>
          <w:color w:val="auto"/>
        </w:rPr>
        <w:t>We are “incorporating” the following documents into this prospectus by reference, which means that we are disclosing important information to you by referring to documents that contain such information. The information incorporated by reference is an important part of this prospectus, and information we file later with the SEC will automatically update and supersede the information in this prospectus. We incorporate by reference the documents listed below that we have previously filed with the SEC:</w:t>
      </w:r>
    </w:p>
    <w:p>
      <w:pPr>
        <w:spacing w:after="0" w:line="27" w:lineRule="exact"/>
        <w:rPr>
          <w:sz w:val="20"/>
          <w:szCs w:val="20"/>
          <w:color w:val="auto"/>
        </w:rPr>
      </w:pPr>
    </w:p>
    <w:p>
      <w:pPr>
        <w:ind w:left="780" w:hanging="340"/>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Annual Report on Form 10-K for the fiscal year ended September 30, 2003;</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definitive proxy statement for our 2004 annual meeting of shareholders, filed with the SEC on December 19, 2003;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Current Report on Form 8-K filed with the SEC on January 8, 2004.</w:t>
      </w:r>
    </w:p>
    <w:p>
      <w:pPr>
        <w:spacing w:after="0" w:line="145"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We are also incorporating by reference all other reports that we filed or will file with the SEC under Sections 13(a), 13(c), 14 or 15(d) of the Exchange Act since September 30, 2003 and prior to the completion of the exchange offer. Information furnished under Item 9 or Item 12 of any of our Current Reports on Form 8-K is not incorporated by reference in this prospectus.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DISCLOSURE REGARDING FORWARD-LOOKING STATEMENTS</w:t>
      </w:r>
    </w:p>
    <w:p>
      <w:pPr>
        <w:spacing w:after="0" w:line="149"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This prospectus contains forward-looking statements that involve risks and uncertainties. You may find these statements under the sections entitled “Summary” or “Risk Factors,” in the documents incorporated by reference in this prospectus or by the use of forward-looking terminology such as “believe,” “expect,” “anticipate,” “estimate,” “plan,” “project,” “may,” “will” or other similar words. We have based these forward-looking statements on our own information and on information from other sources that we believe are reliable. Our actual results may differ materially from those expressed or implied by these forward-looking statements as a result of the factors discussed under the caption “Risk Factors” and other factors noted throughout, or incorporated into, this prospectus including, but not limited to:</w:t>
      </w:r>
    </w:p>
    <w:p>
      <w:pPr>
        <w:spacing w:after="0" w:line="35" w:lineRule="exact"/>
        <w:rPr>
          <w:sz w:val="20"/>
          <w:szCs w:val="20"/>
          <w:color w:val="auto"/>
        </w:rPr>
      </w:pPr>
    </w:p>
    <w:p>
      <w:pPr>
        <w:ind w:left="780" w:hanging="340"/>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adverse weather conditions could adversely affect our sales and financial results;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historical seasonality could impair our ability to pay obligations as they come due and operating expenses;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20"/>
          </w:cols>
          <w:pgMar w:left="240" w:top="417"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substantial indebtedness could adversely affect our financial health;</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public perceptions regarding the safety of our products could adversely affect us;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nature of certain of our products and our business success contribute to the risk that we will be subject to lawsuits;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loss of one or more of our top customers could adversely affect our financial results because of the concentration of our sales to a small number of retail customers;</w:t>
      </w:r>
    </w:p>
    <w:p>
      <w:pPr>
        <w:spacing w:after="0" w:line="85" w:lineRule="exact"/>
        <w:rPr>
          <w:rFonts w:ascii="Arial" w:cs="Arial" w:eastAsia="Arial" w:hAnsi="Arial"/>
          <w:sz w:val="14"/>
          <w:szCs w:val="14"/>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highly competitive nature of our markets could adversely affect our ability to grow or maintain revenues;</w:t>
      </w:r>
    </w:p>
    <w:p>
      <w:pPr>
        <w:spacing w:after="0" w:line="74" w:lineRule="exact"/>
        <w:rPr>
          <w:rFonts w:ascii="Arial" w:cs="Arial" w:eastAsia="Arial" w:hAnsi="Arial"/>
          <w:sz w:val="15"/>
          <w:szCs w:val="15"/>
          <w:color w:val="auto"/>
        </w:rPr>
      </w:pPr>
    </w:p>
    <w:p>
      <w:pPr>
        <w:ind w:left="780" w:right="240" w:hanging="340"/>
        <w:spacing w:after="0" w:line="234"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Monsanto Technology LLC terminated the Marketing Agreement for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products without being required to pay any termination fee, we would lose a substantial source of future earnings;</w:t>
      </w:r>
    </w:p>
    <w:p>
      <w:pPr>
        <w:spacing w:after="0" w:line="53" w:lineRule="exact"/>
        <w:rPr>
          <w:rFonts w:ascii="Arial" w:cs="Arial" w:eastAsia="Arial" w:hAnsi="Arial"/>
          <w:sz w:val="15"/>
          <w:szCs w:val="15"/>
          <w:color w:val="auto"/>
        </w:rPr>
      </w:pPr>
    </w:p>
    <w:p>
      <w:pPr>
        <w:ind w:left="780" w:right="720" w:hanging="340"/>
        <w:spacing w:after="0" w:line="291"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Hagedorn Partnership, L.P. beneficially owns approximately 34% of our outstanding common shares on a fully-diluted basis and has sufficient voting power to significantly influence actions requiring the approval of our shareholders;</w:t>
      </w:r>
    </w:p>
    <w:p>
      <w:pPr>
        <w:spacing w:after="0" w:line="16" w:lineRule="exact"/>
        <w:rPr>
          <w:rFonts w:ascii="Arial" w:cs="Arial" w:eastAsia="Arial" w:hAnsi="Arial"/>
          <w:sz w:val="15"/>
          <w:szCs w:val="15"/>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compliance with environmental and other public health regulations could increase our cost of doing business;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significant international operations make us more susceptible to fluctuations in currency exchange rates and to the costs of international regulation.</w:t>
      </w:r>
    </w:p>
    <w:p>
      <w:pPr>
        <w:spacing w:after="0" w:line="14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light of the uncertainties relating to these factors and other factors noted throughout or incorporated by reference into this prospectus, you should not place undue reliance on our forward-looking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CERTAIN TERMS</w:t>
      </w:r>
    </w:p>
    <w:p>
      <w:pPr>
        <w:spacing w:after="0" w:line="149"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All references in this prospectus to “Scotts,” “we,” “us,” “our,” or the “Company” are to The Scotts Company and its subsidiaries, unless the context otherwise requires. All references in this prospectus to the “Original Notes” refers to our outstanding 6.625% Series A senior subordinated notes due 2013, and all references to the “Exchange Notes” refers to the 6.625% Series B senior subordinated notes due 2013. Unless otherwise indicated, the term “Notes” refers to both the Original Notes and the Exchange Notes. “SEC” refers to the U.S. Securities and Exchange Commission. All references to our fiscal year refer to the year ended September 30.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w:t>
      </w:r>
    </w:p>
    <w:p>
      <w:pPr>
        <w:spacing w:after="0" w:line="149" w:lineRule="exact"/>
        <w:rPr>
          <w:sz w:val="20"/>
          <w:szCs w:val="20"/>
          <w:color w:val="auto"/>
        </w:rPr>
      </w:pPr>
    </w:p>
    <w:p>
      <w:pPr>
        <w:ind w:right="100" w:firstLine="457"/>
        <w:spacing w:after="0" w:line="232" w:lineRule="auto"/>
        <w:rPr>
          <w:sz w:val="20"/>
          <w:szCs w:val="20"/>
          <w:color w:val="auto"/>
        </w:rPr>
      </w:pPr>
      <w:r>
        <w:rPr>
          <w:rFonts w:ascii="Arial" w:cs="Arial" w:eastAsia="Arial" w:hAnsi="Arial"/>
          <w:sz w:val="15"/>
          <w:szCs w:val="15"/>
          <w:color w:val="auto"/>
        </w:rPr>
        <w:t>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is a registered trademark of Monsanto Technology LLC (an affiliate of Monsanto Company). We market and distribute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products for Monsanto under a marketing agreement. For additional information, please see the discussion under the heading “Business—Roundup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Marketing Agreement” in our Annual Report on Form 10-K for the fiscal year ended September 30, 2003, which is incorporated by reference herein. Unless otherwise indicated, all other trademarks, service marks or brand names appearing in this prospectus are the property of Scotts.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40"/>
          </w:cols>
          <w:pgMar w:left="240" w:top="417" w:right="2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SUMMARY</w:t>
      </w:r>
    </w:p>
    <w:p>
      <w:pPr>
        <w:spacing w:after="0" w:line="149"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i w:val="1"/>
          <w:iCs w:val="1"/>
          <w:color w:val="auto"/>
        </w:rPr>
        <w:t>The following summary highlights selected information from this prospectus and may not contain all of the information that is important to you. You should read this prospectus in its entirety for specific terms of the Notes as well as detailed information regarding our business and results of operations.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Scotts Company</w:t>
      </w:r>
    </w:p>
    <w:p>
      <w:pPr>
        <w:spacing w:after="0" w:line="149" w:lineRule="exact"/>
        <w:rPr>
          <w:sz w:val="20"/>
          <w:szCs w:val="20"/>
          <w:color w:val="auto"/>
        </w:rPr>
      </w:pPr>
    </w:p>
    <w:p>
      <w:pPr>
        <w:ind w:firstLine="457"/>
        <w:spacing w:after="0" w:line="231" w:lineRule="auto"/>
        <w:rPr>
          <w:sz w:val="20"/>
          <w:szCs w:val="20"/>
          <w:color w:val="auto"/>
        </w:rPr>
      </w:pPr>
      <w:r>
        <w:rPr>
          <w:rFonts w:ascii="Arial" w:cs="Arial" w:eastAsia="Arial" w:hAnsi="Arial"/>
          <w:sz w:val="15"/>
          <w:szCs w:val="15"/>
          <w:color w:val="auto"/>
        </w:rPr>
        <w:t>The Scotts Company, an Ohio corporation, is the combination of two of the most innovative companies in the consumer lawn and garden market: O.M. Scott &amp; Sons, which traces its heritage back to a company founded by O.M. Scott in Marysville, Ohio in 1868, and Stern’s Miracle-Gro Products, Inc., which traces its heritage back to a company formed on Long Island by Horace Hagedorn and his partner in 1951. In the mid 1900’s, Scotts had become widely known for innovation in the development of quality lawn fertilizers and grass seeds that led to the creation of a new industry—consumer lawn care. Today, we believe the Scotts</w:t>
      </w:r>
      <w:r>
        <w:rPr>
          <w:rFonts w:ascii="Arial" w:cs="Arial" w:eastAsia="Arial" w:hAnsi="Arial"/>
          <w:sz w:val="19"/>
          <w:szCs w:val="19"/>
          <w:color w:val="auto"/>
          <w:vertAlign w:val="superscript"/>
        </w:rPr>
        <w:t>®</w:t>
      </w:r>
      <w:r>
        <w:rPr>
          <w:rFonts w:ascii="Arial" w:cs="Arial" w:eastAsia="Arial" w:hAnsi="Arial"/>
          <w:sz w:val="15"/>
          <w:szCs w:val="15"/>
          <w:color w:val="auto"/>
        </w:rPr>
        <w:t>, Turf Builder</w:t>
      </w:r>
      <w:r>
        <w:rPr>
          <w:rFonts w:ascii="Arial" w:cs="Arial" w:eastAsia="Arial" w:hAnsi="Arial"/>
          <w:sz w:val="19"/>
          <w:szCs w:val="19"/>
          <w:color w:val="auto"/>
          <w:vertAlign w:val="superscript"/>
        </w:rPr>
        <w:t>®</w:t>
      </w:r>
      <w:r>
        <w:rPr>
          <w:rFonts w:ascii="Arial" w:cs="Arial" w:eastAsia="Arial" w:hAnsi="Arial"/>
          <w:sz w:val="15"/>
          <w:szCs w:val="15"/>
          <w:color w:val="auto"/>
        </w:rPr>
        <w:t>, Miracle-Gro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Ortho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brands are among the most widely recognized brands in the U.S. consumer lawn care industry. We are also Monsanto’s exclusive agent for the marketing and distribution of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non-selective herbicide within the United States and other contractually specified countries.</w:t>
      </w:r>
    </w:p>
    <w:p>
      <w:pPr>
        <w:spacing w:after="0" w:line="128" w:lineRule="exact"/>
        <w:rPr>
          <w:sz w:val="20"/>
          <w:szCs w:val="20"/>
          <w:color w:val="auto"/>
        </w:rPr>
      </w:pPr>
    </w:p>
    <w:p>
      <w:pPr>
        <w:ind w:right="80" w:firstLine="457"/>
        <w:spacing w:after="0" w:line="256" w:lineRule="auto"/>
        <w:rPr>
          <w:sz w:val="20"/>
          <w:szCs w:val="20"/>
          <w:color w:val="auto"/>
        </w:rPr>
      </w:pPr>
      <w:r>
        <w:rPr>
          <w:rFonts w:ascii="Arial" w:cs="Arial" w:eastAsia="Arial" w:hAnsi="Arial"/>
          <w:sz w:val="15"/>
          <w:szCs w:val="15"/>
          <w:color w:val="auto"/>
        </w:rPr>
        <w:t>In fiscal 1995, through a stock-for-stock acquisition, Scotts and Miracle-Gro joined forces in what became the start of several acquisitions of other leading brands in the lawn and garden industry in North America and Europe. In fiscal 1999, we acquired the Ortho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and exclusive rights to market the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thereby adding industry-leading pesticides and herbicides to our controls portfolio. In the 1990’s, we completed several acquisitions in Europe which gave us well-known brands in France, Germany and the United Kingdom. We have also rapidly expanded into the lawn care service industry through our Scotts LawnService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w:t>
      </w:r>
    </w:p>
    <w:p>
      <w:pPr>
        <w:spacing w:after="0" w:line="47" w:lineRule="exact"/>
        <w:rPr>
          <w:sz w:val="20"/>
          <w:szCs w:val="20"/>
          <w:color w:val="auto"/>
        </w:rPr>
      </w:pPr>
    </w:p>
    <w:p>
      <w:pPr>
        <w:ind w:right="240" w:firstLine="457"/>
        <w:spacing w:after="0" w:line="373" w:lineRule="auto"/>
        <w:rPr>
          <w:sz w:val="20"/>
          <w:szCs w:val="20"/>
          <w:color w:val="auto"/>
        </w:rPr>
      </w:pPr>
      <w:r>
        <w:rPr>
          <w:rFonts w:ascii="Arial" w:cs="Arial" w:eastAsia="Arial" w:hAnsi="Arial"/>
          <w:sz w:val="13"/>
          <w:szCs w:val="13"/>
          <w:color w:val="auto"/>
        </w:rPr>
        <w:t>We believe that our market leadership in the lawn and garden category is driven by our widely recognized brands, consumer-focused marketing, superior product performance, supply chain competency, highly knowledgeable field sales and merchandising organization and the strength of our relationships with major U.S. retailers in our product categories.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Competitive Strengths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Strong Brand Portfolio</w:t>
      </w:r>
    </w:p>
    <w:p>
      <w:pPr>
        <w:spacing w:after="0" w:line="74" w:lineRule="exact"/>
        <w:rPr>
          <w:sz w:val="20"/>
          <w:szCs w:val="20"/>
          <w:color w:val="auto"/>
        </w:rPr>
      </w:pPr>
    </w:p>
    <w:p>
      <w:pPr>
        <w:ind w:right="60" w:firstLine="457"/>
        <w:spacing w:after="0" w:line="276" w:lineRule="auto"/>
        <w:rPr>
          <w:sz w:val="20"/>
          <w:szCs w:val="20"/>
          <w:color w:val="auto"/>
        </w:rPr>
      </w:pPr>
      <w:r>
        <w:rPr>
          <w:rFonts w:ascii="Arial" w:cs="Arial" w:eastAsia="Arial" w:hAnsi="Arial"/>
          <w:sz w:val="15"/>
          <w:szCs w:val="15"/>
          <w:color w:val="auto"/>
        </w:rPr>
        <w:t>We believe we are the world’s largest marketer of branded consumer lawn and garden fertilizers, control products and value-added growing media products. We have been able to achieve our market leading position through a combination of internal growth, driven by product line extensions and award-winning advertising campaigns, and acquisitions. Our portfolio of consumer brands includes the following:</w:t>
      </w:r>
    </w:p>
    <w:p>
      <w:pPr>
        <w:spacing w:after="0" w:line="94"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2960" w:type="dxa"/>
            <w:vAlign w:val="bottom"/>
            <w:gridSpan w:val="2"/>
          </w:tcPr>
          <w:p>
            <w:pPr>
              <w:spacing w:after="0"/>
              <w:rPr>
                <w:sz w:val="20"/>
                <w:szCs w:val="20"/>
                <w:color w:val="auto"/>
              </w:rPr>
            </w:pPr>
            <w:r>
              <w:rPr>
                <w:rFonts w:ascii="Arial" w:cs="Arial" w:eastAsia="Arial" w:hAnsi="Arial"/>
                <w:sz w:val="12"/>
                <w:szCs w:val="12"/>
                <w:b w:val="1"/>
                <w:bCs w:val="1"/>
                <w:color w:val="auto"/>
              </w:rPr>
              <w:t>Category</w:t>
            </w:r>
          </w:p>
        </w:tc>
        <w:tc>
          <w:tcPr>
            <w:tcW w:w="4060" w:type="dxa"/>
            <w:vAlign w:val="bottom"/>
            <w:gridSpan w:val="3"/>
          </w:tcPr>
          <w:p>
            <w:pPr>
              <w:ind w:left="1980"/>
              <w:spacing w:after="0"/>
              <w:rPr>
                <w:sz w:val="20"/>
                <w:szCs w:val="20"/>
                <w:color w:val="auto"/>
              </w:rPr>
            </w:pPr>
            <w:r>
              <w:rPr>
                <w:rFonts w:ascii="Arial" w:cs="Arial" w:eastAsia="Arial" w:hAnsi="Arial"/>
                <w:sz w:val="12"/>
                <w:szCs w:val="12"/>
                <w:b w:val="1"/>
                <w:bCs w:val="1"/>
                <w:color w:val="auto"/>
              </w:rPr>
              <w:t>Brands</w:t>
            </w:r>
          </w:p>
        </w:tc>
      </w:tr>
      <w:tr>
        <w:trPr>
          <w:trHeight w:val="83"/>
        </w:trPr>
        <w:tc>
          <w:tcPr>
            <w:tcW w:w="58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r>
      <w:tr>
        <w:trPr>
          <w:trHeight w:val="338"/>
        </w:trPr>
        <w:tc>
          <w:tcPr>
            <w:tcW w:w="2960" w:type="dxa"/>
            <w:vAlign w:val="bottom"/>
            <w:gridSpan w:val="2"/>
          </w:tcPr>
          <w:p>
            <w:pPr>
              <w:spacing w:after="0"/>
              <w:rPr>
                <w:sz w:val="20"/>
                <w:szCs w:val="20"/>
                <w:color w:val="auto"/>
              </w:rPr>
            </w:pPr>
            <w:r>
              <w:rPr>
                <w:rFonts w:ascii="Arial" w:cs="Arial" w:eastAsia="Arial" w:hAnsi="Arial"/>
                <w:sz w:val="15"/>
                <w:szCs w:val="15"/>
                <w:color w:val="auto"/>
              </w:rPr>
              <w:t>Lawns</w:t>
            </w:r>
          </w:p>
        </w:tc>
        <w:tc>
          <w:tcPr>
            <w:tcW w:w="4060" w:type="dxa"/>
            <w:vAlign w:val="bottom"/>
            <w:gridSpan w:val="3"/>
          </w:tcPr>
          <w:p>
            <w:pPr>
              <w:ind w:left="1980"/>
              <w:spacing w:after="0"/>
              <w:rPr>
                <w:sz w:val="20"/>
                <w:szCs w:val="20"/>
                <w:color w:val="auto"/>
              </w:rPr>
            </w:pPr>
            <w:r>
              <w:rPr>
                <w:rFonts w:ascii="Arial" w:cs="Arial" w:eastAsia="Arial" w:hAnsi="Arial"/>
                <w:sz w:val="15"/>
                <w:szCs w:val="15"/>
                <w:color w:val="auto"/>
              </w:rPr>
              <w:t>Scotts</w:t>
            </w:r>
            <w:r>
              <w:rPr>
                <w:rFonts w:ascii="Arial" w:cs="Arial" w:eastAsia="Arial" w:hAnsi="Arial"/>
                <w:sz w:val="19"/>
                <w:szCs w:val="19"/>
                <w:color w:val="auto"/>
                <w:vertAlign w:val="superscript"/>
              </w:rPr>
              <w:t>®</w:t>
            </w:r>
            <w:r>
              <w:rPr>
                <w:rFonts w:ascii="Arial" w:cs="Arial" w:eastAsia="Arial" w:hAnsi="Arial"/>
                <w:sz w:val="15"/>
                <w:szCs w:val="15"/>
                <w:color w:val="auto"/>
              </w:rPr>
              <w:t>; Turf Builder</w:t>
            </w:r>
            <w:r>
              <w:rPr>
                <w:rFonts w:ascii="Arial" w:cs="Arial" w:eastAsia="Arial" w:hAnsi="Arial"/>
                <w:sz w:val="19"/>
                <w:szCs w:val="19"/>
                <w:color w:val="auto"/>
                <w:vertAlign w:val="superscript"/>
              </w:rPr>
              <w:t>®</w:t>
            </w:r>
          </w:p>
        </w:tc>
      </w:tr>
      <w:tr>
        <w:trPr>
          <w:trHeight w:val="282"/>
        </w:trPr>
        <w:tc>
          <w:tcPr>
            <w:tcW w:w="2960" w:type="dxa"/>
            <w:vAlign w:val="bottom"/>
            <w:gridSpan w:val="2"/>
          </w:tcPr>
          <w:p>
            <w:pPr>
              <w:spacing w:after="0"/>
              <w:rPr>
                <w:sz w:val="20"/>
                <w:szCs w:val="20"/>
                <w:color w:val="auto"/>
              </w:rPr>
            </w:pPr>
            <w:r>
              <w:rPr>
                <w:rFonts w:ascii="Arial" w:cs="Arial" w:eastAsia="Arial" w:hAnsi="Arial"/>
                <w:sz w:val="15"/>
                <w:szCs w:val="15"/>
                <w:color w:val="auto"/>
              </w:rPr>
              <w:t>Gardens</w:t>
            </w:r>
          </w:p>
        </w:tc>
        <w:tc>
          <w:tcPr>
            <w:tcW w:w="4060" w:type="dxa"/>
            <w:vAlign w:val="bottom"/>
            <w:gridSpan w:val="3"/>
          </w:tcPr>
          <w:p>
            <w:pPr>
              <w:ind w:left="1980"/>
              <w:spacing w:after="0"/>
              <w:rPr>
                <w:sz w:val="20"/>
                <w:szCs w:val="20"/>
                <w:color w:val="auto"/>
              </w:rPr>
            </w:pPr>
            <w:r>
              <w:rPr>
                <w:rFonts w:ascii="Arial" w:cs="Arial" w:eastAsia="Arial" w:hAnsi="Arial"/>
                <w:sz w:val="15"/>
                <w:szCs w:val="15"/>
                <w:color w:val="auto"/>
              </w:rPr>
              <w:t>Miracle-Gro</w:t>
            </w:r>
            <w:r>
              <w:rPr>
                <w:rFonts w:ascii="Arial" w:cs="Arial" w:eastAsia="Arial" w:hAnsi="Arial"/>
                <w:sz w:val="19"/>
                <w:szCs w:val="19"/>
                <w:color w:val="auto"/>
                <w:vertAlign w:val="superscript"/>
              </w:rPr>
              <w:t>®</w:t>
            </w:r>
            <w:r>
              <w:rPr>
                <w:rFonts w:ascii="Arial" w:cs="Arial" w:eastAsia="Arial" w:hAnsi="Arial"/>
                <w:sz w:val="15"/>
                <w:szCs w:val="15"/>
                <w:color w:val="auto"/>
              </w:rPr>
              <w:t>; Osmocote</w:t>
            </w:r>
            <w:r>
              <w:rPr>
                <w:rFonts w:ascii="Arial" w:cs="Arial" w:eastAsia="Arial" w:hAnsi="Arial"/>
                <w:sz w:val="19"/>
                <w:szCs w:val="19"/>
                <w:color w:val="auto"/>
                <w:vertAlign w:val="superscript"/>
              </w:rPr>
              <w:t>®</w:t>
            </w:r>
          </w:p>
        </w:tc>
      </w:tr>
      <w:tr>
        <w:trPr>
          <w:trHeight w:val="282"/>
        </w:trPr>
        <w:tc>
          <w:tcPr>
            <w:tcW w:w="2960" w:type="dxa"/>
            <w:vAlign w:val="bottom"/>
            <w:gridSpan w:val="2"/>
          </w:tcPr>
          <w:p>
            <w:pPr>
              <w:spacing w:after="0"/>
              <w:rPr>
                <w:sz w:val="20"/>
                <w:szCs w:val="20"/>
                <w:color w:val="auto"/>
              </w:rPr>
            </w:pPr>
            <w:r>
              <w:rPr>
                <w:rFonts w:ascii="Arial" w:cs="Arial" w:eastAsia="Arial" w:hAnsi="Arial"/>
                <w:sz w:val="15"/>
                <w:szCs w:val="15"/>
                <w:color w:val="auto"/>
              </w:rPr>
              <w:t>Growing Media</w:t>
            </w:r>
          </w:p>
        </w:tc>
        <w:tc>
          <w:tcPr>
            <w:tcW w:w="4060" w:type="dxa"/>
            <w:vAlign w:val="bottom"/>
            <w:gridSpan w:val="3"/>
          </w:tcPr>
          <w:p>
            <w:pPr>
              <w:ind w:left="1980"/>
              <w:spacing w:after="0"/>
              <w:rPr>
                <w:sz w:val="20"/>
                <w:szCs w:val="20"/>
                <w:color w:val="auto"/>
              </w:rPr>
            </w:pPr>
            <w:r>
              <w:rPr>
                <w:rFonts w:ascii="Arial" w:cs="Arial" w:eastAsia="Arial" w:hAnsi="Arial"/>
                <w:sz w:val="15"/>
                <w:szCs w:val="15"/>
                <w:color w:val="auto"/>
                <w:w w:val="91"/>
              </w:rPr>
              <w:t>Miracle-Gro</w:t>
            </w:r>
            <w:r>
              <w:rPr>
                <w:rFonts w:ascii="Arial" w:cs="Arial" w:eastAsia="Arial" w:hAnsi="Arial"/>
                <w:sz w:val="19"/>
                <w:szCs w:val="19"/>
                <w:color w:val="auto"/>
                <w:w w:val="91"/>
                <w:vertAlign w:val="superscript"/>
              </w:rPr>
              <w:t>®</w:t>
            </w:r>
            <w:r>
              <w:rPr>
                <w:rFonts w:ascii="Arial" w:cs="Arial" w:eastAsia="Arial" w:hAnsi="Arial"/>
                <w:sz w:val="15"/>
                <w:szCs w:val="15"/>
                <w:color w:val="auto"/>
                <w:w w:val="91"/>
              </w:rPr>
              <w:t>; Scotts</w:t>
            </w:r>
            <w:r>
              <w:rPr>
                <w:rFonts w:ascii="Arial" w:cs="Arial" w:eastAsia="Arial" w:hAnsi="Arial"/>
                <w:sz w:val="19"/>
                <w:szCs w:val="19"/>
                <w:color w:val="auto"/>
                <w:w w:val="91"/>
                <w:vertAlign w:val="superscript"/>
              </w:rPr>
              <w:t>®</w:t>
            </w:r>
            <w:r>
              <w:rPr>
                <w:rFonts w:ascii="Arial" w:cs="Arial" w:eastAsia="Arial" w:hAnsi="Arial"/>
                <w:sz w:val="15"/>
                <w:szCs w:val="15"/>
                <w:color w:val="auto"/>
                <w:w w:val="91"/>
              </w:rPr>
              <w:t>; Hyponex</w:t>
            </w:r>
            <w:r>
              <w:rPr>
                <w:rFonts w:ascii="Arial" w:cs="Arial" w:eastAsia="Arial" w:hAnsi="Arial"/>
                <w:sz w:val="19"/>
                <w:szCs w:val="19"/>
                <w:color w:val="auto"/>
                <w:w w:val="91"/>
                <w:vertAlign w:val="superscript"/>
              </w:rPr>
              <w:t>®</w:t>
            </w:r>
          </w:p>
        </w:tc>
      </w:tr>
      <w:tr>
        <w:trPr>
          <w:trHeight w:val="282"/>
        </w:trPr>
        <w:tc>
          <w:tcPr>
            <w:tcW w:w="2960" w:type="dxa"/>
            <w:vAlign w:val="bottom"/>
            <w:gridSpan w:val="2"/>
          </w:tcPr>
          <w:p>
            <w:pPr>
              <w:spacing w:after="0"/>
              <w:rPr>
                <w:sz w:val="20"/>
                <w:szCs w:val="20"/>
                <w:color w:val="auto"/>
              </w:rPr>
            </w:pPr>
            <w:r>
              <w:rPr>
                <w:rFonts w:ascii="Arial" w:cs="Arial" w:eastAsia="Arial" w:hAnsi="Arial"/>
                <w:sz w:val="15"/>
                <w:szCs w:val="15"/>
                <w:color w:val="auto"/>
              </w:rPr>
              <w:t>Grass Seed</w:t>
            </w:r>
          </w:p>
        </w:tc>
        <w:tc>
          <w:tcPr>
            <w:tcW w:w="4060" w:type="dxa"/>
            <w:vAlign w:val="bottom"/>
            <w:gridSpan w:val="3"/>
          </w:tcPr>
          <w:p>
            <w:pPr>
              <w:ind w:left="1980"/>
              <w:spacing w:after="0"/>
              <w:rPr>
                <w:sz w:val="20"/>
                <w:szCs w:val="20"/>
                <w:color w:val="auto"/>
              </w:rPr>
            </w:pPr>
            <w:r>
              <w:rPr>
                <w:rFonts w:ascii="Arial" w:cs="Arial" w:eastAsia="Arial" w:hAnsi="Arial"/>
                <w:sz w:val="15"/>
                <w:szCs w:val="15"/>
                <w:color w:val="auto"/>
              </w:rPr>
              <w:t>Scotts</w:t>
            </w:r>
            <w:r>
              <w:rPr>
                <w:rFonts w:ascii="Arial" w:cs="Arial" w:eastAsia="Arial" w:hAnsi="Arial"/>
                <w:sz w:val="19"/>
                <w:szCs w:val="19"/>
                <w:color w:val="auto"/>
                <w:vertAlign w:val="superscript"/>
              </w:rPr>
              <w:t>®</w:t>
            </w:r>
            <w:r>
              <w:rPr>
                <w:rFonts w:ascii="Arial" w:cs="Arial" w:eastAsia="Arial" w:hAnsi="Arial"/>
                <w:sz w:val="15"/>
                <w:szCs w:val="15"/>
                <w:color w:val="auto"/>
              </w:rPr>
              <w:t>; Turf Builder</w:t>
            </w:r>
            <w:r>
              <w:rPr>
                <w:rFonts w:ascii="Arial" w:cs="Arial" w:eastAsia="Arial" w:hAnsi="Arial"/>
                <w:sz w:val="19"/>
                <w:szCs w:val="19"/>
                <w:color w:val="auto"/>
                <w:vertAlign w:val="superscript"/>
              </w:rPr>
              <w:t>®</w:t>
            </w:r>
          </w:p>
        </w:tc>
      </w:tr>
      <w:tr>
        <w:trPr>
          <w:trHeight w:val="282"/>
        </w:trPr>
        <w:tc>
          <w:tcPr>
            <w:tcW w:w="2960" w:type="dxa"/>
            <w:vAlign w:val="bottom"/>
            <w:gridSpan w:val="2"/>
          </w:tcPr>
          <w:p>
            <w:pPr>
              <w:spacing w:after="0"/>
              <w:rPr>
                <w:sz w:val="20"/>
                <w:szCs w:val="20"/>
                <w:color w:val="auto"/>
              </w:rPr>
            </w:pPr>
            <w:r>
              <w:rPr>
                <w:rFonts w:ascii="Arial" w:cs="Arial" w:eastAsia="Arial" w:hAnsi="Arial"/>
                <w:sz w:val="15"/>
                <w:szCs w:val="15"/>
                <w:color w:val="auto"/>
              </w:rPr>
              <w:t>Controls</w:t>
            </w:r>
          </w:p>
        </w:tc>
        <w:tc>
          <w:tcPr>
            <w:tcW w:w="4060" w:type="dxa"/>
            <w:vAlign w:val="bottom"/>
            <w:gridSpan w:val="3"/>
          </w:tcPr>
          <w:p>
            <w:pPr>
              <w:ind w:left="1980"/>
              <w:spacing w:after="0"/>
              <w:rPr>
                <w:sz w:val="20"/>
                <w:szCs w:val="20"/>
                <w:color w:val="auto"/>
              </w:rPr>
            </w:pPr>
            <w:r>
              <w:rPr>
                <w:rFonts w:ascii="Arial" w:cs="Arial" w:eastAsia="Arial" w:hAnsi="Arial"/>
                <w:sz w:val="15"/>
                <w:szCs w:val="15"/>
                <w:color w:val="auto"/>
              </w:rPr>
              <w:t>Ortho</w:t>
            </w:r>
            <w:r>
              <w:rPr>
                <w:rFonts w:ascii="Arial" w:cs="Arial" w:eastAsia="Arial" w:hAnsi="Arial"/>
                <w:sz w:val="19"/>
                <w:szCs w:val="19"/>
                <w:color w:val="auto"/>
                <w:vertAlign w:val="superscript"/>
              </w:rPr>
              <w:t>®</w:t>
            </w:r>
            <w:r>
              <w:rPr>
                <w:rFonts w:ascii="Arial" w:cs="Arial" w:eastAsia="Arial" w:hAnsi="Arial"/>
                <w:sz w:val="15"/>
                <w:szCs w:val="15"/>
                <w:color w:val="auto"/>
              </w:rPr>
              <w:t>; Roundup</w:t>
            </w:r>
            <w:r>
              <w:rPr>
                <w:rFonts w:ascii="Arial" w:cs="Arial" w:eastAsia="Arial" w:hAnsi="Arial"/>
                <w:sz w:val="19"/>
                <w:szCs w:val="19"/>
                <w:color w:val="auto"/>
                <w:vertAlign w:val="superscript"/>
              </w:rPr>
              <w:t>®</w:t>
            </w:r>
          </w:p>
        </w:tc>
      </w:tr>
    </w:tbl>
    <w:p>
      <w:pPr>
        <w:spacing w:after="0" w:line="57" w:lineRule="exact"/>
        <w:rPr>
          <w:sz w:val="20"/>
          <w:szCs w:val="20"/>
          <w:color w:val="auto"/>
        </w:rPr>
      </w:pPr>
    </w:p>
    <w:p>
      <w:pPr>
        <w:ind w:right="200" w:firstLine="457"/>
        <w:spacing w:after="0" w:line="209" w:lineRule="auto"/>
        <w:rPr>
          <w:sz w:val="20"/>
          <w:szCs w:val="20"/>
          <w:color w:val="auto"/>
        </w:rPr>
      </w:pPr>
      <w:r>
        <w:rPr>
          <w:rFonts w:ascii="Arial" w:cs="Arial" w:eastAsia="Arial" w:hAnsi="Arial"/>
          <w:sz w:val="15"/>
          <w:szCs w:val="15"/>
          <w:color w:val="auto"/>
        </w:rPr>
        <w:t>In addition, we have the following significant brands in Europe: Miracle-Gro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plant fertilizers, Weedol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Pathclear</w:t>
      </w:r>
      <w:r>
        <w:rPr>
          <w:rFonts w:ascii="Arial" w:cs="Arial" w:eastAsia="Arial" w:hAnsi="Arial"/>
          <w:sz w:val="19"/>
          <w:szCs w:val="19"/>
          <w:color w:val="auto"/>
          <w:vertAlign w:val="superscript"/>
        </w:rPr>
        <w:t>®</w:t>
      </w:r>
      <w:r>
        <w:rPr>
          <w:rFonts w:ascii="Arial" w:cs="Arial" w:eastAsia="Arial" w:hAnsi="Arial"/>
          <w:sz w:val="15"/>
          <w:szCs w:val="15"/>
          <w:color w:val="auto"/>
        </w:rPr>
        <w:t xml:space="preserve"> herbicides, EverGreen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lawn fertilizers and Levington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growing media in the United Kingdom;</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380"/>
          </w:cols>
          <w:pgMar w:left="240" w:top="417" w:right="27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300"/>
        <w:spacing w:after="0" w:line="234" w:lineRule="auto"/>
        <w:rPr>
          <w:sz w:val="20"/>
          <w:szCs w:val="20"/>
          <w:color w:val="auto"/>
        </w:rPr>
      </w:pPr>
      <w:r>
        <w:rPr>
          <w:rFonts w:ascii="Arial" w:cs="Arial" w:eastAsia="Arial" w:hAnsi="Arial"/>
          <w:sz w:val="15"/>
          <w:szCs w:val="15"/>
          <w:color w:val="auto"/>
        </w:rPr>
        <w:t>KB</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Fertiligene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France; Celaflor</w:t>
      </w:r>
      <w:r>
        <w:rPr>
          <w:rFonts w:ascii="Arial" w:cs="Arial" w:eastAsia="Arial" w:hAnsi="Arial"/>
          <w:sz w:val="19"/>
          <w:szCs w:val="19"/>
          <w:color w:val="auto"/>
          <w:vertAlign w:val="superscript"/>
        </w:rPr>
        <w:t>®</w:t>
      </w:r>
      <w:r>
        <w:rPr>
          <w:rFonts w:ascii="Arial" w:cs="Arial" w:eastAsia="Arial" w:hAnsi="Arial"/>
          <w:sz w:val="15"/>
          <w:szCs w:val="15"/>
          <w:color w:val="auto"/>
        </w:rPr>
        <w:t>, Nexa-Lotte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Substral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Germany and Austria; and ASEF</w:t>
      </w:r>
      <w:r>
        <w:rPr>
          <w:rFonts w:ascii="Arial" w:cs="Arial" w:eastAsia="Arial" w:hAnsi="Arial"/>
          <w:sz w:val="19"/>
          <w:szCs w:val="19"/>
          <w:color w:val="auto"/>
          <w:vertAlign w:val="superscript"/>
        </w:rPr>
        <w:t>®</w:t>
      </w:r>
      <w:r>
        <w:rPr>
          <w:rFonts w:ascii="Arial" w:cs="Arial" w:eastAsia="Arial" w:hAnsi="Arial"/>
          <w:sz w:val="15"/>
          <w:szCs w:val="15"/>
          <w:color w:val="auto"/>
        </w:rPr>
        <w:t>, KB</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Substral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the Benelux countries. Scotts’ market leadership is evidenced by the brand recognition across all product categories.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Strong Relationships with Key U.S. Retailers</w:t>
      </w:r>
    </w:p>
    <w:p>
      <w:pPr>
        <w:spacing w:after="0" w:line="74" w:lineRule="exact"/>
        <w:rPr>
          <w:sz w:val="20"/>
          <w:szCs w:val="20"/>
          <w:color w:val="auto"/>
        </w:rPr>
      </w:pPr>
    </w:p>
    <w:p>
      <w:pPr>
        <w:ind w:right="20" w:firstLine="457"/>
        <w:spacing w:after="0" w:line="288" w:lineRule="auto"/>
        <w:rPr>
          <w:sz w:val="20"/>
          <w:szCs w:val="20"/>
          <w:color w:val="auto"/>
        </w:rPr>
      </w:pPr>
      <w:r>
        <w:rPr>
          <w:rFonts w:ascii="Arial" w:cs="Arial" w:eastAsia="Arial" w:hAnsi="Arial"/>
          <w:sz w:val="14"/>
          <w:szCs w:val="14"/>
          <w:color w:val="auto"/>
        </w:rPr>
        <w:t>We believe that our leading brands and our industry-leading media advertising make our products “traffic builders” at retail locations. In addition, our leading full line of branded consumer lawn and garden products gives us an advantage in selling to retailers who value the efficiency of dealing with a limited number of suppliers. We have made significant investments in the past few years to establish business development teams at Home Depot, Wal*Mart, Lowe’s and Kmart to work with their buyers and supply chain management to maximize mutual sales opportunities and improve the efficient distribution of products. In addition, we serve as the lawn and garden category advisor for Wal*Mart and Kmart. We are also the largest supplier of consumer lawn and garden products to the hardware coop channel and made significant efforts in 2003 to build our presence with the independent trade. In 2003, we were named supplier of the year by four of our major retail partners: Home Depot and Wal*Mart, our two largest customers in the United States, B&amp;Q, our largest account in the United Kingdom, and OBI, our largest do-it-yourself customer in Germany. We also received preferred vendor status at Carrefour, our largest account in France.</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Supply Chain Excellence</w:t>
      </w:r>
    </w:p>
    <w:p>
      <w:pPr>
        <w:spacing w:after="0" w:line="74" w:lineRule="exact"/>
        <w:rPr>
          <w:sz w:val="20"/>
          <w:szCs w:val="20"/>
          <w:color w:val="auto"/>
        </w:rPr>
      </w:pPr>
    </w:p>
    <w:p>
      <w:pPr>
        <w:ind w:firstLine="457"/>
        <w:spacing w:after="0" w:line="288" w:lineRule="auto"/>
        <w:rPr>
          <w:sz w:val="20"/>
          <w:szCs w:val="20"/>
          <w:color w:val="auto"/>
        </w:rPr>
      </w:pPr>
      <w:r>
        <w:rPr>
          <w:rFonts w:ascii="Arial" w:cs="Arial" w:eastAsia="Arial" w:hAnsi="Arial"/>
          <w:sz w:val="14"/>
          <w:szCs w:val="14"/>
          <w:color w:val="auto"/>
        </w:rPr>
        <w:t>Over the past several years, we have focused on building world-class seasonal manufacturing and distribution capabilities. We have successfully developed this expertise through both significant investments and incorporation of supply chain related metrics into our key business and incentive measures. We have invested, and continue to invest, in systems to allow us to better capture and analyze supply chain information. For instance, in fiscal 2001, we completed implementation of the ERP software system for our North American businesses at a cost of approximately $55 million. This level of investment and focus has allowed us to develop what we believe is a significant competitive advantage in serving our retail customers. We have significantly improved customer service rates which, coupled with more closely tying shipments to when the consumer purchases Scotts’ products from the retail shelf, has allowed our customers to improve inventory turns and reduce average inventory levels. The investments we have made in our production facilities have improved manufacturing flexibility, allowing us to improve our inventory turns and reduce our average inventory levels as well.</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Scotts Business Strategy</w:t>
      </w:r>
    </w:p>
    <w:p>
      <w:pPr>
        <w:spacing w:after="0" w:line="149" w:lineRule="exact"/>
        <w:rPr>
          <w:sz w:val="20"/>
          <w:szCs w:val="20"/>
          <w:color w:val="auto"/>
        </w:rPr>
      </w:pPr>
    </w:p>
    <w:p>
      <w:pPr>
        <w:ind w:right="220" w:firstLine="457"/>
        <w:spacing w:after="0" w:line="271" w:lineRule="auto"/>
        <w:rPr>
          <w:sz w:val="20"/>
          <w:szCs w:val="20"/>
          <w:color w:val="auto"/>
        </w:rPr>
      </w:pPr>
      <w:r>
        <w:rPr>
          <w:rFonts w:ascii="Arial" w:cs="Arial" w:eastAsia="Arial" w:hAnsi="Arial"/>
          <w:sz w:val="15"/>
          <w:szCs w:val="15"/>
          <w:color w:val="auto"/>
        </w:rPr>
        <w:t>In North America, we look to continue to strengthen our trade and consumer relationships and to capitalize upon the competitive advantages stemming from our market leading share positions and ability to act as the sole nationwide supplier of a full line of consumer lawn and garden products. We also look to expand our categories and market share through effective media advertising, superior customer service and increased product listing, consumer communication at retail point-of-purchase, and product and packaging improvements to make the products easier to apply. Our strategies include the following key initiatives: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Enhance Market Leadership Through Consumer-Focused Brand Management</w:t>
      </w:r>
    </w:p>
    <w:p>
      <w:pPr>
        <w:spacing w:after="0" w:line="74" w:lineRule="exact"/>
        <w:rPr>
          <w:sz w:val="20"/>
          <w:szCs w:val="20"/>
          <w:color w:val="auto"/>
        </w:rPr>
      </w:pPr>
    </w:p>
    <w:p>
      <w:pPr>
        <w:jc w:val="both"/>
        <w:ind w:right="140" w:firstLine="457"/>
        <w:spacing w:after="0" w:line="276" w:lineRule="auto"/>
        <w:rPr>
          <w:sz w:val="20"/>
          <w:szCs w:val="20"/>
          <w:color w:val="auto"/>
        </w:rPr>
      </w:pPr>
      <w:r>
        <w:rPr>
          <w:rFonts w:ascii="Arial" w:cs="Arial" w:eastAsia="Arial" w:hAnsi="Arial"/>
          <w:sz w:val="15"/>
          <w:szCs w:val="15"/>
          <w:color w:val="auto"/>
        </w:rPr>
        <w:t>We intend to continue to execute our successful marketing strategies used to strengthen our leading market positions. In fiscal 2003, we invested over $95 million on advertising better targeted to our key consumer audience and focused on Scotts’ product superiority. We believe that our approach to marketing, which balances consumer-directed advertising (e.g., prime time television spots) with retailer-oriented promotions, builds brand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417"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awareness and drives product sales growth. We have grown sales, increased market share and expanded the lawn and garden category over the past five years through successful execution of this strategy for our four principal brands—Scotts</w:t>
      </w:r>
      <w:r>
        <w:rPr>
          <w:rFonts w:ascii="Arial" w:cs="Arial" w:eastAsia="Arial" w:hAnsi="Arial"/>
          <w:sz w:val="19"/>
          <w:szCs w:val="19"/>
          <w:color w:val="auto"/>
          <w:vertAlign w:val="superscript"/>
        </w:rPr>
        <w:t>®</w:t>
      </w:r>
      <w:r>
        <w:rPr>
          <w:rFonts w:ascii="Arial" w:cs="Arial" w:eastAsia="Arial" w:hAnsi="Arial"/>
          <w:sz w:val="15"/>
          <w:szCs w:val="15"/>
          <w:color w:val="auto"/>
        </w:rPr>
        <w:t>, Miracle-Gro</w:t>
      </w:r>
      <w:r>
        <w:rPr>
          <w:rFonts w:ascii="Arial" w:cs="Arial" w:eastAsia="Arial" w:hAnsi="Arial"/>
          <w:sz w:val="19"/>
          <w:szCs w:val="19"/>
          <w:color w:val="auto"/>
          <w:vertAlign w:val="superscript"/>
        </w:rPr>
        <w:t>®</w:t>
      </w:r>
      <w:r>
        <w:rPr>
          <w:rFonts w:ascii="Arial" w:cs="Arial" w:eastAsia="Arial" w:hAnsi="Arial"/>
          <w:sz w:val="15"/>
          <w:szCs w:val="15"/>
          <w:color w:val="auto"/>
        </w:rPr>
        <w:t>, Ortho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Roundup</w:t>
      </w:r>
      <w:r>
        <w:rPr>
          <w:rFonts w:ascii="Arial" w:cs="Arial" w:eastAsia="Arial" w:hAnsi="Arial"/>
          <w:sz w:val="19"/>
          <w:szCs w:val="19"/>
          <w:color w:val="auto"/>
          <w:vertAlign w:val="superscript"/>
        </w:rPr>
        <w:t>®</w:t>
      </w:r>
      <w:r>
        <w:rPr>
          <w:rFonts w:ascii="Arial" w:cs="Arial" w:eastAsia="Arial" w:hAnsi="Arial"/>
          <w:sz w:val="15"/>
          <w:szCs w:val="15"/>
          <w:color w:val="auto"/>
        </w:rPr>
        <w:t>. We market and distribute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products exclusively to the consumer lawn and gardent market in the United States and certain other countries on behalf of Monsanto. Our strategy is to grow the overall consumer lawn and garden category and to capture substantially all of this growth.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Pursue Attractive Growth Initiatives</w:t>
      </w:r>
    </w:p>
    <w:p>
      <w:pPr>
        <w:spacing w:after="0" w:line="74"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We believe that the power of our portfolio of brands provides us with significant opportunities to extend our business to new products and channels. To further pursue these opportunities, at the end of fiscal 2002, we created a new Business Development Group within North America. This group has and will continue to focus on extending Scotts’ brands into adjacent consumer lawn and garden categories that are currently not characterized by branded, value-added products. The group will also focus on exploiting underdeveloped sales channels, such as grocery and drug stores, and improving our business with independent retailers through a combination of tailored programs and unique products or packaging. In 2003, we acquired two pottery distribution companies and are finalizing plans to introduce branded, value-added products to the $1.2 billion pottery category in fiscal 2004.</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Expand the Scotts LawnService</w:t>
      </w:r>
      <w:r>
        <w:rPr>
          <w:rFonts w:ascii="Arial" w:cs="Arial" w:eastAsia="Arial" w:hAnsi="Arial"/>
          <w:sz w:val="19"/>
          <w:szCs w:val="19"/>
          <w:b w:val="1"/>
          <w:bCs w:val="1"/>
          <w:i w:val="1"/>
          <w:iCs w:val="1"/>
          <w:color w:val="auto"/>
          <w:vertAlign w:val="superscript"/>
        </w:rPr>
        <w:t>®</w:t>
      </w:r>
    </w:p>
    <w:p>
      <w:pPr>
        <w:spacing w:after="0" w:line="40" w:lineRule="exact"/>
        <w:rPr>
          <w:sz w:val="20"/>
          <w:szCs w:val="20"/>
          <w:color w:val="auto"/>
        </w:rPr>
      </w:pPr>
    </w:p>
    <w:p>
      <w:pPr>
        <w:ind w:right="20" w:firstLine="457"/>
        <w:spacing w:after="0" w:line="242" w:lineRule="auto"/>
        <w:rPr>
          <w:sz w:val="20"/>
          <w:szCs w:val="20"/>
          <w:color w:val="auto"/>
        </w:rPr>
      </w:pPr>
      <w:r>
        <w:rPr>
          <w:rFonts w:ascii="Arial" w:cs="Arial" w:eastAsia="Arial" w:hAnsi="Arial"/>
          <w:sz w:val="15"/>
          <w:szCs w:val="15"/>
          <w:color w:val="auto"/>
        </w:rPr>
        <w:t>The number of lawn owners who want lawn and garden care but do not want to do it themselves represents a significant portion of the total market. We recognize that our portfolio of well-known brands provides us with a unique ability to extend our brands into the lawn and garden service business. We believe that the strength of our brands provides us with a significant competitive advantage in acquiring new customers and we have spent the past several years developing our Scotts LawnService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model. The business has grown significantly from approximately $42 million in fiscal 2001 to approximately $110 million in fiscal 2003. A significant portion of this growth has been fueled by geographic expansion and acquisitions. We completed approximately $30 million of lawn service acquisitions in fiscal 2003 and anticipate continuing to make selective acquisitions in 2004 and beyond, although at a slower pace than in recent years. Significant investments will continue to be made in our Scotts LawnService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infrastructure with the focus being to continually improve our customer service throughout the organization.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International Profit Improvement Plan</w:t>
      </w:r>
    </w:p>
    <w:p>
      <w:pPr>
        <w:spacing w:after="0" w:line="74" w:lineRule="exact"/>
        <w:rPr>
          <w:sz w:val="20"/>
          <w:szCs w:val="20"/>
          <w:color w:val="auto"/>
        </w:rPr>
      </w:pPr>
    </w:p>
    <w:p>
      <w:pPr>
        <w:ind w:firstLine="457"/>
        <w:spacing w:after="0" w:line="290" w:lineRule="auto"/>
        <w:rPr>
          <w:sz w:val="20"/>
          <w:szCs w:val="20"/>
          <w:color w:val="auto"/>
        </w:rPr>
      </w:pPr>
      <w:r>
        <w:rPr>
          <w:rFonts w:ascii="Arial" w:cs="Arial" w:eastAsia="Arial" w:hAnsi="Arial"/>
          <w:sz w:val="14"/>
          <w:szCs w:val="14"/>
          <w:color w:val="auto"/>
        </w:rPr>
        <w:t>In August 2002, we announced an initiative to reduce costs and improve the profitability of our European consumer and professional businesses. The original plan called for an investment of between $50 and $60 million in those businesses by the end of 2005. We now expect to invest between $45 million and $55 million over this time frame by leveraging high-value, lower risk initiatives that will drive significant improvement in the profitability of these businesses. Approximately 25% of the expected investment is for capital expenditures, primarily for the installation of SAP, an Enterprise Resource Planning (“ERP”) system, in our largest European operations (France, Germany and the U.K.). The project also involves reorganization and rationalization of our European supply chain, increased sales force productivity and a shift to pan-European category management of our product portfolio that will constitute approximately 75% of the expected investment. As part of this initiative, restructuring and other charges will be incurred at various times.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417"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320" w:type="dxa"/>
            <w:vAlign w:val="bottom"/>
          </w:tcPr>
          <w:p>
            <w:pPr>
              <w:ind w:left="120"/>
              <w:spacing w:after="0"/>
              <w:rPr>
                <w:sz w:val="20"/>
                <w:szCs w:val="20"/>
                <w:color w:val="auto"/>
              </w:rPr>
            </w:pPr>
            <w:r>
              <w:rPr>
                <w:rFonts w:ascii="Arial" w:cs="Arial" w:eastAsia="Arial" w:hAnsi="Arial"/>
                <w:sz w:val="15"/>
                <w:szCs w:val="15"/>
                <w:b w:val="1"/>
                <w:bCs w:val="1"/>
                <w:color w:val="auto"/>
              </w:rPr>
              <w:t>The Exchange Offer</w:t>
            </w:r>
          </w:p>
        </w:tc>
        <w:tc>
          <w:tcPr>
            <w:tcW w:w="2180" w:type="dxa"/>
            <w:vAlign w:val="bottom"/>
          </w:tcPr>
          <w:p>
            <w:pPr>
              <w:spacing w:after="0"/>
              <w:rPr>
                <w:sz w:val="17"/>
                <w:szCs w:val="17"/>
                <w:color w:val="auto"/>
              </w:rPr>
            </w:pPr>
          </w:p>
        </w:tc>
      </w:tr>
      <w:tr>
        <w:trPr>
          <w:trHeight w:val="311"/>
        </w:trPr>
        <w:tc>
          <w:tcPr>
            <w:tcW w:w="3420" w:type="dxa"/>
            <w:vAlign w:val="bottom"/>
          </w:tcPr>
          <w:p>
            <w:pPr>
              <w:spacing w:after="0"/>
              <w:rPr>
                <w:sz w:val="20"/>
                <w:szCs w:val="20"/>
                <w:color w:val="auto"/>
              </w:rPr>
            </w:pPr>
            <w:r>
              <w:rPr>
                <w:rFonts w:ascii="Arial" w:cs="Arial" w:eastAsia="Arial" w:hAnsi="Arial"/>
                <w:sz w:val="15"/>
                <w:szCs w:val="15"/>
                <w:color w:val="auto"/>
              </w:rPr>
              <w:t>The Original Notes</w:t>
            </w: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2"/>
              </w:rPr>
              <w:t>We issued and sold $200 million in principal amount of our 6.625% Series A Senior Subordinated Notes due</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4"/>
              </w:rPr>
              <w:t>2013 to Citigroup Global Markets, Inc., Banc of America Securities LLC, J.P. Morgan Securities, Inc., Bank</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4"/>
              </w:rPr>
              <w:t>One Capital Markets, Inc., BNP Paribas Securities Corp., Credit Lyonnais Securities (USA) Inc., McDonald</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4"/>
              </w:rPr>
              <w:t>Investments Inc., Scotia Capital (USA) Inc. and SunTrust Capital Markets, Inc., on October 8, 2003. These</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7"/>
              </w:rPr>
              <w:t>initial purchasers subsequently resold the Original Notes under Rule 144A and Regulation S under the</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5"/>
              </w:rPr>
              <w:t>Securities Act. The purchasers of our Original Notes agreed to comply with transfer restrictions and other</w:t>
            </w:r>
          </w:p>
        </w:tc>
      </w:tr>
      <w:tr>
        <w:trPr>
          <w:trHeight w:val="194"/>
        </w:trPr>
        <w:tc>
          <w:tcPr>
            <w:tcW w:w="3420" w:type="dxa"/>
            <w:vAlign w:val="bottom"/>
          </w:tcPr>
          <w:p>
            <w:pPr>
              <w:spacing w:after="0"/>
              <w:rPr>
                <w:sz w:val="16"/>
                <w:szCs w:val="16"/>
                <w:color w:val="auto"/>
              </w:rPr>
            </w:pPr>
          </w:p>
        </w:tc>
        <w:tc>
          <w:tcPr>
            <w:tcW w:w="5840" w:type="dxa"/>
            <w:vAlign w:val="bottom"/>
            <w:gridSpan w:val="2"/>
          </w:tcPr>
          <w:p>
            <w:pPr>
              <w:ind w:left="1360"/>
              <w:spacing w:after="0"/>
              <w:rPr>
                <w:sz w:val="20"/>
                <w:szCs w:val="20"/>
                <w:color w:val="auto"/>
              </w:rPr>
            </w:pPr>
            <w:r>
              <w:rPr>
                <w:rFonts w:ascii="Arial" w:cs="Arial" w:eastAsia="Arial" w:hAnsi="Arial"/>
                <w:sz w:val="15"/>
                <w:szCs w:val="15"/>
                <w:color w:val="auto"/>
              </w:rPr>
              <w:t>conditions.</w:t>
            </w:r>
          </w:p>
        </w:tc>
        <w:tc>
          <w:tcPr>
            <w:tcW w:w="2180" w:type="dxa"/>
            <w:vAlign w:val="bottom"/>
          </w:tcPr>
          <w:p>
            <w:pPr>
              <w:spacing w:after="0"/>
              <w:rPr>
                <w:sz w:val="16"/>
                <w:szCs w:val="16"/>
                <w:color w:val="auto"/>
              </w:rPr>
            </w:pPr>
          </w:p>
        </w:tc>
      </w:tr>
      <w:tr>
        <w:trPr>
          <w:trHeight w:val="276"/>
        </w:trPr>
        <w:tc>
          <w:tcPr>
            <w:tcW w:w="3420" w:type="dxa"/>
            <w:vAlign w:val="bottom"/>
          </w:tcPr>
          <w:p>
            <w:pPr>
              <w:spacing w:after="0"/>
              <w:rPr>
                <w:sz w:val="23"/>
                <w:szCs w:val="23"/>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5"/>
              </w:rPr>
              <w:t>The Original Notes are represented by two permanent, global notes which are registered in the name of a</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4"/>
              </w:rPr>
              <w:t>nominee of The Depository Trust Company. Participants in the DTC system who have accounts with DTC</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6"/>
              </w:rPr>
              <w:t>hold interests in the global notes in book-entry form. Accordingly, ownership of beneficial interests in the</w:t>
            </w:r>
          </w:p>
        </w:tc>
      </w:tr>
      <w:tr>
        <w:trPr>
          <w:trHeight w:val="194"/>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5"/>
              </w:rPr>
              <w:t>Original Notes is limited to DTC participants or persons who hold their interests through DTC participants.</w:t>
            </w:r>
          </w:p>
        </w:tc>
      </w:tr>
      <w:tr>
        <w:trPr>
          <w:trHeight w:val="276"/>
        </w:trPr>
        <w:tc>
          <w:tcPr>
            <w:tcW w:w="3420" w:type="dxa"/>
            <w:vAlign w:val="bottom"/>
          </w:tcPr>
          <w:p>
            <w:pPr>
              <w:spacing w:after="0"/>
              <w:rPr>
                <w:sz w:val="20"/>
                <w:szCs w:val="20"/>
                <w:color w:val="auto"/>
              </w:rPr>
            </w:pPr>
            <w:r>
              <w:rPr>
                <w:rFonts w:ascii="Arial" w:cs="Arial" w:eastAsia="Arial" w:hAnsi="Arial"/>
                <w:sz w:val="15"/>
                <w:szCs w:val="15"/>
                <w:color w:val="auto"/>
              </w:rPr>
              <w:t>The Exchange Offer</w:t>
            </w: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3"/>
              </w:rPr>
              <w:t>We are offering to exchange up to $200 million in principal amount of our Exchange Notes which have been</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7"/>
              </w:rPr>
              <w:t>registered under the Securities Act for a like amount of our outstanding Original Notes that are properly</w:t>
            </w:r>
          </w:p>
        </w:tc>
      </w:tr>
      <w:tr>
        <w:trPr>
          <w:trHeight w:val="194"/>
        </w:trPr>
        <w:tc>
          <w:tcPr>
            <w:tcW w:w="3420" w:type="dxa"/>
            <w:vAlign w:val="bottom"/>
          </w:tcPr>
          <w:p>
            <w:pPr>
              <w:spacing w:after="0"/>
              <w:rPr>
                <w:sz w:val="16"/>
                <w:szCs w:val="16"/>
                <w:color w:val="auto"/>
              </w:rPr>
            </w:pPr>
          </w:p>
        </w:tc>
        <w:tc>
          <w:tcPr>
            <w:tcW w:w="5840" w:type="dxa"/>
            <w:vAlign w:val="bottom"/>
            <w:gridSpan w:val="2"/>
          </w:tcPr>
          <w:p>
            <w:pPr>
              <w:ind w:left="1360"/>
              <w:spacing w:after="0"/>
              <w:rPr>
                <w:sz w:val="20"/>
                <w:szCs w:val="20"/>
                <w:color w:val="auto"/>
              </w:rPr>
            </w:pPr>
            <w:r>
              <w:rPr>
                <w:rFonts w:ascii="Arial" w:cs="Arial" w:eastAsia="Arial" w:hAnsi="Arial"/>
                <w:sz w:val="15"/>
                <w:szCs w:val="15"/>
                <w:color w:val="auto"/>
              </w:rPr>
              <w:t>tendered and accepted.</w:t>
            </w:r>
          </w:p>
        </w:tc>
        <w:tc>
          <w:tcPr>
            <w:tcW w:w="2180" w:type="dxa"/>
            <w:vAlign w:val="bottom"/>
          </w:tcPr>
          <w:p>
            <w:pPr>
              <w:spacing w:after="0"/>
              <w:rPr>
                <w:sz w:val="16"/>
                <w:szCs w:val="16"/>
                <w:color w:val="auto"/>
              </w:rPr>
            </w:pPr>
          </w:p>
        </w:tc>
      </w:tr>
      <w:tr>
        <w:trPr>
          <w:trHeight w:val="276"/>
        </w:trPr>
        <w:tc>
          <w:tcPr>
            <w:tcW w:w="3420" w:type="dxa"/>
            <w:vAlign w:val="bottom"/>
          </w:tcPr>
          <w:p>
            <w:pPr>
              <w:spacing w:after="0"/>
              <w:rPr>
                <w:sz w:val="23"/>
                <w:szCs w:val="23"/>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5"/>
              </w:rPr>
              <w:t>You may tender outstanding Original Notes only in denominations of $1,000 and multiples of $1,000. We</w:t>
            </w:r>
          </w:p>
        </w:tc>
      </w:tr>
      <w:tr>
        <w:trPr>
          <w:trHeight w:val="194"/>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rPr>
              <w:t>will issue the Exchange Notes on or promptly after the expiration of the exchange offer.</w:t>
            </w:r>
          </w:p>
        </w:tc>
      </w:tr>
      <w:tr>
        <w:trPr>
          <w:trHeight w:val="276"/>
        </w:trPr>
        <w:tc>
          <w:tcPr>
            <w:tcW w:w="3420" w:type="dxa"/>
            <w:vAlign w:val="bottom"/>
          </w:tcPr>
          <w:p>
            <w:pPr>
              <w:spacing w:after="0"/>
              <w:rPr>
                <w:sz w:val="20"/>
                <w:szCs w:val="20"/>
                <w:color w:val="auto"/>
              </w:rPr>
            </w:pPr>
            <w:r>
              <w:rPr>
                <w:rFonts w:ascii="Arial" w:cs="Arial" w:eastAsia="Arial" w:hAnsi="Arial"/>
                <w:sz w:val="15"/>
                <w:szCs w:val="15"/>
                <w:color w:val="auto"/>
              </w:rPr>
              <w:t>Expiration Date</w:t>
            </w:r>
          </w:p>
        </w:tc>
        <w:tc>
          <w:tcPr>
            <w:tcW w:w="5840" w:type="dxa"/>
            <w:vAlign w:val="bottom"/>
            <w:gridSpan w:val="2"/>
          </w:tcPr>
          <w:p>
            <w:pPr>
              <w:ind w:left="1360"/>
              <w:spacing w:after="0"/>
              <w:rPr>
                <w:sz w:val="20"/>
                <w:szCs w:val="20"/>
                <w:color w:val="auto"/>
              </w:rPr>
            </w:pPr>
            <w:r>
              <w:rPr>
                <w:rFonts w:ascii="Arial" w:cs="Arial" w:eastAsia="Arial" w:hAnsi="Arial"/>
                <w:sz w:val="15"/>
                <w:szCs w:val="15"/>
                <w:color w:val="auto"/>
                <w:w w:val="99"/>
              </w:rPr>
              <w:t>This exchange offer will expire at 5:00 p.m., New York City time, on</w:t>
            </w:r>
          </w:p>
        </w:tc>
        <w:tc>
          <w:tcPr>
            <w:tcW w:w="2180" w:type="dxa"/>
            <w:vAlign w:val="bottom"/>
          </w:tcPr>
          <w:p>
            <w:pPr>
              <w:ind w:left="240"/>
              <w:spacing w:after="0"/>
              <w:rPr>
                <w:sz w:val="20"/>
                <w:szCs w:val="20"/>
                <w:color w:val="auto"/>
              </w:rPr>
            </w:pPr>
            <w:r>
              <w:rPr>
                <w:rFonts w:ascii="Arial" w:cs="Arial" w:eastAsia="Arial" w:hAnsi="Arial"/>
                <w:sz w:val="15"/>
                <w:szCs w:val="15"/>
                <w:color w:val="auto"/>
              </w:rPr>
              <w:t>, 2004, unless extended, in</w:t>
            </w:r>
          </w:p>
        </w:tc>
      </w:tr>
      <w:tr>
        <w:trPr>
          <w:trHeight w:val="194"/>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8"/>
              </w:rPr>
              <w:t>which case the expiration date will be the latest date and time to which we extend the exchange offer.</w:t>
            </w:r>
          </w:p>
        </w:tc>
      </w:tr>
      <w:tr>
        <w:trPr>
          <w:trHeight w:val="276"/>
        </w:trPr>
        <w:tc>
          <w:tcPr>
            <w:tcW w:w="3420" w:type="dxa"/>
            <w:vAlign w:val="bottom"/>
          </w:tcPr>
          <w:p>
            <w:pPr>
              <w:spacing w:after="0"/>
              <w:rPr>
                <w:sz w:val="20"/>
                <w:szCs w:val="20"/>
                <w:color w:val="auto"/>
              </w:rPr>
            </w:pPr>
            <w:r>
              <w:rPr>
                <w:rFonts w:ascii="Arial" w:cs="Arial" w:eastAsia="Arial" w:hAnsi="Arial"/>
                <w:sz w:val="15"/>
                <w:szCs w:val="15"/>
                <w:color w:val="auto"/>
              </w:rPr>
              <w:t>Conditions to the Exchange Offer</w:t>
            </w: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rPr>
              <w:t>The exchange offer is not subject to any condition other than it will not violate applicable law or any</w:t>
            </w:r>
          </w:p>
        </w:tc>
      </w:tr>
      <w:tr>
        <w:trPr>
          <w:trHeight w:val="188"/>
        </w:trPr>
        <w:tc>
          <w:tcPr>
            <w:tcW w:w="3420" w:type="dxa"/>
            <w:vAlign w:val="bottom"/>
          </w:tcPr>
          <w:p>
            <w:pPr>
              <w:spacing w:after="0"/>
              <w:rPr>
                <w:sz w:val="16"/>
                <w:szCs w:val="16"/>
                <w:color w:val="auto"/>
              </w:rPr>
            </w:pP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w w:val="95"/>
              </w:rPr>
              <w:t>applicable interpretation of the staff of the SEC. The exchange offer is not conditioned upon the tender of</w:t>
            </w:r>
          </w:p>
        </w:tc>
      </w:tr>
      <w:tr>
        <w:trPr>
          <w:trHeight w:val="194"/>
        </w:trPr>
        <w:tc>
          <w:tcPr>
            <w:tcW w:w="3420" w:type="dxa"/>
            <w:vAlign w:val="bottom"/>
          </w:tcPr>
          <w:p>
            <w:pPr>
              <w:spacing w:after="0"/>
              <w:rPr>
                <w:sz w:val="16"/>
                <w:szCs w:val="16"/>
                <w:color w:val="auto"/>
              </w:rPr>
            </w:pPr>
          </w:p>
        </w:tc>
        <w:tc>
          <w:tcPr>
            <w:tcW w:w="5840" w:type="dxa"/>
            <w:vAlign w:val="bottom"/>
            <w:gridSpan w:val="2"/>
          </w:tcPr>
          <w:p>
            <w:pPr>
              <w:ind w:left="1360"/>
              <w:spacing w:after="0"/>
              <w:rPr>
                <w:sz w:val="20"/>
                <w:szCs w:val="20"/>
                <w:color w:val="auto"/>
              </w:rPr>
            </w:pPr>
            <w:r>
              <w:rPr>
                <w:rFonts w:ascii="Arial" w:cs="Arial" w:eastAsia="Arial" w:hAnsi="Arial"/>
                <w:sz w:val="15"/>
                <w:szCs w:val="15"/>
                <w:color w:val="auto"/>
              </w:rPr>
              <w:t>any minimum principal amount of Original Notes.</w:t>
            </w:r>
          </w:p>
        </w:tc>
        <w:tc>
          <w:tcPr>
            <w:tcW w:w="2180" w:type="dxa"/>
            <w:vAlign w:val="bottom"/>
          </w:tcPr>
          <w:p>
            <w:pPr>
              <w:spacing w:after="0"/>
              <w:rPr>
                <w:sz w:val="16"/>
                <w:szCs w:val="16"/>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5"/>
                <w:szCs w:val="15"/>
                <w:color w:val="auto"/>
              </w:rPr>
              <w:t>Procedures for Tendering Notes</w:t>
            </w:r>
          </w:p>
        </w:tc>
        <w:tc>
          <w:tcPr>
            <w:tcW w:w="8020" w:type="dxa"/>
            <w:vAlign w:val="bottom"/>
            <w:gridSpan w:val="3"/>
          </w:tcPr>
          <w:p>
            <w:pPr>
              <w:ind w:left="1360"/>
              <w:spacing w:after="0"/>
              <w:rPr>
                <w:sz w:val="20"/>
                <w:szCs w:val="20"/>
                <w:color w:val="auto"/>
              </w:rPr>
            </w:pPr>
            <w:r>
              <w:rPr>
                <w:rFonts w:ascii="Arial" w:cs="Arial" w:eastAsia="Arial" w:hAnsi="Arial"/>
                <w:sz w:val="15"/>
                <w:szCs w:val="15"/>
                <w:color w:val="auto"/>
              </w:rPr>
              <w:t>If you want to accept the exchange offer, you must transmit to U.S. Bank National Association, the</w:t>
            </w:r>
          </w:p>
        </w:tc>
      </w:tr>
      <w:tr>
        <w:trPr>
          <w:trHeight w:val="194"/>
        </w:trPr>
        <w:tc>
          <w:tcPr>
            <w:tcW w:w="3420" w:type="dxa"/>
            <w:vAlign w:val="bottom"/>
          </w:tcPr>
          <w:p>
            <w:pPr>
              <w:spacing w:after="0"/>
              <w:rPr>
                <w:sz w:val="16"/>
                <w:szCs w:val="16"/>
                <w:color w:val="auto"/>
              </w:rPr>
            </w:pPr>
          </w:p>
        </w:tc>
        <w:tc>
          <w:tcPr>
            <w:tcW w:w="5840" w:type="dxa"/>
            <w:vAlign w:val="bottom"/>
            <w:gridSpan w:val="2"/>
          </w:tcPr>
          <w:p>
            <w:pPr>
              <w:ind w:left="1360"/>
              <w:spacing w:after="0"/>
              <w:rPr>
                <w:sz w:val="20"/>
                <w:szCs w:val="20"/>
                <w:color w:val="auto"/>
              </w:rPr>
            </w:pPr>
            <w:r>
              <w:rPr>
                <w:rFonts w:ascii="Arial" w:cs="Arial" w:eastAsia="Arial" w:hAnsi="Arial"/>
                <w:sz w:val="15"/>
                <w:szCs w:val="15"/>
                <w:color w:val="auto"/>
              </w:rPr>
              <w:t>exchange agent, on or before the expiration date, either</w:t>
            </w:r>
          </w:p>
        </w:tc>
        <w:tc>
          <w:tcPr>
            <w:tcW w:w="2180" w:type="dxa"/>
            <w:vAlign w:val="bottom"/>
          </w:tcPr>
          <w:p>
            <w:pPr>
              <w:spacing w:after="0"/>
              <w:rPr>
                <w:sz w:val="16"/>
                <w:szCs w:val="16"/>
                <w:color w:val="auto"/>
              </w:rPr>
            </w:pPr>
          </w:p>
        </w:tc>
      </w:tr>
      <w:tr>
        <w:trPr>
          <w:trHeight w:val="276"/>
        </w:trPr>
        <w:tc>
          <w:tcPr>
            <w:tcW w:w="3420" w:type="dxa"/>
            <w:vAlign w:val="bottom"/>
          </w:tcPr>
          <w:p>
            <w:pPr>
              <w:spacing w:after="0"/>
              <w:rPr>
                <w:sz w:val="23"/>
                <w:szCs w:val="23"/>
                <w:color w:val="auto"/>
              </w:rPr>
            </w:pPr>
          </w:p>
        </w:tc>
        <w:tc>
          <w:tcPr>
            <w:tcW w:w="1520" w:type="dxa"/>
            <w:vAlign w:val="bottom"/>
          </w:tcPr>
          <w:p>
            <w:pPr>
              <w:ind w:left="1360"/>
              <w:spacing w:after="0"/>
              <w:rPr>
                <w:sz w:val="20"/>
                <w:szCs w:val="20"/>
                <w:color w:val="auto"/>
              </w:rPr>
            </w:pPr>
            <w:r>
              <w:rPr>
                <w:rFonts w:ascii="Arial" w:cs="Arial" w:eastAsia="Arial" w:hAnsi="Arial"/>
                <w:sz w:val="15"/>
                <w:szCs w:val="15"/>
                <w:color w:val="auto"/>
              </w:rPr>
              <w:t>•</w:t>
            </w:r>
          </w:p>
        </w:tc>
        <w:tc>
          <w:tcPr>
            <w:tcW w:w="6500" w:type="dxa"/>
            <w:vAlign w:val="bottom"/>
            <w:gridSpan w:val="2"/>
          </w:tcPr>
          <w:p>
            <w:pPr>
              <w:ind w:left="320"/>
              <w:spacing w:after="0"/>
              <w:rPr>
                <w:sz w:val="20"/>
                <w:szCs w:val="20"/>
                <w:color w:val="auto"/>
              </w:rPr>
            </w:pPr>
            <w:r>
              <w:rPr>
                <w:rFonts w:ascii="Arial" w:cs="Arial" w:eastAsia="Arial" w:hAnsi="Arial"/>
                <w:sz w:val="15"/>
                <w:szCs w:val="15"/>
                <w:color w:val="auto"/>
                <w:w w:val="95"/>
              </w:rPr>
              <w:t>a computer generated message transmitted through The Depository Trust Company’s Automated</w:t>
            </w:r>
          </w:p>
        </w:tc>
      </w:tr>
      <w:tr>
        <w:trPr>
          <w:trHeight w:val="188"/>
        </w:trPr>
        <w:tc>
          <w:tcPr>
            <w:tcW w:w="3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500" w:type="dxa"/>
            <w:vAlign w:val="bottom"/>
            <w:gridSpan w:val="2"/>
          </w:tcPr>
          <w:p>
            <w:pPr>
              <w:ind w:left="320"/>
              <w:spacing w:after="0"/>
              <w:rPr>
                <w:sz w:val="20"/>
                <w:szCs w:val="20"/>
                <w:color w:val="auto"/>
              </w:rPr>
            </w:pPr>
            <w:r>
              <w:rPr>
                <w:rFonts w:ascii="Arial" w:cs="Arial" w:eastAsia="Arial" w:hAnsi="Arial"/>
                <w:sz w:val="15"/>
                <w:szCs w:val="15"/>
                <w:color w:val="auto"/>
              </w:rPr>
              <w:t>Tender Offer Program system and received by the exchange agent and forming a part of a</w:t>
            </w:r>
          </w:p>
        </w:tc>
      </w:tr>
      <w:tr>
        <w:trPr>
          <w:trHeight w:val="188"/>
        </w:trPr>
        <w:tc>
          <w:tcPr>
            <w:tcW w:w="3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500" w:type="dxa"/>
            <w:vAlign w:val="bottom"/>
            <w:gridSpan w:val="2"/>
          </w:tcPr>
          <w:p>
            <w:pPr>
              <w:ind w:left="320"/>
              <w:spacing w:after="0"/>
              <w:rPr>
                <w:sz w:val="20"/>
                <w:szCs w:val="20"/>
                <w:color w:val="auto"/>
              </w:rPr>
            </w:pPr>
            <w:r>
              <w:rPr>
                <w:rFonts w:ascii="Arial" w:cs="Arial" w:eastAsia="Arial" w:hAnsi="Arial"/>
                <w:sz w:val="15"/>
                <w:szCs w:val="15"/>
                <w:color w:val="auto"/>
                <w:w w:val="94"/>
              </w:rPr>
              <w:t>confirmation of book-entry transfer in which you acknowledge and agree to be bound by the terms</w:t>
            </w:r>
          </w:p>
        </w:tc>
      </w:tr>
      <w:tr>
        <w:trPr>
          <w:trHeight w:val="194"/>
        </w:trPr>
        <w:tc>
          <w:tcPr>
            <w:tcW w:w="3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320" w:type="dxa"/>
            <w:vAlign w:val="bottom"/>
          </w:tcPr>
          <w:p>
            <w:pPr>
              <w:ind w:left="320"/>
              <w:spacing w:after="0"/>
              <w:rPr>
                <w:sz w:val="20"/>
                <w:szCs w:val="20"/>
                <w:color w:val="auto"/>
              </w:rPr>
            </w:pPr>
            <w:r>
              <w:rPr>
                <w:rFonts w:ascii="Arial" w:cs="Arial" w:eastAsia="Arial" w:hAnsi="Arial"/>
                <w:sz w:val="15"/>
                <w:szCs w:val="15"/>
                <w:color w:val="auto"/>
              </w:rPr>
              <w:t>of the letter of transmittal; or</w:t>
            </w:r>
          </w:p>
        </w:tc>
        <w:tc>
          <w:tcPr>
            <w:tcW w:w="2180" w:type="dxa"/>
            <w:vAlign w:val="bottom"/>
          </w:tcPr>
          <w:p>
            <w:pPr>
              <w:spacing w:after="0"/>
              <w:rPr>
                <w:sz w:val="16"/>
                <w:szCs w:val="16"/>
                <w:color w:val="auto"/>
              </w:rPr>
            </w:pPr>
          </w:p>
        </w:tc>
      </w:tr>
      <w:tr>
        <w:trPr>
          <w:trHeight w:val="317"/>
        </w:trPr>
        <w:tc>
          <w:tcPr>
            <w:tcW w:w="3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20" w:type="dxa"/>
            <w:vAlign w:val="bottom"/>
          </w:tcPr>
          <w:p>
            <w:pPr>
              <w:ind w:left="740"/>
              <w:spacing w:after="0"/>
              <w:rPr>
                <w:sz w:val="20"/>
                <w:szCs w:val="20"/>
                <w:color w:val="auto"/>
              </w:rPr>
            </w:pPr>
            <w:r>
              <w:rPr>
                <w:rFonts w:ascii="Arial" w:cs="Arial" w:eastAsia="Arial" w:hAnsi="Arial"/>
                <w:sz w:val="15"/>
                <w:szCs w:val="15"/>
                <w:color w:val="auto"/>
              </w:rPr>
              <w:t>4</w:t>
            </w:r>
          </w:p>
        </w:tc>
        <w:tc>
          <w:tcPr>
            <w:tcW w:w="2180" w:type="dxa"/>
            <w:vAlign w:val="bottom"/>
          </w:tcPr>
          <w:p>
            <w:pPr>
              <w:spacing w:after="0"/>
              <w:rPr>
                <w:sz w:val="24"/>
                <w:szCs w:val="24"/>
                <w:color w:val="auto"/>
              </w:rPr>
            </w:pPr>
          </w:p>
        </w:tc>
      </w:tr>
    </w:tbl>
    <w:p>
      <w:pPr>
        <w:sectPr>
          <w:pgSz w:w="11900" w:h="16838" w:orient="portrait"/>
          <w:cols w:equalWidth="0" w:num="1">
            <w:col w:w="11440"/>
          </w:cols>
          <w:pgMar w:left="240" w:top="417" w:right="2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740" w:type="dxa"/>
            <w:vAlign w:val="bottom"/>
          </w:tcPr>
          <w:p>
            <w:pPr>
              <w:ind w:left="460"/>
              <w:spacing w:after="0"/>
              <w:rPr>
                <w:sz w:val="20"/>
                <w:szCs w:val="20"/>
                <w:color w:val="auto"/>
              </w:rPr>
            </w:pPr>
            <w:r>
              <w:rPr>
                <w:rFonts w:ascii="Arial" w:cs="Arial" w:eastAsia="Arial" w:hAnsi="Arial"/>
                <w:sz w:val="15"/>
                <w:szCs w:val="15"/>
                <w:color w:val="auto"/>
              </w:rPr>
              <w:t>•</w:t>
            </w:r>
          </w:p>
        </w:tc>
        <w:tc>
          <w:tcPr>
            <w:tcW w:w="6380" w:type="dxa"/>
            <w:vAlign w:val="bottom"/>
          </w:tcPr>
          <w:p>
            <w:pPr>
              <w:ind w:left="200"/>
              <w:spacing w:after="0"/>
              <w:rPr>
                <w:sz w:val="20"/>
                <w:szCs w:val="20"/>
                <w:color w:val="auto"/>
              </w:rPr>
            </w:pPr>
            <w:r>
              <w:rPr>
                <w:rFonts w:ascii="Arial" w:cs="Arial" w:eastAsia="Arial" w:hAnsi="Arial"/>
                <w:sz w:val="15"/>
                <w:szCs w:val="15"/>
                <w:color w:val="auto"/>
                <w:w w:val="93"/>
              </w:rPr>
              <w:t>a properly completed and duly executed letter of transmittal, which accompanies this prospectus, or</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380" w:type="dxa"/>
            <w:vAlign w:val="bottom"/>
          </w:tcPr>
          <w:p>
            <w:pPr>
              <w:ind w:left="200"/>
              <w:spacing w:after="0"/>
              <w:rPr>
                <w:sz w:val="20"/>
                <w:szCs w:val="20"/>
                <w:color w:val="auto"/>
              </w:rPr>
            </w:pPr>
            <w:r>
              <w:rPr>
                <w:rFonts w:ascii="Arial" w:cs="Arial" w:eastAsia="Arial" w:hAnsi="Arial"/>
                <w:sz w:val="15"/>
                <w:szCs w:val="15"/>
                <w:color w:val="auto"/>
                <w:w w:val="99"/>
              </w:rPr>
              <w:t>a facsimile of the letter of transmittal, together with your Original Notes and any other required</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380" w:type="dxa"/>
            <w:vAlign w:val="bottom"/>
          </w:tcPr>
          <w:p>
            <w:pPr>
              <w:ind w:left="200"/>
              <w:spacing w:after="0"/>
              <w:rPr>
                <w:sz w:val="20"/>
                <w:szCs w:val="20"/>
                <w:color w:val="auto"/>
              </w:rPr>
            </w:pPr>
            <w:r>
              <w:rPr>
                <w:rFonts w:ascii="Arial" w:cs="Arial" w:eastAsia="Arial" w:hAnsi="Arial"/>
                <w:sz w:val="15"/>
                <w:szCs w:val="15"/>
                <w:color w:val="auto"/>
                <w:w w:val="92"/>
              </w:rPr>
              <w:t>documentation, to the exchange agent at the address listed in this prospectus and on the front cover</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380" w:type="dxa"/>
            <w:vAlign w:val="bottom"/>
          </w:tcPr>
          <w:p>
            <w:pPr>
              <w:ind w:left="200"/>
              <w:spacing w:after="0"/>
              <w:rPr>
                <w:sz w:val="20"/>
                <w:szCs w:val="20"/>
                <w:color w:val="auto"/>
              </w:rPr>
            </w:pPr>
            <w:r>
              <w:rPr>
                <w:rFonts w:ascii="Arial" w:cs="Arial" w:eastAsia="Arial" w:hAnsi="Arial"/>
                <w:sz w:val="15"/>
                <w:szCs w:val="15"/>
                <w:color w:val="auto"/>
              </w:rPr>
              <w:t>of the letter of transmittal.</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3"/>
                <w:szCs w:val="23"/>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If you cannot satisfy either of these procedures on a timely basis, then you should comply with the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5"/>
              </w:rPr>
              <w:t>guaranteed delivery procedures described below. By executing the letter of transmittal, you will make the</w:t>
            </w:r>
          </w:p>
        </w:tc>
        <w:tc>
          <w:tcPr>
            <w:tcW w:w="0" w:type="dxa"/>
            <w:vAlign w:val="bottom"/>
          </w:tcPr>
          <w:p>
            <w:pPr>
              <w:spacing w:after="0"/>
              <w:rPr>
                <w:sz w:val="1"/>
                <w:szCs w:val="1"/>
                <w:color w:val="auto"/>
              </w:rPr>
            </w:pPr>
          </w:p>
        </w:tc>
      </w:tr>
      <w:tr>
        <w:trPr>
          <w:trHeight w:val="194"/>
        </w:trPr>
        <w:tc>
          <w:tcPr>
            <w:tcW w:w="4320" w:type="dxa"/>
            <w:vAlign w:val="bottom"/>
            <w:vMerge w:val="restart"/>
          </w:tcPr>
          <w:p>
            <w:pPr>
              <w:spacing w:after="0"/>
              <w:rPr>
                <w:sz w:val="20"/>
                <w:szCs w:val="20"/>
                <w:color w:val="auto"/>
              </w:rPr>
            </w:pPr>
            <w:r>
              <w:rPr>
                <w:rFonts w:ascii="Arial" w:cs="Arial" w:eastAsia="Arial" w:hAnsi="Arial"/>
                <w:sz w:val="15"/>
                <w:szCs w:val="15"/>
                <w:color w:val="auto"/>
              </w:rPr>
              <w:t>Special Procedures for Beneficial Owners</w:t>
            </w: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5"/>
              </w:rPr>
              <w:t>representations to us described in the section entitled “The Exchange Offer—Procedures for Tendering.”</w:t>
            </w:r>
          </w:p>
        </w:tc>
        <w:tc>
          <w:tcPr>
            <w:tcW w:w="0" w:type="dxa"/>
            <w:vAlign w:val="bottom"/>
          </w:tcPr>
          <w:p>
            <w:pPr>
              <w:spacing w:after="0"/>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7120" w:type="dxa"/>
            <w:vAlign w:val="bottom"/>
            <w:gridSpan w:val="2"/>
            <w:vMerge w:val="restart"/>
          </w:tcPr>
          <w:p>
            <w:pPr>
              <w:ind w:left="460"/>
              <w:spacing w:after="0"/>
              <w:rPr>
                <w:sz w:val="20"/>
                <w:szCs w:val="20"/>
                <w:color w:val="auto"/>
              </w:rPr>
            </w:pPr>
            <w:r>
              <w:rPr>
                <w:rFonts w:ascii="Arial" w:cs="Arial" w:eastAsia="Arial" w:hAnsi="Arial"/>
                <w:sz w:val="15"/>
                <w:szCs w:val="15"/>
                <w:color w:val="auto"/>
              </w:rPr>
              <w:t>If you are a beneficial owner whose Original Notes are registered in the name of a broker, dealer,</w:t>
            </w:r>
          </w:p>
        </w:tc>
        <w:tc>
          <w:tcPr>
            <w:tcW w:w="0" w:type="dxa"/>
            <w:vAlign w:val="bottom"/>
          </w:tcPr>
          <w:p>
            <w:pPr>
              <w:spacing w:after="0"/>
              <w:rPr>
                <w:sz w:val="1"/>
                <w:szCs w:val="1"/>
                <w:color w:val="auto"/>
              </w:rPr>
            </w:pPr>
          </w:p>
        </w:tc>
      </w:tr>
      <w:tr>
        <w:trPr>
          <w:trHeight w:val="123"/>
        </w:trPr>
        <w:tc>
          <w:tcPr>
            <w:tcW w:w="4320" w:type="dxa"/>
            <w:vAlign w:val="bottom"/>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commercial bank, trust company or other nominee and you wish to tender your Original Notes in the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1"/>
              </w:rPr>
              <w:t>exchange offer, you should contact the registered holder promptly and instruct the registered holder to tender</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on your behalf. If you wish to tender on your own behalf, you must either (1) make appropriate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5"/>
              </w:rPr>
              <w:t>arrangements to register ownership of the Original Notes in your name or (2) obtain a properly completed</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bond power from the registered holder, before completing and executing the letter of transmittal and</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delivering your Original Notes.</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Arial" w:cs="Arial" w:eastAsia="Arial" w:hAnsi="Arial"/>
                <w:sz w:val="15"/>
                <w:szCs w:val="15"/>
                <w:color w:val="auto"/>
              </w:rPr>
              <w:t>Guaranteed Delivery Procedures</w:t>
            </w: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6"/>
              </w:rPr>
              <w:t>If you want to tender your Original Notes and time will not permit the documents required by the letter of</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3"/>
              </w:rPr>
              <w:t>transmittal to reach the exchange agent before the expiration date, or the procedure for book-entry transfer</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5"/>
              </w:rPr>
              <w:t>cannot be completed on a timely basis, you must tender your Original Notes according to the guaranteed</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delivery procedures described in the section entitled “The Exchange Offer—Guaranteed Delivery</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Procedures.”</w:t>
            </w:r>
          </w:p>
        </w:tc>
        <w:tc>
          <w:tcPr>
            <w:tcW w:w="0" w:type="dxa"/>
            <w:vAlign w:val="bottom"/>
          </w:tcPr>
          <w:p>
            <w:pPr>
              <w:spacing w:after="0"/>
              <w:rPr>
                <w:sz w:val="1"/>
                <w:szCs w:val="1"/>
                <w:color w:val="auto"/>
              </w:rPr>
            </w:pPr>
          </w:p>
        </w:tc>
      </w:tr>
      <w:tr>
        <w:trPr>
          <w:trHeight w:val="282"/>
        </w:trPr>
        <w:tc>
          <w:tcPr>
            <w:tcW w:w="4320" w:type="dxa"/>
            <w:vAlign w:val="bottom"/>
          </w:tcPr>
          <w:p>
            <w:pPr>
              <w:spacing w:after="0"/>
              <w:rPr>
                <w:sz w:val="20"/>
                <w:szCs w:val="20"/>
                <w:color w:val="auto"/>
              </w:rPr>
            </w:pPr>
            <w:r>
              <w:rPr>
                <w:rFonts w:ascii="Arial" w:cs="Arial" w:eastAsia="Arial" w:hAnsi="Arial"/>
                <w:sz w:val="15"/>
                <w:szCs w:val="15"/>
                <w:color w:val="auto"/>
              </w:rPr>
              <w:t>Acceptance of Original Notes and Delivery of Exchange Notes</w:t>
            </w:r>
          </w:p>
        </w:tc>
        <w:tc>
          <w:tcPr>
            <w:tcW w:w="7120" w:type="dxa"/>
            <w:vAlign w:val="bottom"/>
            <w:gridSpan w:val="2"/>
            <w:vMerge w:val="restart"/>
          </w:tcPr>
          <w:p>
            <w:pPr>
              <w:ind w:left="460"/>
              <w:spacing w:after="0"/>
              <w:rPr>
                <w:sz w:val="20"/>
                <w:szCs w:val="20"/>
                <w:color w:val="auto"/>
              </w:rPr>
            </w:pPr>
            <w:r>
              <w:rPr>
                <w:rFonts w:ascii="Arial" w:cs="Arial" w:eastAsia="Arial" w:hAnsi="Arial"/>
                <w:sz w:val="15"/>
                <w:szCs w:val="15"/>
                <w:color w:val="auto"/>
                <w:w w:val="93"/>
              </w:rPr>
              <w:t>Subject to the satisfaction or waiver of the condition to the exchange offer, we will accept for exchange any</w:t>
            </w:r>
          </w:p>
        </w:tc>
        <w:tc>
          <w:tcPr>
            <w:tcW w:w="0" w:type="dxa"/>
            <w:vAlign w:val="bottom"/>
          </w:tcPr>
          <w:p>
            <w:pPr>
              <w:spacing w:after="0"/>
              <w:rPr>
                <w:sz w:val="1"/>
                <w:szCs w:val="1"/>
                <w:color w:val="auto"/>
              </w:rPr>
            </w:pPr>
          </w:p>
        </w:tc>
      </w:tr>
      <w:tr>
        <w:trPr>
          <w:trHeight w:val="123"/>
        </w:trPr>
        <w:tc>
          <w:tcPr>
            <w:tcW w:w="4320" w:type="dxa"/>
            <w:vAlign w:val="bottom"/>
          </w:tcPr>
          <w:p>
            <w:pPr>
              <w:spacing w:after="0"/>
              <w:rPr>
                <w:sz w:val="10"/>
                <w:szCs w:val="10"/>
                <w:color w:val="auto"/>
              </w:rPr>
            </w:pPr>
          </w:p>
        </w:tc>
        <w:tc>
          <w:tcPr>
            <w:tcW w:w="7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3"/>
              </w:rPr>
              <w:t>and all Original Notes which are validly tendered in the exchange offer and not withdrawn before 5:00 p.m.,</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New York City time, on the expiration date.</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0"/>
                <w:szCs w:val="20"/>
                <w:color w:val="auto"/>
              </w:rPr>
            </w:pPr>
            <w:r>
              <w:rPr>
                <w:rFonts w:ascii="Arial" w:cs="Arial" w:eastAsia="Arial" w:hAnsi="Arial"/>
                <w:sz w:val="15"/>
                <w:szCs w:val="15"/>
                <w:color w:val="auto"/>
              </w:rPr>
              <w:t>Withdrawal Rights</w:t>
            </w: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5"/>
              </w:rPr>
              <w:t>You may withdraw the tender of your Original Notes at any time before 5:00 p.m., New York City time, on</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w w:val="97"/>
              </w:rPr>
              <w:t>the expiration date, by complying with the procedures for withdrawal described in this prospectus in the</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7120" w:type="dxa"/>
            <w:vAlign w:val="bottom"/>
            <w:gridSpan w:val="2"/>
          </w:tcPr>
          <w:p>
            <w:pPr>
              <w:ind w:left="460"/>
              <w:spacing w:after="0"/>
              <w:rPr>
                <w:sz w:val="20"/>
                <w:szCs w:val="20"/>
                <w:color w:val="auto"/>
              </w:rPr>
            </w:pPr>
            <w:r>
              <w:rPr>
                <w:rFonts w:ascii="Arial" w:cs="Arial" w:eastAsia="Arial" w:hAnsi="Arial"/>
                <w:sz w:val="15"/>
                <w:szCs w:val="15"/>
                <w:color w:val="auto"/>
              </w:rPr>
              <w:t>section entitled “The Exchange Offer—Withdrawal of Tenders.”</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Certain United States Federal Tax Considerations</w:t>
      </w:r>
    </w:p>
    <w:p>
      <w:pPr>
        <w:jc w:val="both"/>
        <w:ind w:left="4780" w:right="80"/>
        <w:spacing w:after="0" w:line="268" w:lineRule="auto"/>
        <w:rPr>
          <w:sz w:val="20"/>
          <w:szCs w:val="20"/>
          <w:color w:val="auto"/>
        </w:rPr>
      </w:pPr>
      <w:r>
        <w:rPr>
          <w:rFonts w:ascii="Arial" w:cs="Arial" w:eastAsia="Arial" w:hAnsi="Arial"/>
          <w:sz w:val="15"/>
          <w:szCs w:val="15"/>
          <w:color w:val="auto"/>
        </w:rPr>
        <w:t>The exchange of Notes will not be a taxable event for U.S. federal income tax purposes. For a discussion of certain material federal income tax consequences relating to the exchange of Notes, see the section entitled “Certain United States Federal Tax Considerations.”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417" w:right="2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20"/>
                <w:szCs w:val="20"/>
                <w:color w:val="auto"/>
              </w:rPr>
            </w:pPr>
            <w:r>
              <w:rPr>
                <w:rFonts w:ascii="Arial" w:cs="Arial" w:eastAsia="Arial" w:hAnsi="Arial"/>
                <w:sz w:val="15"/>
                <w:szCs w:val="15"/>
                <w:color w:val="auto"/>
              </w:rPr>
              <w:t>Exchange Agent</w:t>
            </w:r>
          </w:p>
        </w:tc>
        <w:tc>
          <w:tcPr>
            <w:tcW w:w="6620" w:type="dxa"/>
            <w:vAlign w:val="bottom"/>
          </w:tcPr>
          <w:p>
            <w:pPr>
              <w:ind w:left="40"/>
              <w:spacing w:after="0"/>
              <w:rPr>
                <w:sz w:val="20"/>
                <w:szCs w:val="20"/>
                <w:color w:val="auto"/>
              </w:rPr>
            </w:pPr>
            <w:r>
              <w:rPr>
                <w:rFonts w:ascii="Arial" w:cs="Arial" w:eastAsia="Arial" w:hAnsi="Arial"/>
                <w:sz w:val="15"/>
                <w:szCs w:val="15"/>
                <w:color w:val="auto"/>
                <w:w w:val="97"/>
              </w:rPr>
              <w:t>U.S. Bank National Association, the trustee under the indenture governing the Notes, is serving as the</w:t>
            </w: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rPr>
              <w:t>exchange agent.</w:t>
            </w:r>
          </w:p>
        </w:tc>
        <w:tc>
          <w:tcPr>
            <w:tcW w:w="0" w:type="dxa"/>
            <w:vAlign w:val="bottom"/>
          </w:tcPr>
          <w:p>
            <w:pPr>
              <w:spacing w:after="0"/>
              <w:rPr>
                <w:sz w:val="1"/>
                <w:szCs w:val="1"/>
                <w:color w:val="auto"/>
              </w:rPr>
            </w:pPr>
          </w:p>
        </w:tc>
      </w:tr>
      <w:tr>
        <w:trPr>
          <w:trHeight w:val="282"/>
        </w:trPr>
        <w:tc>
          <w:tcPr>
            <w:tcW w:w="4760" w:type="dxa"/>
            <w:vAlign w:val="bottom"/>
          </w:tcPr>
          <w:p>
            <w:pPr>
              <w:spacing w:after="0"/>
              <w:rPr>
                <w:sz w:val="20"/>
                <w:szCs w:val="20"/>
                <w:color w:val="auto"/>
              </w:rPr>
            </w:pPr>
            <w:r>
              <w:rPr>
                <w:rFonts w:ascii="Arial" w:cs="Arial" w:eastAsia="Arial" w:hAnsi="Arial"/>
                <w:sz w:val="15"/>
                <w:szCs w:val="15"/>
                <w:color w:val="auto"/>
              </w:rPr>
              <w:t>Consequences of Failure to Exchange Original Notes</w:t>
            </w:r>
          </w:p>
        </w:tc>
        <w:tc>
          <w:tcPr>
            <w:tcW w:w="6620" w:type="dxa"/>
            <w:vAlign w:val="bottom"/>
            <w:vMerge w:val="restart"/>
          </w:tcPr>
          <w:p>
            <w:pPr>
              <w:ind w:left="40"/>
              <w:spacing w:after="0"/>
              <w:rPr>
                <w:sz w:val="20"/>
                <w:szCs w:val="20"/>
                <w:color w:val="auto"/>
              </w:rPr>
            </w:pPr>
            <w:r>
              <w:rPr>
                <w:rFonts w:ascii="Arial" w:cs="Arial" w:eastAsia="Arial" w:hAnsi="Arial"/>
                <w:sz w:val="15"/>
                <w:szCs w:val="15"/>
                <w:color w:val="auto"/>
                <w:w w:val="97"/>
              </w:rPr>
              <w:t>If you do not exchange your Original Notes for Exchange Notes, you will continue to be subject to the</w:t>
            </w:r>
          </w:p>
        </w:tc>
        <w:tc>
          <w:tcPr>
            <w:tcW w:w="0" w:type="dxa"/>
            <w:vAlign w:val="bottom"/>
          </w:tcPr>
          <w:p>
            <w:pPr>
              <w:spacing w:after="0"/>
              <w:rPr>
                <w:sz w:val="1"/>
                <w:szCs w:val="1"/>
                <w:color w:val="auto"/>
              </w:rPr>
            </w:pPr>
          </w:p>
        </w:tc>
      </w:tr>
      <w:tr>
        <w:trPr>
          <w:trHeight w:val="123"/>
        </w:trPr>
        <w:tc>
          <w:tcPr>
            <w:tcW w:w="4760" w:type="dxa"/>
            <w:vAlign w:val="bottom"/>
          </w:tcPr>
          <w:p>
            <w:pPr>
              <w:spacing w:after="0"/>
              <w:rPr>
                <w:sz w:val="10"/>
                <w:szCs w:val="10"/>
                <w:color w:val="auto"/>
              </w:rPr>
            </w:pPr>
          </w:p>
        </w:tc>
        <w:tc>
          <w:tcPr>
            <w:tcW w:w="6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w w:val="93"/>
              </w:rPr>
              <w:t>restrictions on transfer provided in the Original Notes and in the indenture governing the Original Notes. In</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w w:val="94"/>
              </w:rPr>
              <w:t>general, the Original Notes may not be offered or sold, unless registered under the Securities Act, except</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w w:val="95"/>
              </w:rPr>
              <w:t>pursuant to an exemption from, or in a transaction not subject to, the Securities Act and applicable state</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w w:val="93"/>
              </w:rPr>
              <w:t>securities laws. We do not currently plan to register the Original Notes under the Securities Act. See “Risk</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w w:val="94"/>
              </w:rPr>
              <w:t>Factors—If You Do Not Exchange Your Original Notes Pursuant to This Exchange Offer, You May Never</w:t>
            </w: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rPr>
              <w:t>Be Able to Sell Your Original Notes.”</w:t>
            </w:r>
          </w:p>
        </w:tc>
        <w:tc>
          <w:tcPr>
            <w:tcW w:w="0" w:type="dxa"/>
            <w:vAlign w:val="bottom"/>
          </w:tcPr>
          <w:p>
            <w:pPr>
              <w:spacing w:after="0"/>
              <w:rPr>
                <w:sz w:val="1"/>
                <w:szCs w:val="1"/>
                <w:color w:val="auto"/>
              </w:rPr>
            </w:pPr>
          </w:p>
        </w:tc>
      </w:tr>
      <w:tr>
        <w:trPr>
          <w:trHeight w:val="276"/>
        </w:trPr>
        <w:tc>
          <w:tcPr>
            <w:tcW w:w="4760" w:type="dxa"/>
            <w:vAlign w:val="bottom"/>
          </w:tcPr>
          <w:p>
            <w:pPr>
              <w:spacing w:after="0"/>
              <w:rPr>
                <w:sz w:val="20"/>
                <w:szCs w:val="20"/>
                <w:color w:val="auto"/>
              </w:rPr>
            </w:pPr>
            <w:r>
              <w:rPr>
                <w:rFonts w:ascii="Arial" w:cs="Arial" w:eastAsia="Arial" w:hAnsi="Arial"/>
                <w:sz w:val="15"/>
                <w:szCs w:val="15"/>
                <w:color w:val="auto"/>
              </w:rPr>
              <w:t>Registration Rights Agreement</w:t>
            </w:r>
          </w:p>
        </w:tc>
        <w:tc>
          <w:tcPr>
            <w:tcW w:w="6620" w:type="dxa"/>
            <w:vAlign w:val="bottom"/>
          </w:tcPr>
          <w:p>
            <w:pPr>
              <w:ind w:left="40"/>
              <w:spacing w:after="0"/>
              <w:rPr>
                <w:sz w:val="20"/>
                <w:szCs w:val="20"/>
                <w:color w:val="auto"/>
              </w:rPr>
            </w:pPr>
            <w:r>
              <w:rPr>
                <w:rFonts w:ascii="Arial" w:cs="Arial" w:eastAsia="Arial" w:hAnsi="Arial"/>
                <w:sz w:val="15"/>
                <w:szCs w:val="15"/>
                <w:color w:val="auto"/>
                <w:w w:val="93"/>
              </w:rPr>
              <w:t>If you are a holder of Original Notes, you are entitled to exchange your Original Notes for Exchange Notes</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rPr>
              <w:t>with substantially identical terms. The exchange offer satisfies this right. After the exchange offer is</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rPr>
              <w:t>completed, you will no longer be entitled to any exchange or registration rights with respect to your</w:t>
            </w: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6620" w:type="dxa"/>
            <w:vAlign w:val="bottom"/>
          </w:tcPr>
          <w:p>
            <w:pPr>
              <w:ind w:left="40"/>
              <w:spacing w:after="0"/>
              <w:rPr>
                <w:sz w:val="20"/>
                <w:szCs w:val="20"/>
                <w:color w:val="auto"/>
              </w:rPr>
            </w:pPr>
            <w:r>
              <w:rPr>
                <w:rFonts w:ascii="Arial" w:cs="Arial" w:eastAsia="Arial" w:hAnsi="Arial"/>
                <w:sz w:val="15"/>
                <w:szCs w:val="15"/>
                <w:color w:val="auto"/>
              </w:rPr>
              <w:t>Original Notes.</w:t>
            </w:r>
          </w:p>
        </w:tc>
        <w:tc>
          <w:tcPr>
            <w:tcW w:w="0" w:type="dxa"/>
            <w:vAlign w:val="bottom"/>
          </w:tcPr>
          <w:p>
            <w:pPr>
              <w:spacing w:after="0"/>
              <w:rPr>
                <w:sz w:val="1"/>
                <w:szCs w:val="1"/>
                <w:color w:val="auto"/>
              </w:rPr>
            </w:pPr>
          </w:p>
        </w:tc>
      </w:tr>
      <w:tr>
        <w:trPr>
          <w:trHeight w:val="317"/>
        </w:trPr>
        <w:tc>
          <w:tcPr>
            <w:tcW w:w="4760" w:type="dxa"/>
            <w:vAlign w:val="bottom"/>
          </w:tcPr>
          <w:p>
            <w:pPr>
              <w:ind w:left="460"/>
              <w:spacing w:after="0"/>
              <w:rPr>
                <w:sz w:val="20"/>
                <w:szCs w:val="20"/>
                <w:color w:val="auto"/>
              </w:rPr>
            </w:pPr>
            <w:r>
              <w:rPr>
                <w:rFonts w:ascii="Arial" w:cs="Arial" w:eastAsia="Arial" w:hAnsi="Arial"/>
                <w:sz w:val="15"/>
                <w:szCs w:val="15"/>
                <w:color w:val="auto"/>
                <w:w w:val="92"/>
              </w:rPr>
              <w:t>We explain the exchange offer in greater detail beginning on page 19.</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760" w:type="dxa"/>
            <w:vAlign w:val="bottom"/>
          </w:tcPr>
          <w:p>
            <w:pPr>
              <w:spacing w:after="0"/>
              <w:rPr>
                <w:sz w:val="24"/>
                <w:szCs w:val="24"/>
                <w:color w:val="auto"/>
              </w:rPr>
            </w:pPr>
          </w:p>
        </w:tc>
        <w:tc>
          <w:tcPr>
            <w:tcW w:w="6620" w:type="dxa"/>
            <w:vAlign w:val="bottom"/>
          </w:tcPr>
          <w:p>
            <w:pPr>
              <w:ind w:left="9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bl>
    <w:p>
      <w:pPr>
        <w:sectPr>
          <w:pgSz w:w="11900" w:h="16838" w:orient="portrait"/>
          <w:cols w:equalWidth="0" w:num="1">
            <w:col w:w="11380"/>
          </w:cols>
          <w:pgMar w:left="240" w:top="417" w:right="2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Exchange Notes</w:t>
      </w:r>
    </w:p>
    <w:p>
      <w:pPr>
        <w:spacing w:after="0" w:line="149"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The form and terms of the Exchange Notes are the same as the form and terms of the Original Notes, except that the Exchange Notes will be registered under the Securities Act and, therefore, will not be subject to the transfer restrictions, registration rights and provisions for an increase in interest rate applicable to the Original Notes. The Exchange Notes will evidence the same debt as the Original Notes. The indenture governing the Exchange Notes is the same indenture that governs our Original Notes, and both series of Notes will be entitled to the benefits of the indenture and treated as a single class of debt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20"/>
                <w:szCs w:val="20"/>
                <w:color w:val="auto"/>
              </w:rPr>
            </w:pPr>
            <w:r>
              <w:rPr>
                <w:rFonts w:ascii="Arial" w:cs="Arial" w:eastAsia="Arial" w:hAnsi="Arial"/>
                <w:sz w:val="15"/>
                <w:szCs w:val="15"/>
                <w:color w:val="auto"/>
              </w:rPr>
              <w:t>Issuer</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The Scotts Company, an Ohio corporation.</w:t>
            </w:r>
          </w:p>
        </w:tc>
      </w:tr>
      <w:tr>
        <w:trPr>
          <w:trHeight w:val="282"/>
        </w:trPr>
        <w:tc>
          <w:tcPr>
            <w:tcW w:w="2740" w:type="dxa"/>
            <w:vAlign w:val="bottom"/>
          </w:tcPr>
          <w:p>
            <w:pPr>
              <w:spacing w:after="0"/>
              <w:rPr>
                <w:sz w:val="20"/>
                <w:szCs w:val="20"/>
                <w:color w:val="auto"/>
              </w:rPr>
            </w:pPr>
            <w:r>
              <w:rPr>
                <w:rFonts w:ascii="Arial" w:cs="Arial" w:eastAsia="Arial" w:hAnsi="Arial"/>
                <w:sz w:val="15"/>
                <w:szCs w:val="15"/>
                <w:color w:val="auto"/>
              </w:rPr>
              <w:t>Notes</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$200.0 million aggregate principal amount of 6.625% Series B senior subordinated notes due 2013.</w:t>
            </w:r>
          </w:p>
        </w:tc>
      </w:tr>
      <w:tr>
        <w:trPr>
          <w:trHeight w:val="282"/>
        </w:trPr>
        <w:tc>
          <w:tcPr>
            <w:tcW w:w="2740" w:type="dxa"/>
            <w:vAlign w:val="bottom"/>
          </w:tcPr>
          <w:p>
            <w:pPr>
              <w:spacing w:after="0"/>
              <w:rPr>
                <w:sz w:val="20"/>
                <w:szCs w:val="20"/>
                <w:color w:val="auto"/>
              </w:rPr>
            </w:pPr>
            <w:r>
              <w:rPr>
                <w:rFonts w:ascii="Arial" w:cs="Arial" w:eastAsia="Arial" w:hAnsi="Arial"/>
                <w:sz w:val="15"/>
                <w:szCs w:val="15"/>
                <w:color w:val="auto"/>
              </w:rPr>
              <w:t>Maturity</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November 15, 2013.</w:t>
            </w:r>
          </w:p>
        </w:tc>
      </w:tr>
      <w:tr>
        <w:trPr>
          <w:trHeight w:val="282"/>
        </w:trPr>
        <w:tc>
          <w:tcPr>
            <w:tcW w:w="2740" w:type="dxa"/>
            <w:vAlign w:val="bottom"/>
          </w:tcPr>
          <w:p>
            <w:pPr>
              <w:spacing w:after="0"/>
              <w:rPr>
                <w:sz w:val="20"/>
                <w:szCs w:val="20"/>
                <w:color w:val="auto"/>
              </w:rPr>
            </w:pPr>
            <w:r>
              <w:rPr>
                <w:rFonts w:ascii="Arial" w:cs="Arial" w:eastAsia="Arial" w:hAnsi="Arial"/>
                <w:sz w:val="15"/>
                <w:szCs w:val="15"/>
                <w:color w:val="auto"/>
              </w:rPr>
              <w:t>Interest Payment Dates</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May 15 and November 15 of each year, commencing on May 15, 2004.</w:t>
            </w:r>
          </w:p>
        </w:tc>
      </w:tr>
      <w:tr>
        <w:trPr>
          <w:trHeight w:val="276"/>
        </w:trPr>
        <w:tc>
          <w:tcPr>
            <w:tcW w:w="2740" w:type="dxa"/>
            <w:vAlign w:val="bottom"/>
          </w:tcPr>
          <w:p>
            <w:pPr>
              <w:spacing w:after="0"/>
              <w:rPr>
                <w:sz w:val="20"/>
                <w:szCs w:val="20"/>
                <w:color w:val="auto"/>
              </w:rPr>
            </w:pPr>
            <w:r>
              <w:rPr>
                <w:rFonts w:ascii="Arial" w:cs="Arial" w:eastAsia="Arial" w:hAnsi="Arial"/>
                <w:sz w:val="15"/>
                <w:szCs w:val="15"/>
                <w:color w:val="auto"/>
              </w:rPr>
              <w:t>Subsidiary Guarantors</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w w:val="93"/>
              </w:rPr>
              <w:t>The Notes will be guaranteed by all of our current and future domestic restricted subsidiaries, except for Custom Lawn</w:t>
            </w:r>
          </w:p>
        </w:tc>
      </w:tr>
      <w:tr>
        <w:trPr>
          <w:trHeight w:val="188"/>
        </w:trPr>
        <w:tc>
          <w:tcPr>
            <w:tcW w:w="2740" w:type="dxa"/>
            <w:vAlign w:val="bottom"/>
          </w:tcPr>
          <w:p>
            <w:pPr>
              <w:spacing w:after="0"/>
              <w:rPr>
                <w:sz w:val="16"/>
                <w:szCs w:val="16"/>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w w:val="96"/>
              </w:rPr>
              <w:t>Care Service, Inc., Sanford Scientific, Inc. and future domestic restricted subsidiaries which are below a materiality</w:t>
            </w:r>
          </w:p>
        </w:tc>
      </w:tr>
      <w:tr>
        <w:trPr>
          <w:trHeight w:val="188"/>
        </w:trPr>
        <w:tc>
          <w:tcPr>
            <w:tcW w:w="2740" w:type="dxa"/>
            <w:vAlign w:val="bottom"/>
          </w:tcPr>
          <w:p>
            <w:pPr>
              <w:spacing w:after="0"/>
              <w:rPr>
                <w:sz w:val="16"/>
                <w:szCs w:val="16"/>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threshold. See “Description of Notes—Certain Covenants—Additional Subsidiary Guarantees.” Our foreign</w:t>
            </w:r>
          </w:p>
        </w:tc>
      </w:tr>
      <w:tr>
        <w:trPr>
          <w:trHeight w:val="188"/>
        </w:trPr>
        <w:tc>
          <w:tcPr>
            <w:tcW w:w="2740" w:type="dxa"/>
            <w:vAlign w:val="bottom"/>
          </w:tcPr>
          <w:p>
            <w:pPr>
              <w:spacing w:after="0"/>
              <w:rPr>
                <w:sz w:val="16"/>
                <w:szCs w:val="16"/>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w w:val="93"/>
              </w:rPr>
              <w:t>subsidiaries are not subsidiary guarantors of the Notes. If we cannot make payments on the Notes when they are due,</w:t>
            </w:r>
          </w:p>
        </w:tc>
      </w:tr>
      <w:tr>
        <w:trPr>
          <w:trHeight w:val="194"/>
        </w:trPr>
        <w:tc>
          <w:tcPr>
            <w:tcW w:w="2740" w:type="dxa"/>
            <w:vAlign w:val="bottom"/>
          </w:tcPr>
          <w:p>
            <w:pPr>
              <w:spacing w:after="0"/>
              <w:rPr>
                <w:sz w:val="16"/>
                <w:szCs w:val="16"/>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the subsidiary guarantors must make them instead.</w:t>
            </w:r>
          </w:p>
        </w:tc>
      </w:tr>
      <w:tr>
        <w:trPr>
          <w:trHeight w:val="276"/>
        </w:trPr>
        <w:tc>
          <w:tcPr>
            <w:tcW w:w="2740" w:type="dxa"/>
            <w:vAlign w:val="bottom"/>
          </w:tcPr>
          <w:p>
            <w:pPr>
              <w:spacing w:after="0"/>
              <w:rPr>
                <w:sz w:val="23"/>
                <w:szCs w:val="23"/>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w w:val="93"/>
              </w:rPr>
              <w:t>We have adopted a plan of liquidation for Custom Lawn Care Service, Inc. and expect to complete its liquidation upon</w:t>
            </w:r>
          </w:p>
        </w:tc>
      </w:tr>
      <w:tr>
        <w:trPr>
          <w:trHeight w:val="194"/>
        </w:trPr>
        <w:tc>
          <w:tcPr>
            <w:tcW w:w="2740" w:type="dxa"/>
            <w:vAlign w:val="bottom"/>
          </w:tcPr>
          <w:p>
            <w:pPr>
              <w:spacing w:after="0"/>
              <w:rPr>
                <w:sz w:val="16"/>
                <w:szCs w:val="16"/>
                <w:color w:val="auto"/>
              </w:rPr>
            </w:pP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receiving requisite state approval.</w:t>
            </w:r>
          </w:p>
        </w:tc>
      </w:tr>
      <w:tr>
        <w:trPr>
          <w:trHeight w:val="282"/>
        </w:trPr>
        <w:tc>
          <w:tcPr>
            <w:tcW w:w="2740" w:type="dxa"/>
            <w:vAlign w:val="bottom"/>
          </w:tcPr>
          <w:p>
            <w:pPr>
              <w:spacing w:after="0"/>
              <w:rPr>
                <w:sz w:val="20"/>
                <w:szCs w:val="20"/>
                <w:color w:val="auto"/>
              </w:rPr>
            </w:pPr>
            <w:r>
              <w:rPr>
                <w:rFonts w:ascii="Arial" w:cs="Arial" w:eastAsia="Arial" w:hAnsi="Arial"/>
                <w:sz w:val="15"/>
                <w:szCs w:val="15"/>
                <w:color w:val="auto"/>
              </w:rPr>
              <w:t>Ranking</w:t>
            </w:r>
          </w:p>
        </w:tc>
        <w:tc>
          <w:tcPr>
            <w:tcW w:w="8660" w:type="dxa"/>
            <w:vAlign w:val="bottom"/>
            <w:gridSpan w:val="2"/>
          </w:tcPr>
          <w:p>
            <w:pPr>
              <w:ind w:left="1340"/>
              <w:spacing w:after="0"/>
              <w:rPr>
                <w:sz w:val="20"/>
                <w:szCs w:val="20"/>
                <w:color w:val="auto"/>
              </w:rPr>
            </w:pPr>
            <w:r>
              <w:rPr>
                <w:rFonts w:ascii="Arial" w:cs="Arial" w:eastAsia="Arial" w:hAnsi="Arial"/>
                <w:sz w:val="15"/>
                <w:szCs w:val="15"/>
                <w:color w:val="auto"/>
              </w:rPr>
              <w:t>The Notes and the subsidiary guarantees are senior subordinated obligations and will rank:</w:t>
            </w:r>
          </w:p>
        </w:tc>
      </w:tr>
      <w:tr>
        <w:trPr>
          <w:trHeight w:val="276"/>
        </w:trPr>
        <w:tc>
          <w:tcPr>
            <w:tcW w:w="2740" w:type="dxa"/>
            <w:vAlign w:val="bottom"/>
          </w:tcPr>
          <w:p>
            <w:pPr>
              <w:spacing w:after="0"/>
              <w:rPr>
                <w:sz w:val="23"/>
                <w:szCs w:val="23"/>
                <w:color w:val="auto"/>
              </w:rPr>
            </w:pPr>
          </w:p>
        </w:tc>
        <w:tc>
          <w:tcPr>
            <w:tcW w:w="1620" w:type="dxa"/>
            <w:vAlign w:val="bottom"/>
          </w:tcPr>
          <w:p>
            <w:pPr>
              <w:ind w:left="1340"/>
              <w:spacing w:after="0"/>
              <w:rPr>
                <w:sz w:val="20"/>
                <w:szCs w:val="20"/>
                <w:color w:val="auto"/>
              </w:rPr>
            </w:pPr>
            <w:r>
              <w:rPr>
                <w:rFonts w:ascii="Arial" w:cs="Arial" w:eastAsia="Arial" w:hAnsi="Arial"/>
                <w:sz w:val="15"/>
                <w:szCs w:val="15"/>
                <w:color w:val="auto"/>
              </w:rPr>
              <w:t>•</w:t>
            </w:r>
          </w:p>
        </w:tc>
        <w:tc>
          <w:tcPr>
            <w:tcW w:w="7040" w:type="dxa"/>
            <w:vAlign w:val="bottom"/>
          </w:tcPr>
          <w:p>
            <w:pPr>
              <w:ind w:left="220"/>
              <w:spacing w:after="0"/>
              <w:rPr>
                <w:sz w:val="20"/>
                <w:szCs w:val="20"/>
                <w:color w:val="auto"/>
              </w:rPr>
            </w:pPr>
            <w:r>
              <w:rPr>
                <w:rFonts w:ascii="Arial" w:cs="Arial" w:eastAsia="Arial" w:hAnsi="Arial"/>
                <w:sz w:val="15"/>
                <w:szCs w:val="15"/>
                <w:color w:val="auto"/>
                <w:w w:val="93"/>
              </w:rPr>
              <w:t>junior to all of our and our subsidiary guarantors’ existing and future indebtedness (other than trade payables),</w:t>
            </w:r>
          </w:p>
        </w:tc>
      </w:tr>
      <w:tr>
        <w:trPr>
          <w:trHeight w:val="194"/>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w w:val="92"/>
              </w:rPr>
              <w:t>except indebtedness that expressly provides that it is subordinated to the Notes and the subsidiary guarantees;</w:t>
            </w:r>
          </w:p>
        </w:tc>
      </w:tr>
      <w:tr>
        <w:trPr>
          <w:trHeight w:val="282"/>
        </w:trPr>
        <w:tc>
          <w:tcPr>
            <w:tcW w:w="274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5"/>
                <w:szCs w:val="15"/>
                <w:color w:val="auto"/>
              </w:rPr>
              <w:t>•</w:t>
            </w:r>
          </w:p>
        </w:tc>
        <w:tc>
          <w:tcPr>
            <w:tcW w:w="7040" w:type="dxa"/>
            <w:vAlign w:val="bottom"/>
          </w:tcPr>
          <w:p>
            <w:pPr>
              <w:ind w:left="220"/>
              <w:spacing w:after="0"/>
              <w:rPr>
                <w:sz w:val="20"/>
                <w:szCs w:val="20"/>
                <w:color w:val="auto"/>
              </w:rPr>
            </w:pPr>
            <w:r>
              <w:rPr>
                <w:rFonts w:ascii="Arial" w:cs="Arial" w:eastAsia="Arial" w:hAnsi="Arial"/>
                <w:sz w:val="15"/>
                <w:szCs w:val="15"/>
                <w:color w:val="auto"/>
              </w:rPr>
              <w:t>effectively subordinated to all of our existing and future secured debt; and</w:t>
            </w:r>
          </w:p>
        </w:tc>
      </w:tr>
      <w:tr>
        <w:trPr>
          <w:trHeight w:val="276"/>
        </w:trPr>
        <w:tc>
          <w:tcPr>
            <w:tcW w:w="2740" w:type="dxa"/>
            <w:vAlign w:val="bottom"/>
          </w:tcPr>
          <w:p>
            <w:pPr>
              <w:spacing w:after="0"/>
              <w:rPr>
                <w:sz w:val="23"/>
                <w:szCs w:val="23"/>
                <w:color w:val="auto"/>
              </w:rPr>
            </w:pPr>
          </w:p>
        </w:tc>
        <w:tc>
          <w:tcPr>
            <w:tcW w:w="1620" w:type="dxa"/>
            <w:vAlign w:val="bottom"/>
          </w:tcPr>
          <w:p>
            <w:pPr>
              <w:ind w:left="1340"/>
              <w:spacing w:after="0"/>
              <w:rPr>
                <w:sz w:val="20"/>
                <w:szCs w:val="20"/>
                <w:color w:val="auto"/>
              </w:rPr>
            </w:pPr>
            <w:r>
              <w:rPr>
                <w:rFonts w:ascii="Arial" w:cs="Arial" w:eastAsia="Arial" w:hAnsi="Arial"/>
                <w:sz w:val="15"/>
                <w:szCs w:val="15"/>
                <w:color w:val="auto"/>
              </w:rPr>
              <w:t>•</w:t>
            </w:r>
          </w:p>
        </w:tc>
        <w:tc>
          <w:tcPr>
            <w:tcW w:w="7040" w:type="dxa"/>
            <w:vAlign w:val="bottom"/>
          </w:tcPr>
          <w:p>
            <w:pPr>
              <w:ind w:left="220"/>
              <w:spacing w:after="0"/>
              <w:rPr>
                <w:sz w:val="20"/>
                <w:szCs w:val="20"/>
                <w:color w:val="auto"/>
              </w:rPr>
            </w:pPr>
            <w:r>
              <w:rPr>
                <w:rFonts w:ascii="Arial" w:cs="Arial" w:eastAsia="Arial" w:hAnsi="Arial"/>
                <w:sz w:val="15"/>
                <w:szCs w:val="15"/>
                <w:color w:val="auto"/>
                <w:w w:val="91"/>
              </w:rPr>
              <w:t>equally with our existing 8.625% senior subordinated notes due 2009 and the subsidiary guarantees thereof that</w:t>
            </w:r>
          </w:p>
        </w:tc>
      </w:tr>
      <w:tr>
        <w:trPr>
          <w:trHeight w:val="188"/>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w w:val="91"/>
              </w:rPr>
              <w:t>were not tendered, or were not accepted for payment by us, pursuant to the tender offer that we commenced on</w:t>
            </w:r>
          </w:p>
        </w:tc>
      </w:tr>
      <w:tr>
        <w:trPr>
          <w:trHeight w:val="188"/>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w w:val="96"/>
              </w:rPr>
              <w:t>September 15, 2003. As of December 15, 2003, approximately $13.2 million aggregate principal amount of</w:t>
            </w:r>
          </w:p>
        </w:tc>
      </w:tr>
      <w:tr>
        <w:trPr>
          <w:trHeight w:val="188"/>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w w:val="99"/>
              </w:rPr>
              <w:t>such 8.625% senior subordinated notes due 2009 remained outstanding. We have delivered a notice of</w:t>
            </w:r>
          </w:p>
        </w:tc>
      </w:tr>
      <w:tr>
        <w:trPr>
          <w:trHeight w:val="188"/>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w w:val="92"/>
              </w:rPr>
              <w:t>redemption with respect to such notes to the trustee, and the remaining notes will be redeemed on January 15,</w:t>
            </w:r>
          </w:p>
        </w:tc>
      </w:tr>
      <w:tr>
        <w:trPr>
          <w:trHeight w:val="194"/>
        </w:trPr>
        <w:tc>
          <w:tcPr>
            <w:tcW w:w="2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40" w:type="dxa"/>
            <w:vAlign w:val="bottom"/>
          </w:tcPr>
          <w:p>
            <w:pPr>
              <w:ind w:left="220"/>
              <w:spacing w:after="0"/>
              <w:rPr>
                <w:sz w:val="20"/>
                <w:szCs w:val="20"/>
                <w:color w:val="auto"/>
              </w:rPr>
            </w:pPr>
            <w:r>
              <w:rPr>
                <w:rFonts w:ascii="Arial" w:cs="Arial" w:eastAsia="Arial" w:hAnsi="Arial"/>
                <w:sz w:val="15"/>
                <w:szCs w:val="15"/>
                <w:color w:val="auto"/>
              </w:rPr>
              <w:t>2004.</w:t>
            </w:r>
          </w:p>
        </w:tc>
      </w:tr>
    </w:tbl>
    <w:p>
      <w:pPr>
        <w:spacing w:after="0" w:line="88" w:lineRule="exact"/>
        <w:rPr>
          <w:sz w:val="20"/>
          <w:szCs w:val="20"/>
          <w:color w:val="auto"/>
        </w:rPr>
      </w:pPr>
    </w:p>
    <w:p>
      <w:pPr>
        <w:ind w:left="4080" w:right="200"/>
        <w:spacing w:after="0" w:line="337" w:lineRule="auto"/>
        <w:rPr>
          <w:sz w:val="20"/>
          <w:szCs w:val="20"/>
          <w:color w:val="auto"/>
        </w:rPr>
      </w:pPr>
      <w:r>
        <w:rPr>
          <w:rFonts w:ascii="Arial" w:cs="Arial" w:eastAsia="Arial" w:hAnsi="Arial"/>
          <w:sz w:val="13"/>
          <w:szCs w:val="13"/>
          <w:color w:val="auto"/>
        </w:rPr>
        <w:t>Assuming the refinancing had occurred as of September 30, 2003, the Notes and the subsidiary guarantees were subordinated to $538.0 million of senior debt and the subsidiary guarantees were structurally subordinated to $256.1 million of liabilities of the non-guarantor subsidiaries, including senior debt and excluding intercompany liabilities.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00"/>
          </w:cols>
          <w:pgMar w:left="240" w:top="417"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20"/>
                <w:szCs w:val="20"/>
                <w:color w:val="auto"/>
              </w:rPr>
            </w:pPr>
            <w:r>
              <w:rPr>
                <w:rFonts w:ascii="Arial" w:cs="Arial" w:eastAsia="Arial" w:hAnsi="Arial"/>
                <w:sz w:val="15"/>
                <w:szCs w:val="15"/>
                <w:color w:val="auto"/>
              </w:rPr>
              <w:t>Optional Redemption</w:t>
            </w: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8"/>
              </w:rPr>
              <w:t>We may redeem some or all of the Notes beginning on November 15, 2008, at any time at the redemption prices</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5"/>
              </w:rPr>
              <w:t>discussed under the caption “Description of Notes—Optional Redemption.” In addition, prior to November 15, 2006,</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3"/>
              </w:rPr>
              <w:t>we may redeem up to 35% of the Notes from the proceeds of certain equity offerings and prior to November 15, 2008,</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2"/>
              </w:rPr>
              <w:t>we may redeem some or all of the Notes at a price equal to 100% of the principal amount, plus any accrued and unpaid</w:t>
            </w:r>
          </w:p>
        </w:tc>
      </w:tr>
      <w:tr>
        <w:trPr>
          <w:trHeight w:val="194"/>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5"/>
              </w:rPr>
              <w:t>interest to the date of redemption, plus a “make-whole” premium. See “Description of Notes—Optional Redemption.”</w:t>
            </w:r>
          </w:p>
        </w:tc>
      </w:tr>
      <w:tr>
        <w:trPr>
          <w:trHeight w:val="276"/>
        </w:trPr>
        <w:tc>
          <w:tcPr>
            <w:tcW w:w="3000" w:type="dxa"/>
            <w:vAlign w:val="bottom"/>
          </w:tcPr>
          <w:p>
            <w:pPr>
              <w:spacing w:after="0"/>
              <w:rPr>
                <w:sz w:val="20"/>
                <w:szCs w:val="20"/>
                <w:color w:val="auto"/>
              </w:rPr>
            </w:pPr>
            <w:r>
              <w:rPr>
                <w:rFonts w:ascii="Arial" w:cs="Arial" w:eastAsia="Arial" w:hAnsi="Arial"/>
                <w:sz w:val="15"/>
                <w:szCs w:val="15"/>
                <w:color w:val="auto"/>
              </w:rPr>
              <w:t>Mandatory Offer to Repurchase</w:t>
            </w: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1"/>
              </w:rPr>
              <w:t>If we sell certain assets or experience specified kinds of changes of control, we must offer to repurchase the Notes at the</w:t>
            </w:r>
          </w:p>
        </w:tc>
      </w:tr>
      <w:tr>
        <w:trPr>
          <w:trHeight w:val="194"/>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prices discussed under the caption “Description of Notes—Repurchase at the Option of Holders.”</w:t>
            </w:r>
          </w:p>
        </w:tc>
      </w:tr>
      <w:tr>
        <w:trPr>
          <w:trHeight w:val="276"/>
        </w:trPr>
        <w:tc>
          <w:tcPr>
            <w:tcW w:w="3000" w:type="dxa"/>
            <w:vAlign w:val="bottom"/>
          </w:tcPr>
          <w:p>
            <w:pPr>
              <w:spacing w:after="0"/>
              <w:rPr>
                <w:sz w:val="20"/>
                <w:szCs w:val="20"/>
                <w:color w:val="auto"/>
              </w:rPr>
            </w:pPr>
            <w:r>
              <w:rPr>
                <w:rFonts w:ascii="Arial" w:cs="Arial" w:eastAsia="Arial" w:hAnsi="Arial"/>
                <w:sz w:val="15"/>
                <w:szCs w:val="15"/>
                <w:color w:val="auto"/>
              </w:rPr>
              <w:t>Certain Covenants</w:t>
            </w: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2"/>
              </w:rPr>
              <w:t>The indenture governing the Notes contains covenants that, among other things, restrict our ability and the ability of our</w:t>
            </w:r>
          </w:p>
        </w:tc>
      </w:tr>
      <w:tr>
        <w:trPr>
          <w:trHeight w:val="194"/>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restricted subsidiaries to:</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incur additional debt or issue redeemable preferred stock or subsidiary preferred stock;</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incur liens;</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pay dividends on, or redeem or repurchase capital stock or subordinated debt;</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engage in transactions with affiliates;</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make some types of investments or sell assets; or</w:t>
            </w:r>
          </w:p>
        </w:tc>
      </w:tr>
      <w:tr>
        <w:trPr>
          <w:trHeight w:val="282"/>
        </w:trPr>
        <w:tc>
          <w:tcPr>
            <w:tcW w:w="3000" w:type="dxa"/>
            <w:vAlign w:val="bottom"/>
          </w:tcPr>
          <w:p>
            <w:pPr>
              <w:spacing w:after="0"/>
              <w:rPr>
                <w:sz w:val="24"/>
                <w:szCs w:val="24"/>
                <w:color w:val="auto"/>
              </w:rPr>
            </w:pPr>
          </w:p>
        </w:tc>
        <w:tc>
          <w:tcPr>
            <w:tcW w:w="1360" w:type="dxa"/>
            <w:vAlign w:val="bottom"/>
          </w:tcPr>
          <w:p>
            <w:pPr>
              <w:ind w:left="1080"/>
              <w:spacing w:after="0"/>
              <w:rPr>
                <w:sz w:val="20"/>
                <w:szCs w:val="20"/>
                <w:color w:val="auto"/>
              </w:rPr>
            </w:pPr>
            <w:r>
              <w:rPr>
                <w:rFonts w:ascii="Arial" w:cs="Arial" w:eastAsia="Arial" w:hAnsi="Arial"/>
                <w:sz w:val="15"/>
                <w:szCs w:val="15"/>
                <w:color w:val="auto"/>
              </w:rPr>
              <w:t>•</w:t>
            </w:r>
          </w:p>
        </w:tc>
        <w:tc>
          <w:tcPr>
            <w:tcW w:w="7060" w:type="dxa"/>
            <w:vAlign w:val="bottom"/>
          </w:tcPr>
          <w:p>
            <w:pPr>
              <w:ind w:left="220"/>
              <w:spacing w:after="0"/>
              <w:rPr>
                <w:sz w:val="20"/>
                <w:szCs w:val="20"/>
                <w:color w:val="auto"/>
              </w:rPr>
            </w:pPr>
            <w:r>
              <w:rPr>
                <w:rFonts w:ascii="Arial" w:cs="Arial" w:eastAsia="Arial" w:hAnsi="Arial"/>
                <w:sz w:val="15"/>
                <w:szCs w:val="15"/>
                <w:color w:val="auto"/>
              </w:rPr>
              <w:t>consolidate or merge with or into, or sell substantially all of our assets to, another person.</w:t>
            </w:r>
          </w:p>
        </w:tc>
      </w:tr>
      <w:tr>
        <w:trPr>
          <w:trHeight w:val="276"/>
        </w:trPr>
        <w:tc>
          <w:tcPr>
            <w:tcW w:w="3000" w:type="dxa"/>
            <w:vAlign w:val="bottom"/>
          </w:tcPr>
          <w:p>
            <w:pPr>
              <w:spacing w:after="0"/>
              <w:rPr>
                <w:sz w:val="23"/>
                <w:szCs w:val="23"/>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5"/>
              </w:rPr>
              <w:t>These covenants are subject to important exceptions which are described under the caption “Description of Notes—</w:t>
            </w:r>
          </w:p>
        </w:tc>
      </w:tr>
      <w:tr>
        <w:trPr>
          <w:trHeight w:val="194"/>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Certain Covenants.”</w:t>
            </w:r>
          </w:p>
        </w:tc>
      </w:tr>
      <w:tr>
        <w:trPr>
          <w:trHeight w:val="276"/>
        </w:trPr>
        <w:tc>
          <w:tcPr>
            <w:tcW w:w="3000" w:type="dxa"/>
            <w:vAlign w:val="bottom"/>
          </w:tcPr>
          <w:p>
            <w:pPr>
              <w:spacing w:after="0"/>
              <w:rPr>
                <w:sz w:val="20"/>
                <w:szCs w:val="20"/>
                <w:color w:val="auto"/>
              </w:rPr>
            </w:pPr>
            <w:r>
              <w:rPr>
                <w:rFonts w:ascii="Arial" w:cs="Arial" w:eastAsia="Arial" w:hAnsi="Arial"/>
                <w:sz w:val="15"/>
                <w:szCs w:val="15"/>
                <w:color w:val="auto"/>
              </w:rPr>
              <w:t>Form of Exchange Notes</w:t>
            </w: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The Exchange Notes will be represented by one or more permanent global certificates, in fully registered form,</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9"/>
              </w:rPr>
              <w:t>deposited with a custodian for, and registered in the name of a nominee of, The Depository Trust Company, as</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4"/>
              </w:rPr>
              <w:t>depositary. You will not receive Exchange Notes in certificated form unless one of the events described in the section</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6"/>
              </w:rPr>
              <w:t>entitled “Book-entry, Settlement and Clearance” occurs. Instead, beneficial interests in the Exchange Notes will be</w:t>
            </w:r>
          </w:p>
        </w:tc>
      </w:tr>
      <w:tr>
        <w:trPr>
          <w:trHeight w:val="188"/>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w w:val="93"/>
              </w:rPr>
              <w:t>shown on, and transfers of the Exchange Notes will be effected only through, records maintained in book-entry form by</w:t>
            </w:r>
          </w:p>
        </w:tc>
      </w:tr>
      <w:tr>
        <w:trPr>
          <w:trHeight w:val="194"/>
        </w:trPr>
        <w:tc>
          <w:tcPr>
            <w:tcW w:w="3000" w:type="dxa"/>
            <w:vAlign w:val="bottom"/>
          </w:tcPr>
          <w:p>
            <w:pPr>
              <w:spacing w:after="0"/>
              <w:rPr>
                <w:sz w:val="16"/>
                <w:szCs w:val="16"/>
                <w:color w:val="auto"/>
              </w:rPr>
            </w:pP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The Depository Trust Company and its participants.</w:t>
            </w:r>
          </w:p>
        </w:tc>
      </w:tr>
      <w:tr>
        <w:trPr>
          <w:trHeight w:val="282"/>
        </w:trPr>
        <w:tc>
          <w:tcPr>
            <w:tcW w:w="3000" w:type="dxa"/>
            <w:vAlign w:val="bottom"/>
          </w:tcPr>
          <w:p>
            <w:pPr>
              <w:spacing w:after="0"/>
              <w:rPr>
                <w:sz w:val="20"/>
                <w:szCs w:val="20"/>
                <w:color w:val="auto"/>
              </w:rPr>
            </w:pPr>
            <w:r>
              <w:rPr>
                <w:rFonts w:ascii="Arial" w:cs="Arial" w:eastAsia="Arial" w:hAnsi="Arial"/>
                <w:sz w:val="15"/>
                <w:szCs w:val="15"/>
                <w:color w:val="auto"/>
              </w:rPr>
              <w:t>Use of Proceeds</w:t>
            </w:r>
          </w:p>
        </w:tc>
        <w:tc>
          <w:tcPr>
            <w:tcW w:w="8420" w:type="dxa"/>
            <w:vAlign w:val="bottom"/>
            <w:gridSpan w:val="2"/>
          </w:tcPr>
          <w:p>
            <w:pPr>
              <w:ind w:left="1080"/>
              <w:spacing w:after="0"/>
              <w:rPr>
                <w:sz w:val="20"/>
                <w:szCs w:val="20"/>
                <w:color w:val="auto"/>
              </w:rPr>
            </w:pPr>
            <w:r>
              <w:rPr>
                <w:rFonts w:ascii="Arial" w:cs="Arial" w:eastAsia="Arial" w:hAnsi="Arial"/>
                <w:sz w:val="15"/>
                <w:szCs w:val="15"/>
                <w:color w:val="auto"/>
              </w:rPr>
              <w:t>We will not receive any cash proceeds in the exchange offer.</w:t>
            </w:r>
          </w:p>
        </w:tc>
      </w:tr>
    </w:tbl>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should refer to the section entitled “Risk Factors,” beginning on page 11, for a discussion of certain risks involved in investing in the Notes.</w:t>
      </w:r>
    </w:p>
    <w:p>
      <w:pPr>
        <w:spacing w:after="0" w:line="145"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Our principal executive offices are located at 14111 Scottslawn Road, Marysville, Ohio 43041, and our telephone number at that address is (937) 644-0011. Our website can be accessed at www.scotts.com. The information on our website is not part of this prospectus.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417" w:right="239" w:bottom="1440" w:gutter="0" w:footer="0" w:header="0"/>
        </w:sectPr>
      </w:pPr>
    </w:p>
    <w:bookmarkStart w:id="13" w:name="page14"/>
    <w:bookmarkEnd w:id="13"/>
    <w:p>
      <w:pPr>
        <w:ind w:left="6"/>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SUMMARY CONSOLIDATED FINANCIAL DATA</w:t>
      </w:r>
    </w:p>
    <w:p>
      <w:pPr>
        <w:spacing w:after="0" w:line="149" w:lineRule="exact"/>
        <w:rPr>
          <w:sz w:val="20"/>
          <w:szCs w:val="20"/>
          <w:color w:val="auto"/>
        </w:rPr>
      </w:pPr>
    </w:p>
    <w:p>
      <w:pPr>
        <w:ind w:left="6" w:right="80" w:firstLine="457"/>
        <w:spacing w:after="0" w:line="337" w:lineRule="auto"/>
        <w:rPr>
          <w:sz w:val="20"/>
          <w:szCs w:val="20"/>
          <w:color w:val="auto"/>
        </w:rPr>
      </w:pPr>
      <w:r>
        <w:rPr>
          <w:rFonts w:ascii="Arial" w:cs="Arial" w:eastAsia="Arial" w:hAnsi="Arial"/>
          <w:sz w:val="13"/>
          <w:szCs w:val="13"/>
          <w:color w:val="auto"/>
        </w:rPr>
        <w:t>The following table sets forth summary consolidated financial data for each of the fiscal years in the three year period ended September 30, 2003, which have been derived from our audited consolidated financial statements. You should read the following information in conjunction with “Selected Consolidated Financial Data” and “Management’s Discussion and Analysis of Financial Condition and Results of Operations” and our consolidated financial statements and related notes, both of which are incorporated by reference into this prospectus.</w:t>
      </w:r>
    </w:p>
    <w:p>
      <w:pPr>
        <w:spacing w:after="0" w:line="59" w:lineRule="exact"/>
        <w:rPr>
          <w:sz w:val="20"/>
          <w:szCs w:val="20"/>
          <w:color w:val="auto"/>
        </w:rPr>
      </w:pPr>
    </w:p>
    <w:tbl>
      <w:tblPr>
        <w:tblLayout w:type="fixed"/>
        <w:tblInd w:w="6"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4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86"/>
              </w:rPr>
              <w:t>Fiscal Year Ended September 30,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83"/>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25"/>
        </w:trPr>
        <w:tc>
          <w:tcPr>
            <w:tcW w:w="84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70" w:type="dxa"/>
            <w:vAlign w:val="bottom"/>
          </w:tcPr>
          <w:p>
            <w:pPr>
              <w:jc w:val="right"/>
              <w:ind w:right="84"/>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04"/>
              <w:spacing w:after="0"/>
              <w:rPr>
                <w:sz w:val="20"/>
                <w:szCs w:val="20"/>
                <w:color w:val="auto"/>
              </w:rPr>
            </w:pPr>
            <w:r>
              <w:rPr>
                <w:rFonts w:ascii="Arial" w:cs="Arial" w:eastAsia="Arial" w:hAnsi="Arial"/>
                <w:sz w:val="12"/>
                <w:szCs w:val="12"/>
                <w:b w:val="1"/>
                <w:bCs w:val="1"/>
                <w:color w:val="auto"/>
              </w:rPr>
              <w:t>2002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3"/>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5"/>
        </w:trPr>
        <w:tc>
          <w:tcPr>
            <w:tcW w:w="8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Data:</w:t>
            </w:r>
          </w:p>
        </w:tc>
        <w:tc>
          <w:tcPr>
            <w:tcW w:w="110" w:type="dxa"/>
            <w:vAlign w:val="bottom"/>
            <w:shd w:val="clear" w:color="auto" w:fill="CCEEFF"/>
          </w:tcPr>
          <w:p>
            <w:pPr>
              <w:spacing w:after="0"/>
              <w:rPr>
                <w:sz w:val="16"/>
                <w:szCs w:val="16"/>
                <w:color w:val="auto"/>
              </w:rPr>
            </w:pPr>
          </w:p>
        </w:tc>
        <w:tc>
          <w:tcPr>
            <w:tcW w:w="47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Net sales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1,670.4</w:t>
            </w:r>
          </w:p>
        </w:tc>
        <w:tc>
          <w:tcPr>
            <w:tcW w:w="2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1,748.7</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1,910.1</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Gross profit (1)</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596.4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690.8</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line="188" w:lineRule="exact"/>
              <w:rPr>
                <w:sz w:val="20"/>
                <w:szCs w:val="20"/>
                <w:color w:val="auto"/>
              </w:rPr>
            </w:pPr>
            <w:r>
              <w:rPr>
                <w:rFonts w:ascii="Arial" w:cs="Arial" w:eastAsia="Arial" w:hAnsi="Arial"/>
                <w:sz w:val="15"/>
                <w:szCs w:val="15"/>
                <w:color w:val="auto"/>
              </w:rPr>
              <w:t>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marketing agreement:</w:t>
            </w:r>
          </w:p>
        </w:tc>
        <w:tc>
          <w:tcPr>
            <w:tcW w:w="110" w:type="dxa"/>
            <w:vAlign w:val="bottom"/>
          </w:tcPr>
          <w:p>
            <w:pPr>
              <w:spacing w:after="0"/>
              <w:rPr>
                <w:sz w:val="16"/>
                <w:szCs w:val="16"/>
                <w:color w:val="auto"/>
              </w:rPr>
            </w:pPr>
          </w:p>
        </w:tc>
        <w:tc>
          <w:tcPr>
            <w:tcW w:w="4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Gross commission</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45.9</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ind w:left="360"/>
              <w:spacing w:after="0"/>
              <w:rPr>
                <w:sz w:val="20"/>
                <w:szCs w:val="20"/>
                <w:color w:val="auto"/>
              </w:rPr>
            </w:pPr>
            <w:r>
              <w:rPr>
                <w:rFonts w:ascii="Arial" w:cs="Arial" w:eastAsia="Arial" w:hAnsi="Arial"/>
                <w:sz w:val="15"/>
                <w:szCs w:val="15"/>
                <w:color w:val="auto"/>
              </w:rPr>
              <w:t>Contribution expenses (2)</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18.3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6"/>
                <w:szCs w:val="16"/>
                <w:color w:val="auto"/>
              </w:rPr>
            </w:pPr>
          </w:p>
        </w:tc>
      </w:tr>
      <w:tr>
        <w:trPr>
          <w:trHeight w:val="88"/>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commission</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20.8</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Advertising</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89.1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97.7</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307.9</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321.4</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Selling, general and administrative—lawn service business</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16.2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46.2</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110" w:type="dxa"/>
            <w:vAlign w:val="bottom"/>
            <w:shd w:val="clear" w:color="auto" w:fill="CCEEFF"/>
          </w:tcPr>
          <w:p>
            <w:pPr>
              <w:spacing w:after="0"/>
              <w:rPr>
                <w:sz w:val="16"/>
                <w:szCs w:val="16"/>
                <w:color w:val="auto"/>
              </w:rPr>
            </w:pPr>
          </w:p>
        </w:tc>
        <w:tc>
          <w:tcPr>
            <w:tcW w:w="770" w:type="dxa"/>
            <w:vAlign w:val="bottom"/>
            <w:gridSpan w:val="3"/>
            <w:shd w:val="clear" w:color="auto" w:fill="CCEEFF"/>
          </w:tcPr>
          <w:p>
            <w:pPr>
              <w:jc w:val="right"/>
              <w:ind w:right="301"/>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Restructuring and other charges</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68.4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goodwill and other intangibles</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27.7</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110" w:type="dxa"/>
            <w:vAlign w:val="bottom"/>
          </w:tcPr>
          <w:p>
            <w:pPr>
              <w:spacing w:after="0"/>
              <w:rPr>
                <w:sz w:val="16"/>
                <w:szCs w:val="16"/>
                <w:color w:val="auto"/>
              </w:rPr>
            </w:pPr>
          </w:p>
        </w:tc>
        <w:tc>
          <w:tcPr>
            <w:tcW w:w="770" w:type="dxa"/>
            <w:vAlign w:val="bottom"/>
            <w:gridSpan w:val="3"/>
          </w:tcPr>
          <w:p>
            <w:pPr>
              <w:jc w:val="right"/>
              <w:ind w:right="181"/>
              <w:spacing w:after="0"/>
              <w:rPr>
                <w:sz w:val="20"/>
                <w:szCs w:val="20"/>
                <w:color w:val="auto"/>
              </w:rPr>
            </w:pPr>
            <w:r>
              <w:rPr>
                <w:rFonts w:ascii="Arial" w:cs="Arial" w:eastAsia="Arial" w:hAnsi="Arial"/>
                <w:sz w:val="15"/>
                <w:szCs w:val="15"/>
                <w:color w:val="auto"/>
              </w:rPr>
              <w:t>(8.5)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(10.8)</w:t>
            </w:r>
          </w:p>
        </w:tc>
      </w:tr>
      <w:tr>
        <w:trPr>
          <w:trHeight w:val="88"/>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116.4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232.5</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5"/>
                <w:szCs w:val="15"/>
                <w:color w:val="auto"/>
              </w:rPr>
              <w:t>Interest expense</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87.7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76.3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16"/>
                <w:szCs w:val="16"/>
                <w:color w:val="auto"/>
              </w:rPr>
            </w:pPr>
          </w:p>
        </w:tc>
      </w:tr>
      <w:tr>
        <w:trPr>
          <w:trHeight w:val="88"/>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28.7</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163.3</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5"/>
                <w:szCs w:val="15"/>
                <w:color w:val="auto"/>
              </w:rPr>
              <w:t>Income taxes</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13.2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61.9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16"/>
                <w:szCs w:val="16"/>
                <w:color w:val="auto"/>
              </w:rPr>
            </w:pPr>
          </w:p>
        </w:tc>
      </w:tr>
      <w:tr>
        <w:trPr>
          <w:trHeight w:val="88"/>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cumulative effect of accounting change</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5"/>
                <w:szCs w:val="15"/>
                <w:color w:val="auto"/>
              </w:rPr>
              <w:t>Cumulative effect of accounting change for intangible assets, net of tax</w:t>
            </w:r>
          </w:p>
        </w:tc>
        <w:tc>
          <w:tcPr>
            <w:tcW w:w="110" w:type="dxa"/>
            <w:vAlign w:val="bottom"/>
          </w:tcPr>
          <w:p>
            <w:pPr>
              <w:spacing w:after="0"/>
              <w:rPr>
                <w:sz w:val="16"/>
                <w:szCs w:val="16"/>
                <w:color w:val="auto"/>
              </w:rPr>
            </w:pPr>
          </w:p>
        </w:tc>
        <w:tc>
          <w:tcPr>
            <w:tcW w:w="770" w:type="dxa"/>
            <w:vAlign w:val="bottom"/>
            <w:gridSpan w:val="3"/>
          </w:tcPr>
          <w:p>
            <w:pPr>
              <w:jc w:val="right"/>
              <w:ind w:right="301"/>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6"/>
                <w:szCs w:val="16"/>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r>
      <w:tr>
        <w:trPr>
          <w:trHeight w:val="88"/>
        </w:trPr>
        <w:tc>
          <w:tcPr>
            <w:tcW w:w="84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16"/>
                <w:szCs w:val="16"/>
                <w:color w:val="auto"/>
              </w:rPr>
            </w:pPr>
          </w:p>
        </w:tc>
      </w:tr>
      <w:tr>
        <w:trPr>
          <w:trHeight w:val="113"/>
        </w:trPr>
        <w:tc>
          <w:tcPr>
            <w:tcW w:w="8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84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7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Financial Data:</w:t>
            </w:r>
          </w:p>
        </w:tc>
        <w:tc>
          <w:tcPr>
            <w:tcW w:w="110" w:type="dxa"/>
            <w:vAlign w:val="bottom"/>
            <w:shd w:val="clear" w:color="auto" w:fill="CCEEFF"/>
          </w:tcPr>
          <w:p>
            <w:pPr>
              <w:spacing w:after="0"/>
              <w:rPr>
                <w:sz w:val="16"/>
                <w:szCs w:val="16"/>
                <w:color w:val="auto"/>
              </w:rPr>
            </w:pPr>
          </w:p>
        </w:tc>
        <w:tc>
          <w:tcPr>
            <w:tcW w:w="47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EBITDA (3)</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180.0</w:t>
            </w:r>
          </w:p>
        </w:tc>
        <w:tc>
          <w:tcPr>
            <w:tcW w:w="2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282.7</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284.7</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 (4)</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255.7</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301.8</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Depreciation</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32.6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34.4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40.3</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Capital expenditures</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CEEFF"/>
          </w:tcPr>
          <w:p>
            <w:pPr>
              <w:spacing w:after="0"/>
              <w:rPr>
                <w:sz w:val="16"/>
                <w:szCs w:val="16"/>
                <w:color w:val="auto"/>
              </w:rPr>
            </w:pPr>
          </w:p>
        </w:tc>
      </w:tr>
      <w:tr>
        <w:trPr>
          <w:trHeight w:val="281"/>
        </w:trPr>
        <w:tc>
          <w:tcPr>
            <w:tcW w:w="8460" w:type="dxa"/>
            <w:vAlign w:val="bottom"/>
          </w:tcPr>
          <w:p>
            <w:pPr>
              <w:spacing w:after="0"/>
              <w:rPr>
                <w:sz w:val="20"/>
                <w:szCs w:val="20"/>
                <w:color w:val="auto"/>
              </w:rPr>
            </w:pPr>
            <w:r>
              <w:rPr>
                <w:rFonts w:ascii="Arial" w:cs="Arial" w:eastAsia="Arial" w:hAnsi="Arial"/>
                <w:sz w:val="15"/>
                <w:szCs w:val="15"/>
                <w:b w:val="1"/>
                <w:bCs w:val="1"/>
                <w:color w:val="auto"/>
              </w:rPr>
              <w:t>Balance Sheet Data:</w:t>
            </w: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Working capital</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249.1</w:t>
            </w:r>
          </w:p>
        </w:tc>
        <w:tc>
          <w:tcPr>
            <w:tcW w:w="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364.4</w:t>
            </w:r>
          </w:p>
        </w:tc>
        <w:tc>
          <w:tcPr>
            <w:tcW w:w="100" w:type="dxa"/>
            <w:vAlign w:val="bottom"/>
            <w:shd w:val="clear" w:color="auto" w:fill="CCEEFF"/>
          </w:tcPr>
          <w:p>
            <w:pPr>
              <w:spacing w:after="0"/>
              <w:rPr>
                <w:sz w:val="16"/>
                <w:szCs w:val="16"/>
                <w:color w:val="auto"/>
              </w:rPr>
            </w:pPr>
          </w:p>
        </w:tc>
      </w:tr>
      <w:tr>
        <w:trPr>
          <w:trHeight w:val="188"/>
        </w:trPr>
        <w:tc>
          <w:tcPr>
            <w:tcW w:w="8460" w:type="dxa"/>
            <w:vAlign w:val="bottom"/>
          </w:tcPr>
          <w:p>
            <w:pPr>
              <w:spacing w:after="0"/>
              <w:rPr>
                <w:sz w:val="20"/>
                <w:szCs w:val="20"/>
                <w:color w:val="auto"/>
              </w:rPr>
            </w:pPr>
            <w:r>
              <w:rPr>
                <w:rFonts w:ascii="Arial" w:cs="Arial" w:eastAsia="Arial" w:hAnsi="Arial"/>
                <w:sz w:val="15"/>
                <w:szCs w:val="15"/>
                <w:color w:val="auto"/>
              </w:rPr>
              <w:t>Total assets</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1,843.0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1,901.4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2,027.9</w:t>
            </w:r>
          </w:p>
        </w:tc>
        <w:tc>
          <w:tcPr>
            <w:tcW w:w="100" w:type="dxa"/>
            <w:vAlign w:val="bottom"/>
          </w:tcPr>
          <w:p>
            <w:pPr>
              <w:spacing w:after="0"/>
              <w:rPr>
                <w:sz w:val="16"/>
                <w:szCs w:val="16"/>
                <w:color w:val="auto"/>
              </w:rPr>
            </w:pPr>
          </w:p>
        </w:tc>
      </w:tr>
      <w:tr>
        <w:trPr>
          <w:trHeight w:val="188"/>
        </w:trPr>
        <w:tc>
          <w:tcPr>
            <w:tcW w:w="8460" w:type="dxa"/>
            <w:vAlign w:val="bottom"/>
            <w:shd w:val="clear" w:color="auto" w:fill="CCEEFF"/>
          </w:tcPr>
          <w:p>
            <w:pPr>
              <w:spacing w:after="0"/>
              <w:rPr>
                <w:sz w:val="20"/>
                <w:szCs w:val="20"/>
                <w:color w:val="auto"/>
              </w:rPr>
            </w:pPr>
            <w:r>
              <w:rPr>
                <w:rFonts w:ascii="Arial" w:cs="Arial" w:eastAsia="Arial" w:hAnsi="Arial"/>
                <w:sz w:val="15"/>
                <w:szCs w:val="15"/>
                <w:color w:val="auto"/>
              </w:rPr>
              <w:t>Total debt</w:t>
            </w:r>
          </w:p>
        </w:tc>
        <w:tc>
          <w:tcPr>
            <w:tcW w:w="110" w:type="dxa"/>
            <w:vAlign w:val="bottom"/>
            <w:shd w:val="clear" w:color="auto" w:fill="CCEEFF"/>
          </w:tcPr>
          <w:p>
            <w:pPr>
              <w:spacing w:after="0"/>
              <w:rPr>
                <w:sz w:val="16"/>
                <w:szCs w:val="16"/>
                <w:color w:val="auto"/>
              </w:rPr>
            </w:pPr>
          </w:p>
        </w:tc>
        <w:tc>
          <w:tcPr>
            <w:tcW w:w="49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887.8</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829.4</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757.6</w:t>
            </w:r>
          </w:p>
        </w:tc>
        <w:tc>
          <w:tcPr>
            <w:tcW w:w="100" w:type="dxa"/>
            <w:vAlign w:val="bottom"/>
            <w:shd w:val="clear" w:color="auto" w:fill="CCEEFF"/>
          </w:tcPr>
          <w:p>
            <w:pPr>
              <w:spacing w:after="0"/>
              <w:rPr>
                <w:sz w:val="16"/>
                <w:szCs w:val="16"/>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110" w:type="dxa"/>
            <w:vAlign w:val="bottom"/>
          </w:tcPr>
          <w:p>
            <w:pPr>
              <w:spacing w:after="0"/>
              <w:rPr>
                <w:sz w:val="16"/>
                <w:szCs w:val="16"/>
                <w:color w:val="auto"/>
              </w:rPr>
            </w:pPr>
          </w:p>
        </w:tc>
        <w:tc>
          <w:tcPr>
            <w:tcW w:w="490" w:type="dxa"/>
            <w:vAlign w:val="bottom"/>
            <w:gridSpan w:val="2"/>
          </w:tcPr>
          <w:p>
            <w:pPr>
              <w:jc w:val="right"/>
              <w:ind w:right="20"/>
              <w:spacing w:after="0"/>
              <w:rPr>
                <w:sz w:val="20"/>
                <w:szCs w:val="20"/>
                <w:color w:val="auto"/>
              </w:rPr>
            </w:pPr>
            <w:r>
              <w:rPr>
                <w:rFonts w:ascii="Arial" w:cs="Arial" w:eastAsia="Arial" w:hAnsi="Arial"/>
                <w:sz w:val="15"/>
                <w:szCs w:val="15"/>
                <w:color w:val="auto"/>
              </w:rPr>
              <w:t>506.2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593.9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728.2</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-1341120</wp:posOffset>
            </wp:positionV>
            <wp:extent cx="127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-1341120</wp:posOffset>
            </wp:positionV>
            <wp:extent cx="2032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-1341120</wp:posOffset>
            </wp:positionV>
            <wp:extent cx="34925"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-1341120</wp:posOffset>
            </wp:positionV>
            <wp:extent cx="1270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-1341120</wp:posOffset>
            </wp:positionV>
            <wp:extent cx="2032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-1341120</wp:posOffset>
            </wp:positionV>
            <wp:extent cx="34925"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-1341120</wp:posOffset>
            </wp:positionV>
            <wp:extent cx="1270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-1341120</wp:posOffset>
            </wp:positionV>
            <wp:extent cx="2032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7186930</wp:posOffset>
            </wp:positionH>
            <wp:positionV relativeFrom="paragraph">
              <wp:posOffset>-1341120</wp:posOffset>
            </wp:positionV>
            <wp:extent cx="34925"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7385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8505" cy="7620"/>
                    </a:xfrm>
                    <a:prstGeom prst="rect">
                      <a:avLst/>
                    </a:prstGeom>
                    <a:noFill/>
                  </pic:spPr>
                </pic:pic>
              </a:graphicData>
            </a:graphic>
          </wp:anchor>
        </w:drawing>
      </w:r>
    </w:p>
    <w:p>
      <w:pPr>
        <w:spacing w:after="0" w:line="166"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restructuring and other charges of $7.3 million, $1.7 million and $9.1 million in 2001, 2002 and 2003, respectively.</w:t>
      </w:r>
    </w:p>
    <w:p>
      <w:pPr>
        <w:spacing w:after="0" w:line="21" w:lineRule="exact"/>
        <w:rPr>
          <w:rFonts w:ascii="Arial" w:cs="Arial" w:eastAsia="Arial" w:hAnsi="Arial"/>
          <w:sz w:val="15"/>
          <w:szCs w:val="15"/>
          <w:color w:val="auto"/>
        </w:rPr>
      </w:pPr>
    </w:p>
    <w:p>
      <w:pPr>
        <w:ind w:left="446" w:right="160" w:hanging="446"/>
        <w:spacing w:after="0" w:line="230"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amortization expense associated with the amortization of the $32 million marketing fee under the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marketing agreement of $3.3 million, $3.4 million and $3.3 million for 2001, 2002 and 2003, respectively.</w:t>
      </w:r>
    </w:p>
    <w:p>
      <w:pPr>
        <w:spacing w:after="0" w:line="12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6"/>
          </w:cols>
          <w:pgMar w:left="234" w:top="417" w:right="219" w:bottom="1440" w:gutter="0" w:footer="0" w:header="0"/>
        </w:sectPr>
      </w:pPr>
    </w:p>
    <w:bookmarkStart w:id="14" w:name="page15"/>
    <w:bookmarkEnd w:id="14"/>
    <w:p>
      <w:pPr>
        <w:ind w:left="6"/>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46" w:right="160" w:hanging="446"/>
        <w:spacing w:after="0" w:line="282" w:lineRule="auto"/>
        <w:tabs>
          <w:tab w:leader="none" w:pos="446" w:val="left"/>
        </w:tabs>
        <w:numPr>
          <w:ilvl w:val="0"/>
          <w:numId w:val="7"/>
        </w:numPr>
        <w:rPr>
          <w:rFonts w:ascii="Arial" w:cs="Arial" w:eastAsia="Arial" w:hAnsi="Arial"/>
          <w:sz w:val="14"/>
          <w:szCs w:val="14"/>
          <w:color w:val="auto"/>
        </w:rPr>
      </w:pPr>
      <w:r>
        <w:rPr>
          <w:rFonts w:ascii="Arial" w:cs="Arial" w:eastAsia="Arial" w:hAnsi="Arial"/>
          <w:sz w:val="14"/>
          <w:szCs w:val="14"/>
          <w:color w:val="auto"/>
        </w:rPr>
        <w:t>EBITDA is defined as net income plus interest, income taxes, depreciation and amortization. EBITDA is not defined by GAAP and should not be used as an alternative to net income as an indicator of operating performance or to cash flow as a measure of liquidity. EBITDA is included in this prospectus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1" w:lineRule="exact"/>
        <w:rPr>
          <w:rFonts w:ascii="Arial" w:cs="Arial" w:eastAsia="Arial" w:hAnsi="Arial"/>
          <w:sz w:val="14"/>
          <w:szCs w:val="14"/>
          <w:color w:val="auto"/>
        </w:rPr>
      </w:pPr>
    </w:p>
    <w:p>
      <w:pPr>
        <w:ind w:left="446" w:hanging="446"/>
        <w:spacing w:after="0" w:line="272"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EBITDA is defined as EBITDA plus restructuring and other charges. For the periods presented, either EBITDA or adjusted EBITDA have been used in computing the Leverage Ratio and Interest Coverage covenants under the company’s Credit Agreement. Borrowings under the Credit Agreement represent a significant portion of the outstanding debt of Scotts particularly during seasonal peak borrowing periods.</w:t>
      </w:r>
    </w:p>
    <w:p>
      <w:pPr>
        <w:spacing w:after="0" w:line="29" w:lineRule="exact"/>
        <w:rPr>
          <w:rFonts w:ascii="Arial" w:cs="Arial" w:eastAsia="Arial" w:hAnsi="Arial"/>
          <w:sz w:val="15"/>
          <w:szCs w:val="15"/>
          <w:color w:val="auto"/>
        </w:rPr>
      </w:pPr>
    </w:p>
    <w:p>
      <w:pPr>
        <w:ind w:left="466"/>
        <w:spacing w:after="0"/>
        <w:rPr>
          <w:rFonts w:ascii="Arial" w:cs="Arial" w:eastAsia="Arial" w:hAnsi="Arial"/>
          <w:sz w:val="15"/>
          <w:szCs w:val="15"/>
          <w:color w:val="auto"/>
        </w:rPr>
      </w:pPr>
      <w:r>
        <w:rPr>
          <w:rFonts w:ascii="Arial" w:cs="Arial" w:eastAsia="Arial" w:hAnsi="Arial"/>
          <w:sz w:val="15"/>
          <w:szCs w:val="15"/>
          <w:color w:val="auto"/>
        </w:rPr>
        <w:t>A reconciliation if EBITDA and Adjusted EBITDA to the most directly comparable GAAP financial measure, net income, is set forth in the following table:</w:t>
      </w:r>
    </w:p>
    <w:p>
      <w:pPr>
        <w:spacing w:after="0" w:line="70" w:lineRule="exact"/>
        <w:rPr>
          <w:sz w:val="20"/>
          <w:szCs w:val="20"/>
          <w:color w:val="auto"/>
        </w:rPr>
      </w:pPr>
    </w:p>
    <w:tbl>
      <w:tblPr>
        <w:tblLayout w:type="fixed"/>
        <w:tblInd w:w="566"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gridSpan w:val="5"/>
          </w:tcPr>
          <w:p>
            <w:pPr>
              <w:jc w:val="center"/>
              <w:spacing w:after="0"/>
              <w:rPr>
                <w:sz w:val="20"/>
                <w:szCs w:val="20"/>
                <w:color w:val="auto"/>
              </w:rPr>
            </w:pPr>
            <w:r>
              <w:rPr>
                <w:rFonts w:ascii="Arial" w:cs="Arial" w:eastAsia="Arial" w:hAnsi="Arial"/>
                <w:sz w:val="12"/>
                <w:szCs w:val="12"/>
                <w:b w:val="1"/>
                <w:bCs w:val="1"/>
                <w:color w:val="auto"/>
                <w:w w:val="87"/>
              </w:rPr>
              <w:t>Fiscal Year Ended September 30,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65"/>
              <w:spacing w:after="0"/>
              <w:rPr>
                <w:sz w:val="20"/>
                <w:szCs w:val="20"/>
                <w:color w:val="auto"/>
              </w:rPr>
            </w:pPr>
            <w:r>
              <w:rPr>
                <w:rFonts w:ascii="Arial" w:cs="Arial" w:eastAsia="Arial" w:hAnsi="Arial"/>
                <w:sz w:val="12"/>
                <w:szCs w:val="12"/>
                <w:b w:val="1"/>
                <w:bCs w:val="1"/>
                <w:color w:val="auto"/>
                <w:w w:val="97"/>
              </w:rPr>
              <w:t>2001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ind w:right="25"/>
              <w:spacing w:after="0"/>
              <w:rPr>
                <w:sz w:val="20"/>
                <w:szCs w:val="20"/>
                <w:color w:val="auto"/>
              </w:rPr>
            </w:pPr>
            <w:r>
              <w:rPr>
                <w:rFonts w:ascii="Arial" w:cs="Arial" w:eastAsia="Arial" w:hAnsi="Arial"/>
                <w:sz w:val="12"/>
                <w:szCs w:val="12"/>
                <w:b w:val="1"/>
                <w:bCs w:val="1"/>
                <w:color w:val="auto"/>
                <w:w w:val="82"/>
              </w:rPr>
              <w:t>2002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65"/>
              <w:spacing w:after="0"/>
              <w:rPr>
                <w:sz w:val="20"/>
                <w:szCs w:val="20"/>
                <w:color w:val="auto"/>
              </w:rPr>
            </w:pPr>
            <w:r>
              <w:rPr>
                <w:rFonts w:ascii="Arial" w:cs="Arial" w:eastAsia="Arial" w:hAnsi="Arial"/>
                <w:sz w:val="12"/>
                <w:szCs w:val="12"/>
                <w:b w:val="1"/>
                <w:bCs w:val="1"/>
                <w:color w:val="auto"/>
                <w:w w:val="89"/>
              </w:rPr>
              <w:t>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Borders>
              <w:bottom w:val="single" w:sz="8" w:color="auto"/>
            </w:tcBorders>
            <w:gridSpan w:val="2"/>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9"/>
              </w:rPr>
              <w:t>(in millions)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Interest</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87.7</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76.3</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Income taxes</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Depreciation</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34.4</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Amortization</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line="188" w:lineRule="exact"/>
              <w:rPr>
                <w:sz w:val="20"/>
                <w:szCs w:val="20"/>
                <w:color w:val="auto"/>
              </w:rPr>
            </w:pPr>
            <w:r>
              <w:rPr>
                <w:rFonts w:ascii="Arial" w:cs="Arial" w:eastAsia="Arial" w:hAnsi="Arial"/>
                <w:sz w:val="15"/>
                <w:szCs w:val="15"/>
                <w:color w:val="auto"/>
              </w:rPr>
              <w:t>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amortization</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3.4</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w w:val="99"/>
              </w:rPr>
              <w:t>Cumulative effect of accounting change for intangible assets, net of tax</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EBITDA</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282.7</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Restructuring and other charges</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75.7</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Peat bog income</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(5.8)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5"/>
                <w:szCs w:val="15"/>
                <w:color w:val="auto"/>
              </w:rPr>
              <w:t>Environmental charge</w:t>
            </w: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30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289.5</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900" w:type="dxa"/>
            <w:vAlign w:val="bottom"/>
            <w:vMerge w:val="restart"/>
          </w:tcPr>
          <w:p>
            <w:pPr>
              <w:jc w:val="right"/>
              <w:ind w:right="2304"/>
              <w:spacing w:after="0"/>
              <w:rPr>
                <w:sz w:val="20"/>
                <w:szCs w:val="20"/>
                <w:color w:val="auto"/>
              </w:rPr>
            </w:pPr>
            <w:r>
              <w:rPr>
                <w:rFonts w:ascii="Arial" w:cs="Arial" w:eastAsia="Arial" w:hAnsi="Arial"/>
                <w:sz w:val="15"/>
                <w:szCs w:val="15"/>
                <w:color w:val="auto"/>
              </w:rPr>
              <w:t>10</w:t>
            </w: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-284480</wp:posOffset>
            </wp:positionV>
            <wp:extent cx="1270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-284480</wp:posOffset>
            </wp:positionV>
            <wp:extent cx="1270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-284480</wp:posOffset>
            </wp:positionV>
            <wp:extent cx="2032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-284480</wp:posOffset>
            </wp:positionV>
            <wp:extent cx="1270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-284480</wp:posOffset>
            </wp:positionV>
            <wp:extent cx="2032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-284480</wp:posOffset>
            </wp:positionV>
            <wp:extent cx="34925"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6575425</wp:posOffset>
            </wp:positionH>
            <wp:positionV relativeFrom="paragraph">
              <wp:posOffset>-284480</wp:posOffset>
            </wp:positionV>
            <wp:extent cx="1270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-284480</wp:posOffset>
            </wp:positionV>
            <wp:extent cx="1270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6628130</wp:posOffset>
            </wp:positionH>
            <wp:positionV relativeFrom="paragraph">
              <wp:posOffset>-284480</wp:posOffset>
            </wp:positionV>
            <wp:extent cx="2032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320" cy="27305"/>
                    </a:xfrm>
                    <a:prstGeom prst="rect">
                      <a:avLst/>
                    </a:prstGeom>
                    <a:noFill/>
                  </pic:spPr>
                </pic:pic>
              </a:graphicData>
            </a:graphic>
          </wp:anchor>
        </w:drawing>
      </w:r>
    </w:p>
    <w:p>
      <w:pPr>
        <w:sectPr>
          <w:pgSz w:w="11900" w:h="16838" w:orient="portrait"/>
          <w:cols w:equalWidth="0" w:num="1">
            <w:col w:w="11406"/>
          </w:cols>
          <w:pgMar w:left="234" w:top="417" w:right="2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RISK FACTORS</w:t>
      </w:r>
    </w:p>
    <w:p>
      <w:pPr>
        <w:spacing w:after="0" w:line="149" w:lineRule="exact"/>
        <w:rPr>
          <w:sz w:val="20"/>
          <w:szCs w:val="20"/>
          <w:color w:val="auto"/>
        </w:rPr>
      </w:pPr>
    </w:p>
    <w:p>
      <w:pPr>
        <w:ind w:right="60" w:firstLine="457"/>
        <w:spacing w:after="0" w:line="268" w:lineRule="auto"/>
        <w:rPr>
          <w:sz w:val="20"/>
          <w:szCs w:val="20"/>
          <w:color w:val="auto"/>
        </w:rPr>
      </w:pPr>
      <w:r>
        <w:rPr>
          <w:rFonts w:ascii="Arial" w:cs="Arial" w:eastAsia="Arial" w:hAnsi="Arial"/>
          <w:sz w:val="15"/>
          <w:szCs w:val="15"/>
          <w:i w:val="1"/>
          <w:iCs w:val="1"/>
          <w:color w:val="auto"/>
        </w:rPr>
        <w:t>You should carefully consider the risks described below as well as other information and data contained in this prospectus and in the documents incorporated by reference before making a decision to tender your Original Notes in the exchange offer. The risk factors set forth below, other than the first risk factor set forth below, are generally applicable to the Original Notes as well as the Exchange Notes. Additional risks and uncertainties not presently known to us, or that we currently deem immaterial, may also impair our business operations. We cannot assure you that any of the events discussed in the risk factors below will not occur. If they do, our business, financial condition, results of operations or prospects could be materially adversely affected, which in turn could adversely affect our ability to repay the Notes.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an Investment in the Notes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If You Do Not Exchange Your Original Notes Pursuant to This Exchange Offer, You May Never Be Able to Sell Your Original Notes.</w:t>
      </w:r>
    </w:p>
    <w:p>
      <w:pPr>
        <w:spacing w:after="0" w:line="74"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It may be difficult for you to sell Original Notes that are not exchanged in the exchange offer. Those Notes may not be offered or sold unless they are registered or they are exempt from the registration requirements under the Securities Act and applicable state securities laws. The restrictions on transfer of your Original Notes arise because we issued the Original Notes pursuant to an exemption from the registration requirements of the Securities Act and applicable state securities laws. We do not intend to register the Original Notes under the Securities Act.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do not tender your Original Notes or if we do not accept some of your Original Notes, those Notes will continue to be subject to the transfer and exchange restrictions in:</w:t>
      </w:r>
    </w:p>
    <w:p>
      <w:pPr>
        <w:spacing w:after="0" w:line="86" w:lineRule="exact"/>
        <w:rPr>
          <w:sz w:val="20"/>
          <w:szCs w:val="20"/>
          <w:color w:val="auto"/>
        </w:rPr>
      </w:pPr>
    </w:p>
    <w:p>
      <w:pPr>
        <w:ind w:left="780" w:hanging="340"/>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indenture;</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legend on the Original Notes;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offering memorandum relating to the Original Notes.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Moreover, to the extent Original Notes are tendered and accepted in the exchange offer, the trading market, if any, for the Original Notes would be adversely affected.</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Substantial Indebtedness Could Adversely Affect Our Financial Health and Prevent Us From Fulfilling Our Obligations.</w:t>
      </w:r>
    </w:p>
    <w:p>
      <w:pPr>
        <w:spacing w:after="0" w:line="74" w:lineRule="exact"/>
        <w:rPr>
          <w:sz w:val="20"/>
          <w:szCs w:val="20"/>
          <w:color w:val="auto"/>
        </w:rPr>
      </w:pPr>
    </w:p>
    <w:p>
      <w:pPr>
        <w:ind w:right="860" w:firstLine="457"/>
        <w:spacing w:after="0" w:line="291" w:lineRule="auto"/>
        <w:rPr>
          <w:sz w:val="20"/>
          <w:szCs w:val="20"/>
          <w:color w:val="auto"/>
        </w:rPr>
      </w:pPr>
      <w:r>
        <w:rPr>
          <w:rFonts w:ascii="Arial" w:cs="Arial" w:eastAsia="Arial" w:hAnsi="Arial"/>
          <w:sz w:val="15"/>
          <w:szCs w:val="15"/>
          <w:color w:val="auto"/>
        </w:rPr>
        <w:t>We have a significant amount of debt. Assuming the refinancing had occurred as of September 30, 2003, we had approximately $751.2 million of total indebtedness, approximately $538.0 million of which was senior or secured debt.</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substantial indebtedness could have important consequences for you. For example, it could:</w:t>
      </w:r>
    </w:p>
    <w:p>
      <w:pPr>
        <w:spacing w:after="0" w:line="74" w:lineRule="exact"/>
        <w:rPr>
          <w:sz w:val="20"/>
          <w:szCs w:val="20"/>
          <w:color w:val="auto"/>
        </w:rPr>
      </w:pPr>
    </w:p>
    <w:p>
      <w:pPr>
        <w:ind w:left="780" w:hanging="340"/>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make it more difficult for us to satisfy our obligations under the Notes and otherwise;</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w:t>
      </w:r>
    </w:p>
    <w:p>
      <w:pPr>
        <w:spacing w:after="0" w:line="74" w:lineRule="exact"/>
        <w:rPr>
          <w:rFonts w:ascii="Arial" w:cs="Arial" w:eastAsia="Arial" w:hAnsi="Arial"/>
          <w:sz w:val="15"/>
          <w:szCs w:val="15"/>
          <w:color w:val="auto"/>
        </w:rPr>
      </w:pPr>
    </w:p>
    <w:p>
      <w:pPr>
        <w:ind w:left="780" w:right="280" w:hanging="340"/>
        <w:spacing w:after="0" w:line="291"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6" w:lineRule="exact"/>
        <w:rPr>
          <w:rFonts w:ascii="Arial" w:cs="Arial" w:eastAsia="Arial" w:hAnsi="Arial"/>
          <w:sz w:val="15"/>
          <w:szCs w:val="15"/>
          <w:color w:val="auto"/>
        </w:rPr>
      </w:pPr>
    </w:p>
    <w:p>
      <w:pPr>
        <w:ind w:left="780" w:hanging="340"/>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limit our flexibility in planning for, or reacting to, changes in our business and the industry in which we operate;</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have less debt;</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limit our ability to borrow additional funds; and</w:t>
      </w:r>
    </w:p>
    <w:p>
      <w:pPr>
        <w:spacing w:after="0" w:line="74" w:lineRule="exact"/>
        <w:rPr>
          <w:rFonts w:ascii="Arial" w:cs="Arial" w:eastAsia="Arial" w:hAnsi="Arial"/>
          <w:sz w:val="15"/>
          <w:szCs w:val="15"/>
          <w:color w:val="auto"/>
        </w:rPr>
      </w:pPr>
    </w:p>
    <w:p>
      <w:pPr>
        <w:ind w:left="780" w:right="220" w:hanging="340"/>
        <w:spacing w:after="0" w:line="291"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0"/>
          </w:cols>
          <w:pgMar w:left="240" w:top="417" w:right="27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00" w:firstLine="457"/>
        <w:spacing w:after="0" w:line="329" w:lineRule="auto"/>
        <w:rPr>
          <w:sz w:val="20"/>
          <w:szCs w:val="20"/>
          <w:color w:val="auto"/>
        </w:rPr>
      </w:pPr>
      <w:r>
        <w:rPr>
          <w:rFonts w:ascii="Arial" w:cs="Arial" w:eastAsia="Arial" w:hAnsi="Arial"/>
          <w:sz w:val="14"/>
          <w:szCs w:val="14"/>
          <w:color w:val="auto"/>
        </w:rPr>
        <w:t>Our ability to make payments on and to refinance our indebtedness, including the Notes,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64"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We cannot assure you that our business will generate sufficient cash flow from operations or that future borrowings will be available to us under our Second Amended and Restated Credit Agreement (the “New Credit Agreement”) in amounts sufficient to enable us to pay our indebtedness, including the Notes, or to fund our other liquidity needs. We may need to refinance all or a portion of our indebtedness, on or before maturity. We cannot assure that we will be able to refinance any of our indebtedness on commercially reasonable terms or at all.</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Restrictive Covenants May Adversely Affect Us.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indenture governing the Notes contains various covenants that limit our ability to engage in specified types of transactions. These covenants limit our ability to:</w:t>
      </w:r>
    </w:p>
    <w:p>
      <w:pPr>
        <w:spacing w:after="0" w:line="74" w:lineRule="exact"/>
        <w:rPr>
          <w:sz w:val="20"/>
          <w:szCs w:val="20"/>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incur additional debt or issue redeemable preferred stock or subsidiary preferred stock;</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incur liens;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pay dividends on, or redeem or repurchase capital stock or subordinated debt;</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 in transactions with affiliates;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make some types of investments or sell assets;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consolidate or merge with or into, or sell substantially all of our assets to, another person.</w:t>
      </w:r>
    </w:p>
    <w:p>
      <w:pPr>
        <w:spacing w:after="0" w:line="145" w:lineRule="exact"/>
        <w:rPr>
          <w:sz w:val="20"/>
          <w:szCs w:val="20"/>
          <w:color w:val="auto"/>
        </w:rPr>
      </w:pPr>
    </w:p>
    <w:p>
      <w:pPr>
        <w:ind w:firstLine="457"/>
        <w:spacing w:after="0" w:line="288" w:lineRule="auto"/>
        <w:rPr>
          <w:sz w:val="20"/>
          <w:szCs w:val="20"/>
          <w:color w:val="auto"/>
        </w:rPr>
      </w:pPr>
      <w:r>
        <w:rPr>
          <w:rFonts w:ascii="Arial" w:cs="Arial" w:eastAsia="Arial" w:hAnsi="Arial"/>
          <w:sz w:val="14"/>
          <w:szCs w:val="14"/>
          <w:color w:val="auto"/>
        </w:rPr>
        <w:t>In addition, our New Credit Agreement contains restrictive covenants and requires us to maintain specified financial ratios and satisfy other financial condition tests. See “Description of Certain Indebtedness.” Our ability to meet those financial ratios and tests can be affected by events beyond our control, and we cannot assure you that we will meet those tests. A breach of any of these covenants could result in a default under our New Credit Agreement and/or the Notes. Upon the occurrence of an event of default under our New Credit Agreement, the lenders could elect to declare all amounts outstanding under our New Credit Agreement to be immediately due and payable and terminate all commitments to extend further credit. If we were unable to repay those amounts, the lenders under the New Credit Agreement could proceed against the collateral granted to them to secure that indebtedness. We have pledged a significant portion of our assets as security under our New Credit Agreement. If the lenders under the New Credit Agreement accelerate the repayment of borrowings, we cannot assure you that we will have sufficient assets to repay our New Credit Agreement and our other indebtedness, including the Notes.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Despite Current Indebtedness Levels, We May Still Be Able to Incur Substantially More Debt. This Could Further Exacerbate the Risks Described Above.</w:t>
      </w:r>
    </w:p>
    <w:p>
      <w:pPr>
        <w:spacing w:after="0" w:line="74"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We and our subsidiaries may be able to incur substantial additional indebtedness in the future. The terms of the indenture do not fully prohibit us or our subsidiaries from doing so. Our New Credit Agreement permits borrowings of up to $1.2 billion. All of those borrowings would be senior to the Notes and the subsidiary guarantees. If new debt is added to our current debt levels, the related risks that we and our subsidiaries now face could intensify.</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Your Right to Receive Payments on The Notes Is Junior to Our Existing Indebtedness and, Possibly, All of Our Future Borrowings.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Notes and the subsidiary guarantees rank behind all of our and the subsidiary guarantors’ existing indebtedness and all of our and their future borrowings, except:</w:t>
      </w:r>
    </w:p>
    <w:p>
      <w:pPr>
        <w:spacing w:after="0" w:line="86" w:lineRule="exact"/>
        <w:rPr>
          <w:sz w:val="20"/>
          <w:szCs w:val="20"/>
          <w:color w:val="auto"/>
        </w:rPr>
      </w:pPr>
    </w:p>
    <w:p>
      <w:pPr>
        <w:ind w:left="780" w:hanging="340"/>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trade payables;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future indebtedness that expressly provides that it ranks equal with, or is subordinated in right of payment to, the Notes and the subsidiary guarantees.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380"/>
          </w:cols>
          <w:pgMar w:left="240" w:top="417" w:right="2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87" w:lineRule="exact"/>
        <w:rPr>
          <w:sz w:val="20"/>
          <w:szCs w:val="20"/>
          <w:color w:val="auto"/>
        </w:rPr>
      </w:pPr>
    </w:p>
    <w:p>
      <w:pPr>
        <w:ind w:right="280" w:firstLine="457"/>
        <w:spacing w:after="0" w:line="291" w:lineRule="auto"/>
        <w:rPr>
          <w:sz w:val="20"/>
          <w:szCs w:val="20"/>
          <w:color w:val="auto"/>
        </w:rPr>
      </w:pPr>
      <w:r>
        <w:rPr>
          <w:rFonts w:ascii="Arial" w:cs="Arial" w:eastAsia="Arial" w:hAnsi="Arial"/>
          <w:sz w:val="15"/>
          <w:szCs w:val="15"/>
          <w:color w:val="auto"/>
        </w:rPr>
        <w:t>In addition, all payments on the Notes and the subsidiary guarantees will be blocked in the event of a payment default on senior debt and may be blocked for up to 179 of 360 consecutive days in the event of certain non-payment defaults on senior debt.</w:t>
      </w:r>
    </w:p>
    <w:p>
      <w:pPr>
        <w:spacing w:after="0" w:line="87" w:lineRule="exact"/>
        <w:rPr>
          <w:sz w:val="20"/>
          <w:szCs w:val="20"/>
          <w:color w:val="auto"/>
        </w:rPr>
      </w:pPr>
    </w:p>
    <w:p>
      <w:pPr>
        <w:ind w:right="100" w:firstLine="457"/>
        <w:spacing w:after="0" w:line="292" w:lineRule="auto"/>
        <w:rPr>
          <w:sz w:val="20"/>
          <w:szCs w:val="20"/>
          <w:color w:val="auto"/>
        </w:rPr>
      </w:pPr>
      <w:r>
        <w:rPr>
          <w:rFonts w:ascii="Arial" w:cs="Arial" w:eastAsia="Arial" w:hAnsi="Arial"/>
          <w:sz w:val="14"/>
          <w:szCs w:val="14"/>
          <w:color w:val="auto"/>
        </w:rPr>
        <w:t>In the event of a bankruptcy, liquidation or reorganization or similar proceeding relating to Scotts or the subsidiary guarantors, holders of the Notes will participate with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 We will be permitted to borrow substantial additional indebtedness, including senior debt, in the future under the terms of the Indenture.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Notes Are Structurally Subordinated to All Indebtedness of Our Subsidiaries That Are Not Guarantors of the Notes.</w:t>
      </w:r>
    </w:p>
    <w:p>
      <w:pPr>
        <w:spacing w:after="0" w:line="74" w:lineRule="exact"/>
        <w:rPr>
          <w:sz w:val="20"/>
          <w:szCs w:val="20"/>
          <w:color w:val="auto"/>
        </w:rPr>
      </w:pPr>
    </w:p>
    <w:p>
      <w:pPr>
        <w:ind w:right="20" w:firstLine="457"/>
        <w:spacing w:after="0" w:line="267" w:lineRule="auto"/>
        <w:rPr>
          <w:sz w:val="20"/>
          <w:szCs w:val="20"/>
          <w:color w:val="auto"/>
        </w:rPr>
      </w:pPr>
      <w:r>
        <w:rPr>
          <w:rFonts w:ascii="Arial" w:cs="Arial" w:eastAsia="Arial" w:hAnsi="Arial"/>
          <w:sz w:val="15"/>
          <w:szCs w:val="15"/>
          <w:color w:val="auto"/>
        </w:rPr>
        <w:t>You will not have any claim as a creditor against our subsidiaries that are not guarantors of the Notes, and indebtedness and other liabilities, including trade payables, whether secured or unsecured, of those subsidiaries will effectively be senior to your claims against those subsidiaries. As of September 30, 2003, on an as adjusted basis to give effect to the refinancing of our outstanding indebtedness, the non-guarantor subsidiaries represented approximately 23.4% of our total assets and the subsidiary guarantees would have been structurally subordinated to $256.1 million of liabilities of the non-guarantor subsidiaries, including senior debt and excluding intercompany liabilities. In addition, the indenture permits, subject to certain limitations, these subsidiaries to incur additional indebtedness and does not contain any limitation on the amount of other liabilities, such as trade payables, that may be incurred by these subsidiaries.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Your Ability to Receive Payments on These Notes Is Junior to Those Lenders Who Have a Security Interest in Our Assets.</w:t>
      </w:r>
    </w:p>
    <w:p>
      <w:pPr>
        <w:spacing w:after="0" w:line="74" w:lineRule="exact"/>
        <w:rPr>
          <w:sz w:val="20"/>
          <w:szCs w:val="20"/>
          <w:color w:val="auto"/>
        </w:rPr>
      </w:pPr>
    </w:p>
    <w:p>
      <w:pPr>
        <w:ind w:right="140" w:firstLine="457"/>
        <w:spacing w:after="0" w:line="292" w:lineRule="auto"/>
        <w:rPr>
          <w:sz w:val="20"/>
          <w:szCs w:val="20"/>
          <w:color w:val="auto"/>
        </w:rPr>
      </w:pPr>
      <w:r>
        <w:rPr>
          <w:rFonts w:ascii="Arial" w:cs="Arial" w:eastAsia="Arial" w:hAnsi="Arial"/>
          <w:sz w:val="14"/>
          <w:szCs w:val="14"/>
          <w:color w:val="auto"/>
        </w:rPr>
        <w:t>The Notes are not secured by any of our assets. However, our obligations under our New Credit Agreement are, subject to certain exceptions, secured by a first priority security interest in substantially all of our assets. If we become insolvent or are liquidated, or if payments under our New Credit Agreement are accelerated, the lenders under our New Credit Agreement would be entitled to exercise the remedies available to secured lenders. Accordingly, these lenders will have a claim on substantially all of our assets and will have priority over any claim for payment under the Notes or the subsidiary guarantees. In any such event, because the Notes are not secured by any of our assets, it is possible that there would be no assets remaining from which claims of the holders of the Notes could be satisfied or, if any assets remained, they might be insufficient to satisfy such claims fully.</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May Not Have the Ability to Raise the Funds Necessary to Finance the Change of Control Offer Required by the Indenture.</w:t>
      </w:r>
    </w:p>
    <w:p>
      <w:pPr>
        <w:spacing w:after="0" w:line="74"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Upon the occurrence of specific kinds of change of control events, we will be required to offer to repurchase all outstanding Notes at 101% of their principal amount. It is possible that we will not have sufficient funds at the time of the change of control to make the required repurchase of Notes or that restrictions in our senior secured credit facility will not allow repurchases. Accordingly, we may not be able to satisfy our obligations to purchase your Notes unless we are able to refinance or obtain waivers under our then existing senior secured credit facility. Our New Credit Agreement also provides that a change of control will be a default that permits the lenders to accelerate the maturity of all borrowings thereunder. Any of our future debt agreements may contain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60"/>
          </w:cols>
          <w:pgMar w:left="240" w:top="417" w:right="2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similar provisions. In addition, important corporate events, such as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For more detail, see “Description of Notes—Repurchase at the Option of Holders—Offer to Repurchase Upon Change of Control.”</w:t>
      </w:r>
    </w:p>
    <w:p>
      <w:pPr>
        <w:spacing w:after="0" w:line="81" w:lineRule="exact"/>
        <w:rPr>
          <w:sz w:val="20"/>
          <w:szCs w:val="20"/>
          <w:color w:val="auto"/>
        </w:rPr>
      </w:pPr>
    </w:p>
    <w:p>
      <w:pPr>
        <w:ind w:left="220" w:right="620"/>
        <w:spacing w:after="0" w:line="291" w:lineRule="auto"/>
        <w:rPr>
          <w:sz w:val="20"/>
          <w:szCs w:val="20"/>
          <w:color w:val="auto"/>
        </w:rPr>
      </w:pPr>
      <w:r>
        <w:rPr>
          <w:rFonts w:ascii="Arial" w:cs="Arial" w:eastAsia="Arial" w:hAnsi="Arial"/>
          <w:sz w:val="15"/>
          <w:szCs w:val="15"/>
          <w:b w:val="1"/>
          <w:bCs w:val="1"/>
          <w:i w:val="1"/>
          <w:iCs w:val="1"/>
          <w:color w:val="auto"/>
        </w:rPr>
        <w:t>Federal and State Statutes Allow Courts, Under Specific Circumstances, to Void the Subsidiary Guarantees and Require Noteholders to Return Payments Received from Subsidiary Guarantors.</w:t>
      </w:r>
    </w:p>
    <w:p>
      <w:pPr>
        <w:spacing w:after="0" w:line="16" w:lineRule="exact"/>
        <w:rPr>
          <w:sz w:val="20"/>
          <w:szCs w:val="20"/>
          <w:color w:val="auto"/>
        </w:rPr>
      </w:pPr>
    </w:p>
    <w:p>
      <w:pPr>
        <w:ind w:right="260" w:firstLine="457"/>
        <w:spacing w:after="0" w:line="304" w:lineRule="auto"/>
        <w:rPr>
          <w:sz w:val="20"/>
          <w:szCs w:val="20"/>
          <w:color w:val="auto"/>
        </w:rPr>
      </w:pPr>
      <w:r>
        <w:rPr>
          <w:rFonts w:ascii="Arial" w:cs="Arial" w:eastAsia="Arial" w:hAnsi="Arial"/>
          <w:sz w:val="14"/>
          <w:szCs w:val="14"/>
          <w:color w:val="auto"/>
        </w:rPr>
        <w:t>Under the federal bankruptcy law and comparable provisions of state fraudulent transfer laws, the subsidiary guarantees could be voided. Alternatively, claims in respect of the subsidiary guarantees could be subordinated to all other debts of any subsidiary guarantor. Either of these events could occur if the subsidiary guarantor, at the time it incurred the indebtedness evidenced by its subsidiary guarantee, received less than reasonably equivalent value or fair consideration for the incurrence of such indebtedness, and:</w:t>
      </w:r>
    </w:p>
    <w:p>
      <w:pPr>
        <w:spacing w:after="0" w:line="11" w:lineRule="exact"/>
        <w:rPr>
          <w:sz w:val="20"/>
          <w:szCs w:val="20"/>
          <w:color w:val="auto"/>
        </w:rPr>
      </w:pPr>
    </w:p>
    <w:p>
      <w:pPr>
        <w:ind w:left="780" w:hanging="340"/>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was insolvent or rendered insolvent by reason of the incurrence of the indebtedness;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was engaged in a business or transaction for which the subsidiary guarantor’s remaining assets constituted unreasonably small capital;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intended to incur, or believed that it would incur, debts beyond its ability to pay as they mature.</w:t>
      </w:r>
    </w:p>
    <w:p>
      <w:pPr>
        <w:spacing w:after="0" w:line="145"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In addition, any payment by any subsidiary guarantor under a subsidiary guarantee could be voided and required to be returned to the subsidiary guarantor, or to a fund for the benefit of the creditors of the subsidiary guarantor.</w:t>
      </w:r>
    </w:p>
    <w:p>
      <w:pPr>
        <w:spacing w:after="0" w:line="87"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The measures of insolvency for purposes of these fraudulent transfer laws will vary depending upon the law applied in any proceeding to determine whether a fraudulent transfer has occurred. Generally, however, a subsidiary guarantor would be considered insolvent if:</w:t>
      </w:r>
    </w:p>
    <w:p>
      <w:pPr>
        <w:spacing w:after="0" w:line="16" w:lineRule="exact"/>
        <w:rPr>
          <w:sz w:val="20"/>
          <w:szCs w:val="20"/>
          <w:color w:val="auto"/>
        </w:rPr>
      </w:pPr>
    </w:p>
    <w:p>
      <w:pPr>
        <w:ind w:left="780" w:hanging="340"/>
        <w:spacing w:after="0"/>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sum of its debts, including contingent liabilities, were greater than the fair salable value of all of its assets; or</w:t>
      </w:r>
    </w:p>
    <w:p>
      <w:pPr>
        <w:spacing w:after="0" w:line="74" w:lineRule="exact"/>
        <w:rPr>
          <w:rFonts w:ascii="Arial" w:cs="Arial" w:eastAsia="Arial" w:hAnsi="Arial"/>
          <w:sz w:val="15"/>
          <w:szCs w:val="15"/>
          <w:color w:val="auto"/>
        </w:rPr>
      </w:pPr>
    </w:p>
    <w:p>
      <w:pPr>
        <w:ind w:left="780" w:right="120" w:hanging="340"/>
        <w:spacing w:after="0" w:line="291"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the present fair salable value of its assets was less than the amount that would be required to pay its probable liability on its existing debts, including contingent liabilities, as they become absolute and mature; or</w:t>
      </w:r>
    </w:p>
    <w:p>
      <w:pPr>
        <w:spacing w:after="0" w:line="16" w:lineRule="exact"/>
        <w:rPr>
          <w:rFonts w:ascii="Arial" w:cs="Arial" w:eastAsia="Arial" w:hAnsi="Arial"/>
          <w:sz w:val="15"/>
          <w:szCs w:val="15"/>
          <w:color w:val="auto"/>
        </w:rPr>
      </w:pPr>
    </w:p>
    <w:p>
      <w:pPr>
        <w:ind w:left="780" w:hanging="340"/>
        <w:spacing w:after="0"/>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it could not pay its debts as they become due.</w:t>
      </w:r>
    </w:p>
    <w:p>
      <w:pPr>
        <w:spacing w:after="0" w:line="14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cannot be certain as to the standards a court would use to determine whether or not the subsidiary guarantors were solvent at the relevant time, or regardless of the standard that a court uses, that the issuance of the subsidiary guarantees would not be subordinated to the subsidiary guarantors’ other debt.</w:t>
      </w:r>
    </w:p>
    <w:p>
      <w:pPr>
        <w:spacing w:after="0" w:line="87"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If a subsidiary guarantee was legally challenged, it could also be subject to the claim that, since the guarantee was incurred for our benefit, and only indirectly for the benefit of the subsidiary guarantor, the obligations of the applicable subsidiary guarantor were incurred for less than fair consideration.</w:t>
      </w:r>
    </w:p>
    <w:p>
      <w:pPr>
        <w:spacing w:after="0" w:line="87"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A court could thus void the obligations under the subsidiary guarantees, subordinate them to the applicable subsidiary guarantor’s other debt or take other action detrimental to the holders of the Notes.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You Cannot Be Sure That an Active Trading Market Will Exist for the Notes.</w:t>
      </w:r>
    </w:p>
    <w:p>
      <w:pPr>
        <w:spacing w:after="0" w:line="74"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The Original Notes were a new issue of securities with no established trading market and are not listed on any securities exchange. We have been informed by the initial purchasers that they intend to make a market in the Notes. However, they may cease their market-making at any time. In addition, the liquidity of the trading market in the Notes, and the market price quoted for the Notes, may be adversely affected by changes in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0"/>
          </w:cols>
          <w:pgMar w:left="240" w:top="417"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overall market for high yield securities and by changes in our financial performance or prospects or in the prospects for companies in our industry generally. As a result, you cannot be sure that an active trading market will exist for the Notes.</w:t>
      </w:r>
    </w:p>
    <w:p>
      <w:pPr>
        <w:spacing w:after="0" w:line="87" w:lineRule="exact"/>
        <w:rPr>
          <w:sz w:val="20"/>
          <w:szCs w:val="20"/>
          <w:color w:val="auto"/>
        </w:rPr>
      </w:pPr>
    </w:p>
    <w:p>
      <w:pPr>
        <w:ind w:right="400" w:firstLine="457"/>
        <w:spacing w:after="0" w:line="291" w:lineRule="auto"/>
        <w:rPr>
          <w:sz w:val="20"/>
          <w:szCs w:val="20"/>
          <w:color w:val="auto"/>
        </w:rPr>
      </w:pPr>
      <w:r>
        <w:rPr>
          <w:rFonts w:ascii="Arial" w:cs="Arial" w:eastAsia="Arial" w:hAnsi="Arial"/>
          <w:sz w:val="15"/>
          <w:szCs w:val="15"/>
          <w:color w:val="auto"/>
        </w:rPr>
        <w:t>Historically, the market for non-investment grade debt has been subject to disruptions that have caused volatility in prices. It is possible that the market for the Notes will be subject to disruptions. Any such disruption may have a negative effect on holders of the Notes regardless of our prospects or financial performance.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an Investment in Our Company</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Adverse Weather Conditions Could Adversely Impact Financial Results.</w:t>
      </w:r>
    </w:p>
    <w:p>
      <w:pPr>
        <w:spacing w:after="0" w:line="74"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Historical Seasonality Could Impair Our Ability to Pay Obligations As They Come Due in Addition to Our Operating Expenses.</w:t>
      </w:r>
    </w:p>
    <w:p>
      <w:pPr>
        <w:spacing w:after="0" w:line="74" w:lineRule="exact"/>
        <w:rPr>
          <w:sz w:val="20"/>
          <w:szCs w:val="20"/>
          <w:color w:val="auto"/>
        </w:rPr>
      </w:pPr>
    </w:p>
    <w:p>
      <w:pPr>
        <w:ind w:right="60" w:firstLine="457"/>
        <w:spacing w:after="0" w:line="268" w:lineRule="auto"/>
        <w:rPr>
          <w:sz w:val="20"/>
          <w:szCs w:val="20"/>
          <w:color w:val="auto"/>
        </w:rPr>
      </w:pPr>
      <w:r>
        <w:rPr>
          <w:rFonts w:ascii="Arial" w:cs="Arial" w:eastAsia="Arial" w:hAnsi="Arial"/>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Perceptions That the Products We Produce and Market Are Not Safe Could Adversely Affect Us.</w:t>
      </w:r>
    </w:p>
    <w:p>
      <w:pPr>
        <w:spacing w:after="0" w:line="74" w:lineRule="exact"/>
        <w:rPr>
          <w:sz w:val="20"/>
          <w:szCs w:val="20"/>
          <w:color w:val="auto"/>
        </w:rPr>
      </w:pPr>
    </w:p>
    <w:p>
      <w:pPr>
        <w:jc w:val="both"/>
        <w:ind w:right="80" w:firstLine="457"/>
        <w:spacing w:after="0" w:line="325" w:lineRule="auto"/>
        <w:rPr>
          <w:sz w:val="20"/>
          <w:szCs w:val="20"/>
          <w:color w:val="auto"/>
        </w:rPr>
      </w:pPr>
      <w:r>
        <w:rPr>
          <w:rFonts w:ascii="Arial" w:cs="Arial" w:eastAsia="Arial" w:hAnsi="Arial"/>
          <w:sz w:val="13"/>
          <w:szCs w:val="13"/>
          <w:color w:val="auto"/>
        </w:rPr>
        <w:t>We manufacture and market a number of complex chemical products, such as fertilizers, growing media, herbicides and pesticides, bearing one of our brand names. On occasion, allegations are made that some of our products have failed to perform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effect on our business.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Nature of Certain of Our Products and Our Business Success Contribute to the Risk That We Will Be Subjected to Lawsuits.</w:t>
      </w:r>
    </w:p>
    <w:p>
      <w:pPr>
        <w:spacing w:after="0" w:line="74"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The nature of certain of our products and our business success contribute to the risk that we will be subjected to lawsuits. The following are among the factors that contribute to this litigation risk:</w:t>
      </w:r>
    </w:p>
    <w:p>
      <w:pPr>
        <w:spacing w:after="0" w:line="16" w:lineRule="exact"/>
        <w:rPr>
          <w:sz w:val="20"/>
          <w:szCs w:val="20"/>
          <w:color w:val="auto"/>
        </w:rPr>
      </w:pPr>
    </w:p>
    <w:p>
      <w:pPr>
        <w:ind w:left="780" w:hanging="340"/>
        <w:spacing w:after="0" w:line="304" w:lineRule="auto"/>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we will be subjected to product liability claims that allege harm from exposure to our products. Product liability claims are brought against us from time to time.</w:t>
      </w:r>
    </w:p>
    <w:p>
      <w:pPr>
        <w:spacing w:after="0" w:line="10" w:lineRule="exact"/>
        <w:rPr>
          <w:rFonts w:ascii="Arial" w:cs="Arial" w:eastAsia="Arial" w:hAnsi="Arial"/>
          <w:sz w:val="14"/>
          <w:szCs w:val="14"/>
          <w:color w:val="auto"/>
        </w:rPr>
      </w:pPr>
    </w:p>
    <w:p>
      <w:pPr>
        <w:ind w:left="780" w:right="360" w:hanging="340"/>
        <w:spacing w:after="0" w:line="276"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third party vendor supplied contaminated vermiculite ore to us. Although our use of vermiculite ore from the contaminated source ended over twenty years ago, our relationship with this supplier enhances the risk that we will be subjected to personal injury and product liability claims relating to the use of vermiculite in some of our products.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380"/>
          </w:cols>
          <w:pgMar w:left="240" w:top="417" w:right="27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780" w:right="20" w:hanging="340"/>
        <w:spacing w:after="0" w:line="276"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are a significant competitor in many of the markets in which we compete. Our success in our markets enhances the risk that we will be targeted by plaintiffs’ lawyers, consumer groups, competitors and others asserting antitrust claims. Antitrust claims are brought against us from time to time. We believe that the antitrust claims of which we are aware are without merit.</w:t>
      </w:r>
    </w:p>
    <w:p>
      <w:pPr>
        <w:spacing w:after="0" w:line="98" w:lineRule="exact"/>
        <w:rPr>
          <w:sz w:val="20"/>
          <w:szCs w:val="20"/>
          <w:color w:val="auto"/>
        </w:rPr>
      </w:pPr>
    </w:p>
    <w:p>
      <w:pPr>
        <w:ind w:left="220" w:right="420"/>
        <w:spacing w:after="0" w:line="291" w:lineRule="auto"/>
        <w:rPr>
          <w:sz w:val="20"/>
          <w:szCs w:val="20"/>
          <w:color w:val="auto"/>
        </w:rPr>
      </w:pPr>
      <w:r>
        <w:rPr>
          <w:rFonts w:ascii="Arial" w:cs="Arial" w:eastAsia="Arial" w:hAnsi="Arial"/>
          <w:sz w:val="15"/>
          <w:szCs w:val="15"/>
          <w:b w:val="1"/>
          <w:bCs w:val="1"/>
          <w:i w:val="1"/>
          <w:iCs w:val="1"/>
          <w:color w:val="auto"/>
        </w:rPr>
        <w:t>Because of the Concentration of Our Sales to a Small Number of Retail Customers, the Loss of One or More of, or Significant Decline in Orders From, Our Top Customers Could Adversely Affect Our Financial Results.</w:t>
      </w:r>
    </w:p>
    <w:p>
      <w:pPr>
        <w:spacing w:after="0" w:line="16"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North American Consumer net sales represent approximately 69% of our worldwide net sales in fiscal 2003. Our top three North American retail customers together accounted for 71% of our North American Consumer fiscal 2003 net sales and 79% of our outstanding accounts receivable as of September 30, 2003. Home Depot, Wal*Mart and Lowe’s represented approximately 38%, 19% and 14%, respectively, of our fiscal 2003 North American Consumer net sales. The loss of, or reduction in orders from, Home Depot, Wal*Mart,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effect.</w:t>
      </w:r>
    </w:p>
    <w:p>
      <w:pPr>
        <w:spacing w:after="0" w:line="89" w:lineRule="exact"/>
        <w:rPr>
          <w:sz w:val="20"/>
          <w:szCs w:val="20"/>
          <w:color w:val="auto"/>
        </w:rPr>
      </w:pPr>
    </w:p>
    <w:p>
      <w:pPr>
        <w:jc w:val="both"/>
        <w:ind w:right="60" w:firstLine="457"/>
        <w:spacing w:after="0" w:line="304" w:lineRule="auto"/>
        <w:rPr>
          <w:sz w:val="20"/>
          <w:szCs w:val="20"/>
          <w:color w:val="auto"/>
        </w:rPr>
      </w:pPr>
      <w:r>
        <w:rPr>
          <w:rFonts w:ascii="Arial" w:cs="Arial" w:eastAsia="Arial" w:hAnsi="Arial"/>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retail customers.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Highly Competitive Nature of Our Markets Could Adversely Affect Our Ability to Grow or Maintain Revenues.</w:t>
      </w:r>
    </w:p>
    <w:p>
      <w:pPr>
        <w:spacing w:after="0" w:line="74" w:lineRule="exact"/>
        <w:rPr>
          <w:sz w:val="20"/>
          <w:szCs w:val="20"/>
          <w:color w:val="auto"/>
        </w:rPr>
      </w:pPr>
    </w:p>
    <w:p>
      <w:pPr>
        <w:ind w:right="100" w:firstLine="457"/>
        <w:spacing w:after="0" w:line="271" w:lineRule="auto"/>
        <w:rPr>
          <w:sz w:val="20"/>
          <w:szCs w:val="20"/>
          <w:color w:val="auto"/>
        </w:rPr>
      </w:pPr>
      <w:r>
        <w:rPr>
          <w:rFonts w:ascii="Arial" w:cs="Arial" w:eastAsia="Arial" w:hAnsi="Arial"/>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effect on our financial condition and results of operations.</w:t>
      </w:r>
    </w:p>
    <w:p>
      <w:pPr>
        <w:spacing w:after="0" w:line="102" w:lineRule="exact"/>
        <w:rPr>
          <w:sz w:val="20"/>
          <w:szCs w:val="20"/>
          <w:color w:val="auto"/>
        </w:rPr>
      </w:pPr>
    </w:p>
    <w:p>
      <w:pPr>
        <w:ind w:left="220" w:right="80"/>
        <w:spacing w:after="0" w:line="234" w:lineRule="auto"/>
        <w:rPr>
          <w:sz w:val="20"/>
          <w:szCs w:val="20"/>
          <w:color w:val="auto"/>
        </w:rPr>
      </w:pPr>
      <w:r>
        <w:rPr>
          <w:rFonts w:ascii="Arial" w:cs="Arial" w:eastAsia="Arial" w:hAnsi="Arial"/>
          <w:sz w:val="15"/>
          <w:szCs w:val="15"/>
          <w:b w:val="1"/>
          <w:bCs w:val="1"/>
          <w:i w:val="1"/>
          <w:iCs w:val="1"/>
          <w:color w:val="auto"/>
        </w:rPr>
        <w:t>If Monsanto Were to Terminate the Marketing Agreement for Consumer Roundup</w:t>
      </w:r>
      <w:r>
        <w:rPr>
          <w:rFonts w:ascii="Arial" w:cs="Arial" w:eastAsia="Arial" w:hAnsi="Arial"/>
          <w:sz w:val="19"/>
          <w:szCs w:val="19"/>
          <w:b w:val="1"/>
          <w:bCs w:val="1"/>
          <w:i w:val="1"/>
          <w:iCs w:val="1"/>
          <w:color w:val="auto"/>
          <w:vertAlign w:val="superscript"/>
        </w:rPr>
        <w:t>®</w:t>
      </w:r>
      <w:r>
        <w:rPr>
          <w:rFonts w:ascii="Arial" w:cs="Arial" w:eastAsia="Arial" w:hAnsi="Arial"/>
          <w:sz w:val="15"/>
          <w:szCs w:val="15"/>
          <w:b w:val="1"/>
          <w:bCs w:val="1"/>
          <w:i w:val="1"/>
          <w:iCs w:val="1"/>
          <w:color w:val="auto"/>
        </w:rPr>
        <w:t xml:space="preserve"> Products Without Being Required to Pay Any Termination Fee, We Would Lose a Substantial Source of Future Earnings.</w:t>
      </w:r>
    </w:p>
    <w:p>
      <w:pPr>
        <w:spacing w:after="0" w:line="53" w:lineRule="exact"/>
        <w:rPr>
          <w:sz w:val="20"/>
          <w:szCs w:val="20"/>
          <w:color w:val="auto"/>
        </w:rPr>
      </w:pPr>
    </w:p>
    <w:p>
      <w:pPr>
        <w:ind w:firstLine="457"/>
        <w:spacing w:after="0" w:line="249" w:lineRule="auto"/>
        <w:rPr>
          <w:sz w:val="20"/>
          <w:szCs w:val="20"/>
          <w:color w:val="auto"/>
        </w:rPr>
      </w:pPr>
      <w:r>
        <w:rPr>
          <w:rFonts w:ascii="Arial" w:cs="Arial" w:eastAsia="Arial" w:hAnsi="Arial"/>
          <w:sz w:val="15"/>
          <w:szCs w:val="15"/>
          <w:color w:val="auto"/>
        </w:rPr>
        <w:t>If we were to commit a serious default under the marketing agreement with Monsanto for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47" w:lineRule="exact"/>
        <w:rPr>
          <w:sz w:val="20"/>
          <w:szCs w:val="20"/>
          <w:color w:val="auto"/>
        </w:rPr>
      </w:pPr>
    </w:p>
    <w:p>
      <w:pPr>
        <w:ind w:left="780" w:hanging="340"/>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 a cumulative three fiscal year period;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by more than 5% for each of two consecutive fiscal years.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Hagedorn Partnership, L.P. Beneficially Owns Approximately 34% of Our Outstanding Common Shares on a Fully Diluted Basis.</w:t>
      </w:r>
    </w:p>
    <w:p>
      <w:pPr>
        <w:spacing w:after="0" w:line="74" w:lineRule="exact"/>
        <w:rPr>
          <w:sz w:val="20"/>
          <w:szCs w:val="20"/>
          <w:color w:val="auto"/>
        </w:rPr>
      </w:pPr>
    </w:p>
    <w:p>
      <w:pPr>
        <w:ind w:right="340" w:firstLine="457"/>
        <w:spacing w:after="0" w:line="291" w:lineRule="auto"/>
        <w:rPr>
          <w:sz w:val="20"/>
          <w:szCs w:val="20"/>
          <w:color w:val="auto"/>
        </w:rPr>
      </w:pPr>
      <w:r>
        <w:rPr>
          <w:rFonts w:ascii="Arial" w:cs="Arial" w:eastAsia="Arial" w:hAnsi="Arial"/>
          <w:sz w:val="15"/>
          <w:szCs w:val="15"/>
          <w:color w:val="auto"/>
        </w:rPr>
        <w:t>As of December 15, 2003, the Hagedorn Partnership, L.P. beneficially owned approximately 34% of our outstanding common shares on a fully diluted basis and has sufficient voting power to significantly influence the election of directors and the approval of other actions requiring the approval of our shareholders.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417" w:right="2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Compliance With Environmental and Other Public Health Regulations Could Increase Our Cost of Doing Business.</w:t>
      </w:r>
    </w:p>
    <w:p>
      <w:pPr>
        <w:spacing w:after="0" w:line="74" w:lineRule="exact"/>
        <w:rPr>
          <w:sz w:val="20"/>
          <w:szCs w:val="20"/>
          <w:color w:val="auto"/>
        </w:rPr>
      </w:pPr>
    </w:p>
    <w:p>
      <w:pPr>
        <w:ind w:right="120" w:firstLine="457"/>
        <w:spacing w:after="0" w:line="268" w:lineRule="auto"/>
        <w:rPr>
          <w:sz w:val="20"/>
          <w:szCs w:val="20"/>
          <w:color w:val="auto"/>
        </w:rPr>
      </w:pPr>
      <w:r>
        <w:rPr>
          <w:rFonts w:ascii="Arial" w:cs="Arial" w:eastAsia="Arial" w:hAnsi="Arial"/>
          <w:sz w:val="15"/>
          <w:szCs w:val="15"/>
          <w:color w:val="auto"/>
        </w:rPr>
        <w:t>Local, state, federal and foreign laws and regulations relating to environmental matters affect us in several ways. In the U.S., all products containing pesticides must be registered with the U.S.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06" w:lineRule="exact"/>
        <w:rPr>
          <w:sz w:val="20"/>
          <w:szCs w:val="20"/>
          <w:color w:val="auto"/>
        </w:rPr>
      </w:pPr>
    </w:p>
    <w:p>
      <w:pPr>
        <w:ind w:right="60" w:firstLine="457"/>
        <w:spacing w:after="0" w:line="287" w:lineRule="auto"/>
        <w:rPr>
          <w:sz w:val="20"/>
          <w:szCs w:val="20"/>
          <w:color w:val="auto"/>
        </w:rPr>
      </w:pPr>
      <w:r>
        <w:rPr>
          <w:rFonts w:ascii="Arial" w:cs="Arial" w:eastAsia="Arial" w:hAnsi="Arial"/>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which is also used in our lawn and garden products. We cannot predict the outcome or the severity of the effect of the U.S. EPA’s continuing evaluations of active ingredients used in our products.</w:t>
      </w:r>
    </w:p>
    <w:p>
      <w:pPr>
        <w:spacing w:after="0" w:line="92" w:lineRule="exact"/>
        <w:rPr>
          <w:sz w:val="20"/>
          <w:szCs w:val="20"/>
          <w:color w:val="auto"/>
        </w:rPr>
      </w:pPr>
    </w:p>
    <w:p>
      <w:pPr>
        <w:ind w:firstLine="457"/>
        <w:spacing w:after="0" w:line="290" w:lineRule="auto"/>
        <w:rPr>
          <w:sz w:val="20"/>
          <w:szCs w:val="20"/>
          <w:color w:val="auto"/>
        </w:rPr>
      </w:pPr>
      <w:r>
        <w:rPr>
          <w:rFonts w:ascii="Arial" w:cs="Arial" w:eastAsia="Arial" w:hAnsi="Arial"/>
          <w:sz w:val="14"/>
          <w:szCs w:val="14"/>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90"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The harvesting of peat for our growing media business has come under increasing regulatory and environmental scrutiny. In the U.S.,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98" w:lineRule="exact"/>
        <w:rPr>
          <w:sz w:val="20"/>
          <w:szCs w:val="20"/>
          <w:color w:val="auto"/>
        </w:rPr>
      </w:pPr>
    </w:p>
    <w:p>
      <w:pPr>
        <w:ind w:right="80" w:firstLine="457"/>
        <w:spacing w:after="0" w:line="268" w:lineRule="auto"/>
        <w:rPr>
          <w:sz w:val="20"/>
          <w:szCs w:val="20"/>
          <w:color w:val="auto"/>
        </w:rPr>
      </w:pPr>
      <w:r>
        <w:rPr>
          <w:rFonts w:ascii="Arial" w:cs="Arial" w:eastAsia="Arial" w:hAnsi="Arial"/>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06" w:lineRule="exact"/>
        <w:rPr>
          <w:sz w:val="20"/>
          <w:szCs w:val="20"/>
          <w:color w:val="auto"/>
        </w:rPr>
      </w:pPr>
    </w:p>
    <w:p>
      <w:pPr>
        <w:ind w:right="140" w:firstLine="457"/>
        <w:spacing w:after="0" w:line="329" w:lineRule="auto"/>
        <w:rPr>
          <w:sz w:val="20"/>
          <w:szCs w:val="20"/>
          <w:color w:val="auto"/>
        </w:rPr>
      </w:pPr>
      <w:r>
        <w:rPr>
          <w:rFonts w:ascii="Arial" w:cs="Arial" w:eastAsia="Arial" w:hAnsi="Arial"/>
          <w:sz w:val="14"/>
          <w:szCs w:val="14"/>
          <w:color w:val="auto"/>
        </w:rPr>
        <w:t>In fiscal 2003, we made $1.5 million in environmental capital expenditures, compared with approximately $0.3 million in environmental capital expenditures and $5.4 million in other environmental expenses in fiscal 2002. We expect spending on environmental matters in fiscal 2004 will not vary materially from the amount spent in fiscal 2003.</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0"/>
          </w:cols>
          <w:pgMar w:left="240" w:top="417"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6" w:lineRule="exact"/>
        <w:rPr>
          <w:sz w:val="20"/>
          <w:szCs w:val="20"/>
          <w:color w:val="auto"/>
        </w:rPr>
      </w:pPr>
    </w:p>
    <w:p>
      <w:pPr>
        <w:ind w:left="780" w:hanging="340"/>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that we have identified all of the significant sites that must be remediated;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that there are no significant conditions of potential contamination that are unknown to us; and</w:t>
      </w:r>
    </w:p>
    <w:p>
      <w:pPr>
        <w:spacing w:after="0" w:line="74" w:lineRule="exact"/>
        <w:rPr>
          <w:rFonts w:ascii="Arial" w:cs="Arial" w:eastAsia="Arial" w:hAnsi="Arial"/>
          <w:sz w:val="15"/>
          <w:szCs w:val="15"/>
          <w:color w:val="auto"/>
        </w:rPr>
      </w:pPr>
    </w:p>
    <w:p>
      <w:pPr>
        <w:ind w:left="780" w:right="400" w:hanging="340"/>
        <w:spacing w:after="0" w:line="291"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87"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Significant International Operations Make Us Susceptible to Fluctuations in Currency Exchange Rates and to the Costs of International Regulation.</w:t>
      </w:r>
    </w:p>
    <w:p>
      <w:pPr>
        <w:spacing w:after="0" w:line="74" w:lineRule="exact"/>
        <w:rPr>
          <w:sz w:val="20"/>
          <w:szCs w:val="20"/>
          <w:color w:val="auto"/>
        </w:rPr>
      </w:pPr>
    </w:p>
    <w:p>
      <w:pPr>
        <w:ind w:right="240" w:firstLine="457"/>
        <w:spacing w:after="0" w:line="323" w:lineRule="auto"/>
        <w:rPr>
          <w:sz w:val="20"/>
          <w:szCs w:val="20"/>
          <w:color w:val="auto"/>
        </w:rPr>
      </w:pPr>
      <w:r>
        <w:rPr>
          <w:rFonts w:ascii="Arial" w:cs="Arial" w:eastAsia="Arial" w:hAnsi="Arial"/>
          <w:sz w:val="14"/>
          <w:szCs w:val="14"/>
          <w:color w:val="auto"/>
        </w:rPr>
        <w:t>We currently operate manufacturing, sales and service facilities outside of North America, particularly in the United Kingdom, Germany, France and the Netherlands. In fiscal 2003, international sales accounted for approximately 20% of our total sales. Accordingly, we are subject to risks associated with operations in foreign countries, including:</w:t>
      </w:r>
    </w:p>
    <w:p>
      <w:pPr>
        <w:spacing w:after="0" w:line="1" w:lineRule="exact"/>
        <w:rPr>
          <w:sz w:val="20"/>
          <w:szCs w:val="20"/>
          <w:color w:val="auto"/>
        </w:rPr>
      </w:pPr>
    </w:p>
    <w:p>
      <w:pPr>
        <w:ind w:left="780" w:hanging="340"/>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fluctuations in currency exchange rates;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limitations on the conversion of foreign currencies into U.S. dollars;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limitations on the remittance of dividends and other payments by foreign subsidiaries;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additional costs of compliance with local regulations;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historically, higher rates of inflation than in the U.S.</w:t>
      </w:r>
    </w:p>
    <w:p>
      <w:pPr>
        <w:spacing w:after="0" w:line="145"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In addition, our operations outside the U.S.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360"/>
          </w:cols>
          <w:pgMar w:left="240" w:top="417" w:right="29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EXCHANGE OFFER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of the Exchange Offer</w:t>
      </w:r>
    </w:p>
    <w:p>
      <w:pPr>
        <w:spacing w:after="0" w:line="78"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We issued the Original Notes on October 8, 2003, to Citigroup Global Markets, Inc., Banc of America Securities LLC; J.P. Morgan Securities Inc., Bank One Capital Markets, Inc., BNP Paribas Securities Corp., Credit Lyonnais Securities (USA) Inc., McDonald Investments Inc., Scotia Capital (USA) Inc. and SunTrust Capital Markets, Inc., the initial purchasers, pursuant to a purchase agreement. The initial purchasers subsequently sold the Original Notes to “qualified institutional buyers,” as defined in Rule 144A under the Securities Act, in reliance on Rule 144A, and outside the United States under Regulation S of the Securities Act. As a condition to the sale of the Original Notes, we entered into a registration rights agreement with the initial purchasers on October 8, 2003.</w:t>
      </w:r>
    </w:p>
    <w:p>
      <w:pPr>
        <w:spacing w:after="0" w:line="106"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5"/>
          <w:szCs w:val="15"/>
          <w:color w:val="auto"/>
        </w:rPr>
        <w:t>Pursuant to the registration rights agreement, we and the subsidiary guarantors agreed to use our commercially reasonable efforts to file a registration statement with respect to an exchange offer for the Exchange Notes with the SEC on or prior to 90 days after October 8, 2003, and to use our commercially reasonable efforts to cause that registration statement to be declared effective on or prior to 210 days after October 8, 2003.</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filed a copy of the registration rights agreement as an exhibit to the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Resale of the Exchange Notes</w:t>
      </w:r>
    </w:p>
    <w:p>
      <w:pPr>
        <w:spacing w:after="0" w:line="78" w:lineRule="exact"/>
        <w:rPr>
          <w:sz w:val="20"/>
          <w:szCs w:val="20"/>
          <w:color w:val="auto"/>
        </w:rPr>
      </w:pPr>
    </w:p>
    <w:p>
      <w:pPr>
        <w:ind w:right="100" w:firstLine="457"/>
        <w:spacing w:after="0" w:line="267" w:lineRule="auto"/>
        <w:rPr>
          <w:sz w:val="20"/>
          <w:szCs w:val="20"/>
          <w:color w:val="auto"/>
        </w:rPr>
      </w:pPr>
      <w:r>
        <w:rPr>
          <w:rFonts w:ascii="Arial" w:cs="Arial" w:eastAsia="Arial" w:hAnsi="Arial"/>
          <w:sz w:val="15"/>
          <w:szCs w:val="15"/>
          <w:color w:val="auto"/>
        </w:rPr>
        <w:t>Based upon an interpretation by the staff of the SEC contained in no-action letters issued to third parties, we believe that you may exchange Original Notes for Exchange Notes in the ordinary course of business. For further information on the SEC’s position, see Exxon Capital Holdings Corporation, available May 13, 1988, Morgan Stanley &amp; Co. Incorporated, available June 5, 1991 and Shearman &amp; Sterling, available July 2, 1993, and other interpretive letters to similar effect. You will be allowed to resell Exchange Notes to the public without further registration under the Securities Act and without delivering to purchasers of the Exchange Notes a prospectus that satisfies the requirements of Section 10 of the Securities Act so long as you do not participate, do not intend to participate, and have no arrangement with any person to participate, in a distribution of the Exchange Notes. However, the foregoing does not apply to you if you are:</w:t>
      </w:r>
    </w:p>
    <w:p>
      <w:pPr>
        <w:spacing w:after="0" w:line="35" w:lineRule="exact"/>
        <w:rPr>
          <w:sz w:val="20"/>
          <w:szCs w:val="20"/>
          <w:color w:val="auto"/>
        </w:rPr>
      </w:pPr>
    </w:p>
    <w:p>
      <w:pPr>
        <w:ind w:left="780" w:hanging="3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broker-dealer who purchased the Exchange Notes directly from us to resell pursuant to Rule 144A or any other available exemption under the Securities Act; or</w:t>
      </w:r>
    </w:p>
    <w:p>
      <w:pPr>
        <w:spacing w:after="0" w:line="85" w:lineRule="exact"/>
        <w:rPr>
          <w:rFonts w:ascii="Arial" w:cs="Arial" w:eastAsia="Arial" w:hAnsi="Arial"/>
          <w:sz w:val="14"/>
          <w:szCs w:val="14"/>
          <w:color w:val="auto"/>
        </w:rPr>
      </w:pPr>
    </w:p>
    <w:p>
      <w:pPr>
        <w:ind w:left="780" w:hanging="340"/>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“affiliate” of ours within the meaning of Rule 405 under the Securities Act.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In addition, if:</w:t>
      </w:r>
    </w:p>
    <w:p>
      <w:pPr>
        <w:spacing w:after="0" w:line="74" w:lineRule="exact"/>
        <w:rPr>
          <w:sz w:val="20"/>
          <w:szCs w:val="20"/>
          <w:color w:val="auto"/>
        </w:rPr>
      </w:pPr>
    </w:p>
    <w:p>
      <w:pPr>
        <w:ind w:left="780" w:hanging="340"/>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you are a broker-dealer;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you acquire Exchange Notes in the exchange offer for the purpose of distributing or participating in the distribution of the Exchange Notes,</w:t>
      </w:r>
    </w:p>
    <w:p>
      <w:pPr>
        <w:spacing w:after="0" w:line="145"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you cannot rely on the position of the staff of the SEC contained in the no-action letters mentioned above and must comply with the registration and prospectus delivery requirements of the Securities Act in connection with any resale transaction, unless an exemption from registration is otherwise available.</w:t>
      </w:r>
    </w:p>
    <w:p>
      <w:pPr>
        <w:spacing w:after="0" w:line="87" w:lineRule="exact"/>
        <w:rPr>
          <w:sz w:val="20"/>
          <w:szCs w:val="20"/>
          <w:color w:val="auto"/>
        </w:rPr>
      </w:pPr>
    </w:p>
    <w:p>
      <w:pPr>
        <w:ind w:right="160" w:firstLine="457"/>
        <w:spacing w:after="0" w:line="268" w:lineRule="auto"/>
        <w:rPr>
          <w:sz w:val="20"/>
          <w:szCs w:val="20"/>
          <w:color w:val="auto"/>
        </w:rPr>
      </w:pPr>
      <w:r>
        <w:rPr>
          <w:rFonts w:ascii="Arial" w:cs="Arial" w:eastAsia="Arial" w:hAnsi="Arial"/>
          <w:sz w:val="15"/>
          <w:szCs w:val="15"/>
          <w:color w:val="auto"/>
        </w:rPr>
        <w:t>Each broker-dealer that receives Exchange Notes for its own account in exchange for Original Notes, which the broker-dealer acquired as a result of market-making activities or other trading activities, must acknowledge that it will deliver a prospectus in connection with any resale of the Exchange Notes. The letter of transmittal states that by so acknowledging and by delivering a prospectus, a broker-dealer will not be deemed to admit that it is an “underwriter” within the meaning of the Securities Act. A broker-dealer may use this prospectus, as it may be amended or supplemented from time to time, in connection with resales of Exchange Notes received in exchange for Original Notes which the broker-dealer acquired as a result of market-making or other trading activities.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417" w:right="21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the Exchange Offer</w:t>
      </w:r>
    </w:p>
    <w:p>
      <w:pPr>
        <w:spacing w:after="0" w:line="78"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Upon the terms and subject to the conditions described in this prospectus and in the letter of transmittal, we will accept any and all Original Notes validly tendered and not withdrawn before the expiration date. We will issue $1,000 principal amount of Exchange Notes in exchange for each $1,000 principal amount of outstanding Original Notes surrendered pursuant to the exchange offer. You may tender Original Notes only in integral multiples of $1,000.</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form and terms of the Exchange Notes are the same as the form and terms of the Original Notes except that:</w:t>
      </w:r>
    </w:p>
    <w:p>
      <w:pPr>
        <w:spacing w:after="0" w:line="74" w:lineRule="exact"/>
        <w:rPr>
          <w:sz w:val="20"/>
          <w:szCs w:val="20"/>
          <w:color w:val="auto"/>
        </w:rPr>
      </w:pPr>
    </w:p>
    <w:p>
      <w:pPr>
        <w:ind w:left="780" w:hanging="340"/>
        <w:spacing w:after="0"/>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will register the Exchange Notes under the Securities Act and, therefore, the Exchange Notes will not bear legends restricting their transfer; and</w:t>
      </w:r>
    </w:p>
    <w:p>
      <w:pPr>
        <w:spacing w:after="0" w:line="74" w:lineRule="exact"/>
        <w:rPr>
          <w:rFonts w:ascii="Arial" w:cs="Arial" w:eastAsia="Arial" w:hAnsi="Arial"/>
          <w:sz w:val="15"/>
          <w:szCs w:val="15"/>
          <w:color w:val="auto"/>
        </w:rPr>
      </w:pPr>
    </w:p>
    <w:p>
      <w:pPr>
        <w:ind w:left="780" w:right="80" w:hanging="340"/>
        <w:spacing w:after="0" w:line="291" w:lineRule="auto"/>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holders of the Exchange Notes will not be entitled to any of the rights of holders of Original Notes under the registration rights agreement, which rights will terminate upon the completion of the exchange offer.</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Exchange Notes will evidence the same debt as the Original Notes. The indenture governing the Exchange Notes is the same indenture that governs the Original Notes.</w:t>
      </w:r>
    </w:p>
    <w:p>
      <w:pPr>
        <w:spacing w:after="0" w:line="156"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As of the date of this prospectus, $200,000,000 in aggregate principal amount of the Original Notes are outstanding and registered in the name of Cede &amp; Co., as nominee for The Depository Trust Company. Only registered holders of the Original Notes, or their legal representative or attorney-in-fact,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81" w:lineRule="exact"/>
        <w:rPr>
          <w:sz w:val="20"/>
          <w:szCs w:val="20"/>
          <w:color w:val="auto"/>
        </w:rPr>
      </w:pPr>
    </w:p>
    <w:p>
      <w:pPr>
        <w:ind w:right="300" w:firstLine="457"/>
        <w:spacing w:after="0" w:line="373" w:lineRule="auto"/>
        <w:rPr>
          <w:sz w:val="20"/>
          <w:szCs w:val="20"/>
          <w:color w:val="auto"/>
        </w:rPr>
      </w:pPr>
      <w:r>
        <w:rPr>
          <w:rFonts w:ascii="Arial" w:cs="Arial" w:eastAsia="Arial" w:hAnsi="Arial"/>
          <w:sz w:val="13"/>
          <w:szCs w:val="13"/>
          <w:color w:val="auto"/>
        </w:rPr>
        <w:t>You do not have any appraisal or dissenters’ rights under the indenture or applicable law in connection with the exchange offer. We intend to conduct the exchange offer in accordance with the provisions of the registration rights agreement and the applicable requirements of the Securities Act, the Exchange Act and the rules and regulations of the SEC.</w:t>
      </w:r>
    </w:p>
    <w:p>
      <w:pPr>
        <w:spacing w:after="0" w:line="40"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We will be deemed to have accepted validly tendered Original Notes when, as and if we had given oral or written notice of acceptance to the exchange agent. The exchange agent will act as your agent for the purposes of receiving the Exchange Notes from us.</w:t>
      </w:r>
    </w:p>
    <w:p>
      <w:pPr>
        <w:spacing w:after="0" w:line="87"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5"/>
          <w:szCs w:val="15"/>
          <w:color w:val="auto"/>
        </w:rPr>
        <w:t>If you tender Original Notes in the exchange offer you will not be required to pay brokerage commissions or fees or, subject to the instructions in the letter of transmittal, transfer taxes with respect to the exchange of Original Notes pursuant to the exchange offer. We will pay all charges and expenses, other than the applicable taxes described below, in connection with the exchange offer.</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 Date; Extensions; Amendments</w:t>
      </w:r>
    </w:p>
    <w:p>
      <w:pPr>
        <w:sectPr>
          <w:pgSz w:w="11900" w:h="16838" w:orient="portrait"/>
          <w:cols w:equalWidth="0" w:num="1">
            <w:col w:w="11340"/>
          </w:cols>
          <w:pgMar w:left="240" w:top="417" w:right="319" w:bottom="1440" w:gutter="0" w:footer="0" w:header="0"/>
        </w:sectPr>
      </w:pPr>
    </w:p>
    <w:p>
      <w:pPr>
        <w:spacing w:after="0" w:line="78" w:lineRule="exact"/>
        <w:rPr>
          <w:sz w:val="20"/>
          <w:szCs w:val="20"/>
          <w:color w:val="auto"/>
        </w:rPr>
      </w:pPr>
    </w:p>
    <w:p>
      <w:pPr>
        <w:jc w:val="both"/>
        <w:ind w:firstLine="457"/>
        <w:spacing w:after="0" w:line="373" w:lineRule="auto"/>
        <w:rPr>
          <w:sz w:val="20"/>
          <w:szCs w:val="20"/>
          <w:color w:val="auto"/>
        </w:rPr>
      </w:pPr>
      <w:r>
        <w:rPr>
          <w:rFonts w:ascii="Arial" w:cs="Arial" w:eastAsia="Arial" w:hAnsi="Arial"/>
          <w:sz w:val="13"/>
          <w:szCs w:val="13"/>
          <w:color w:val="auto"/>
        </w:rPr>
        <w:t>The term expiration date means 5:00 p.m., New York City time on date means the latest date and time to which we extend the exchange offer.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 2004, unless we, in our sole discretion, extend the exchange offer, in which case the term expiration</w:t>
      </w:r>
    </w:p>
    <w:p>
      <w:pPr>
        <w:spacing w:after="0" w:line="355" w:lineRule="exact"/>
        <w:rPr>
          <w:sz w:val="20"/>
          <w:szCs w:val="20"/>
          <w:color w:val="auto"/>
        </w:rPr>
      </w:pPr>
    </w:p>
    <w:p>
      <w:pPr>
        <w:sectPr>
          <w:pgSz w:w="11900" w:h="16838" w:orient="portrait"/>
          <w:cols w:equalWidth="0" w:num="2">
            <w:col w:w="4560" w:space="600"/>
            <w:col w:w="6180"/>
          </w:cols>
          <w:pgMar w:left="240" w:top="417" w:right="3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To extend the exchange offer, we will:</w:t>
      </w:r>
    </w:p>
    <w:p>
      <w:pPr>
        <w:spacing w:after="0" w:line="74" w:lineRule="exact"/>
        <w:rPr>
          <w:sz w:val="20"/>
          <w:szCs w:val="20"/>
          <w:color w:val="auto"/>
        </w:rPr>
      </w:pPr>
    </w:p>
    <w:p>
      <w:pPr>
        <w:ind w:left="780" w:hanging="340"/>
        <w:spacing w:after="0"/>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notify the exchange agent of any extension orally or in writing;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mail to each registered holder an announcement that will include disclosure of the approximate number of Original Notes deposited to date,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each before 9:00 a.m., New York City time, on the next business day after the previously scheduled expiration date.</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340"/>
          </w:cols>
          <w:pgMar w:left="240" w:top="417" w:right="31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reserve the right, in our reasonable discretion:</w:t>
      </w:r>
    </w:p>
    <w:p>
      <w:pPr>
        <w:spacing w:after="0" w:line="74" w:lineRule="exact"/>
        <w:rPr>
          <w:sz w:val="20"/>
          <w:szCs w:val="20"/>
          <w:color w:val="auto"/>
        </w:rPr>
      </w:pPr>
    </w:p>
    <w:p>
      <w:pPr>
        <w:ind w:left="780" w:hanging="340"/>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delay accepting any Original Notes;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extend the exchange offer; or</w:t>
      </w:r>
    </w:p>
    <w:p>
      <w:pPr>
        <w:spacing w:after="0" w:line="74" w:lineRule="exact"/>
        <w:rPr>
          <w:rFonts w:ascii="Arial" w:cs="Arial" w:eastAsia="Arial" w:hAnsi="Arial"/>
          <w:sz w:val="15"/>
          <w:szCs w:val="15"/>
          <w:color w:val="auto"/>
        </w:rPr>
      </w:pPr>
    </w:p>
    <w:p>
      <w:pPr>
        <w:ind w:left="780" w:right="40" w:hanging="340"/>
        <w:spacing w:after="0" w:line="291"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if any conditions listed below under “—Conditions” are not satisfied, to terminate the exchange offer by giving oral or written notice of the delay, extension or termination to the exchange agent.</w:t>
      </w:r>
    </w:p>
    <w:p>
      <w:pPr>
        <w:spacing w:after="0" w:line="87"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We will follow any delay in acceptance, extension or termination as promptly as practicable by oral or written notice to the registered holders. If we amend the exchange offer in a manner we determine constitutes a material change, we will promptly disclose the amendment in a prospectus supplement that we will distribute to the registered holders. We will also extend the exchange offer for a period of five to ten business days, depending upon the significance of the amendment and the manner of disclosure, if the exchange offer would otherwise expire during the five to ten business day period.</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on the Exchange Notes</w:t>
      </w:r>
    </w:p>
    <w:p>
      <w:pPr>
        <w:spacing w:after="0" w:line="78"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The Exchange Notes will bear interest at the same rate and on the same terms as the Original Notes. Consequently, the Exchange Notes will bear interest at a rate equal to 6.625% per annum (calculated using a 360-day year). Interest will be payable semi-annually on each May 15 and November 15.</w:t>
      </w:r>
    </w:p>
    <w:p>
      <w:pPr>
        <w:spacing w:after="0" w:line="87"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You will receive interest on the Exchange Notes on May 15, 2004 in an amount equal to the accrued interest on the Original Notes from October 8, 2003. We will deem the right to receive any interest on the Original Notes waived by you if we accept your Original Notes for exchange.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Procedures for Tendering</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may tender Original Notes in the exchange offer only if you are a registered holder of Original Notes. To tender in the exchange offer, you must:</w:t>
      </w:r>
    </w:p>
    <w:p>
      <w:pPr>
        <w:spacing w:after="0" w:line="74" w:lineRule="exact"/>
        <w:rPr>
          <w:sz w:val="20"/>
          <w:szCs w:val="20"/>
          <w:color w:val="auto"/>
        </w:rPr>
      </w:pPr>
    </w:p>
    <w:p>
      <w:pPr>
        <w:ind w:left="780" w:hanging="340"/>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complete, sign and date the letter of transmittal or a facsimile of the letter of transmittal;</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have the signatures guaranteed if required by the letter of transmittal; and</w:t>
      </w:r>
    </w:p>
    <w:p>
      <w:pPr>
        <w:spacing w:after="0" w:line="74" w:lineRule="exact"/>
        <w:rPr>
          <w:rFonts w:ascii="Arial" w:cs="Arial" w:eastAsia="Arial" w:hAnsi="Arial"/>
          <w:sz w:val="15"/>
          <w:szCs w:val="15"/>
          <w:color w:val="auto"/>
        </w:rPr>
      </w:pPr>
    </w:p>
    <w:p>
      <w:pPr>
        <w:ind w:left="780" w:right="620" w:hanging="340"/>
        <w:spacing w:after="0" w:line="291" w:lineRule="auto"/>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mail or otherwise deliver the letter of transmittal or the facsimile to the exchange agent at the address listed below under “—Exchange Agent” for receipt before the expiration date.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In addition, either:</w:t>
      </w:r>
    </w:p>
    <w:p>
      <w:pPr>
        <w:spacing w:after="0" w:line="74" w:lineRule="exact"/>
        <w:rPr>
          <w:sz w:val="20"/>
          <w:szCs w:val="20"/>
          <w:color w:val="auto"/>
        </w:rPr>
      </w:pPr>
    </w:p>
    <w:p>
      <w:pPr>
        <w:ind w:left="780" w:right="220" w:hanging="340"/>
        <w:spacing w:after="0" w:line="291"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exchange agent must receive certificates for the Original Notes along with the letter of transmittal into its account at the depositary pursuant to the procedure for book-entry transfer described below before the expiration date;</w:t>
      </w:r>
    </w:p>
    <w:p>
      <w:pPr>
        <w:spacing w:after="0" w:line="16" w:lineRule="exact"/>
        <w:rPr>
          <w:rFonts w:ascii="Arial" w:cs="Arial" w:eastAsia="Arial" w:hAnsi="Arial"/>
          <w:sz w:val="15"/>
          <w:szCs w:val="15"/>
          <w:color w:val="auto"/>
        </w:rPr>
      </w:pPr>
    </w:p>
    <w:p>
      <w:pPr>
        <w:ind w:left="780" w:right="80" w:hanging="340"/>
        <w:spacing w:after="0" w:line="291"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exchange agent must receive a timely confirmation of a book-entry transfer of the Original Notes, if the procedure is available, into its account at the depositary pursuant to the procedure for book-entry transfer described below before the expiration date; or</w:t>
      </w:r>
    </w:p>
    <w:p>
      <w:pPr>
        <w:spacing w:after="0" w:line="16" w:lineRule="exact"/>
        <w:rPr>
          <w:rFonts w:ascii="Arial" w:cs="Arial" w:eastAsia="Arial" w:hAnsi="Arial"/>
          <w:sz w:val="15"/>
          <w:szCs w:val="15"/>
          <w:color w:val="auto"/>
        </w:rPr>
      </w:pPr>
    </w:p>
    <w:p>
      <w:pPr>
        <w:ind w:left="780" w:hanging="340"/>
        <w:spacing w:after="0"/>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you must comply with the guaranteed delivery procedures described below.</w:t>
      </w:r>
    </w:p>
    <w:p>
      <w:pPr>
        <w:spacing w:after="0" w:line="145"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Your tender, if not withdrawn before the expiration date, will constitute an agreement between you and us in accordance with the terms and subject to the conditions described in this prospectus and in the letter of transmittal.</w:t>
      </w:r>
    </w:p>
    <w:p>
      <w:pPr>
        <w:spacing w:after="0" w:line="87" w:lineRule="exact"/>
        <w:rPr>
          <w:sz w:val="20"/>
          <w:szCs w:val="20"/>
          <w:color w:val="auto"/>
        </w:rPr>
      </w:pPr>
    </w:p>
    <w:p>
      <w:pPr>
        <w:ind w:right="360" w:firstLine="457"/>
        <w:spacing w:after="0" w:line="291" w:lineRule="auto"/>
        <w:rPr>
          <w:sz w:val="20"/>
          <w:szCs w:val="20"/>
          <w:color w:val="auto"/>
        </w:rPr>
      </w:pPr>
      <w:r>
        <w:rPr>
          <w:rFonts w:ascii="Arial" w:cs="Arial" w:eastAsia="Arial" w:hAnsi="Arial"/>
          <w:sz w:val="15"/>
          <w:szCs w:val="15"/>
          <w:color w:val="auto"/>
        </w:rPr>
        <w:t>The method of delivery of Original Notes and the letter of transmittal and all other required documents to the exchange agent is at your election and risk. We recommend that instead of delivery by mail, you use an overnight or hand delivery service, properly insured. In all cases, you should allow sufficient time to assure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417"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delivery to the exchange agent before the expiration date. You should not send letters of transmittal or Original Notes to us. You may request your respective brokers, dealers, commercial banks, trust companies or nominees to effect the transactions described above for you.</w:t>
      </w:r>
    </w:p>
    <w:p>
      <w:pPr>
        <w:spacing w:after="0" w:line="87"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If you are a beneficial owner of Original Notes whose Original Notes are registered in the name of a broker, dealer, commercial bank, trust company or other nominee and you wish to tender your Original Notes, you should contact the registered holder promptly and instruct the registered holder to tender on your behalf. If you wish to tender on your own behalf, before completing and executing the letter of transmittal and delivering the Original Notes you must either:</w:t>
      </w:r>
    </w:p>
    <w:p>
      <w:pPr>
        <w:spacing w:after="0" w:line="27" w:lineRule="exact"/>
        <w:rPr>
          <w:sz w:val="20"/>
          <w:szCs w:val="20"/>
          <w:color w:val="auto"/>
        </w:rPr>
      </w:pPr>
    </w:p>
    <w:p>
      <w:pPr>
        <w:ind w:left="780" w:hanging="340"/>
        <w:spacing w:after="0"/>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make appropriate arrangements to register ownership of the Original Notes in your name;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 a properly completed bond power from the registered holder.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of registered ownership may take considerable time. Unless the Original Notes are tendered:</w:t>
      </w:r>
    </w:p>
    <w:p>
      <w:pPr>
        <w:spacing w:after="0" w:line="74" w:lineRule="exact"/>
        <w:rPr>
          <w:sz w:val="20"/>
          <w:szCs w:val="20"/>
          <w:color w:val="auto"/>
        </w:rPr>
      </w:pPr>
    </w:p>
    <w:p>
      <w:pPr>
        <w:ind w:left="1340" w:right="320" w:hanging="442"/>
        <w:spacing w:after="0" w:line="291" w:lineRule="auto"/>
        <w:tabs>
          <w:tab w:leader="none" w:pos="13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by a registered holder who has not completed the box entitled “Special Issuance Instructions” or the box entitled “Special Delivery Instructions” on the letter of transmittal; or</w:t>
      </w:r>
    </w:p>
    <w:p>
      <w:pPr>
        <w:spacing w:after="0" w:line="16" w:lineRule="exact"/>
        <w:rPr>
          <w:rFonts w:ascii="Arial" w:cs="Arial" w:eastAsia="Arial" w:hAnsi="Arial"/>
          <w:sz w:val="15"/>
          <w:szCs w:val="15"/>
          <w:color w:val="auto"/>
        </w:rPr>
      </w:pPr>
    </w:p>
    <w:p>
      <w:pPr>
        <w:ind w:left="1340" w:hanging="442"/>
        <w:spacing w:after="0"/>
        <w:tabs>
          <w:tab w:leader="none" w:pos="13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 the account of:</w:t>
      </w:r>
    </w:p>
    <w:p>
      <w:pPr>
        <w:spacing w:after="0" w:line="74" w:lineRule="exact"/>
        <w:rPr>
          <w:rFonts w:ascii="Arial" w:cs="Arial" w:eastAsia="Arial" w:hAnsi="Arial"/>
          <w:sz w:val="15"/>
          <w:szCs w:val="15"/>
          <w:color w:val="auto"/>
        </w:rPr>
      </w:pPr>
    </w:p>
    <w:p>
      <w:pPr>
        <w:ind w:left="1820" w:hanging="346"/>
        <w:spacing w:after="0"/>
        <w:tabs>
          <w:tab w:leader="none" w:pos="18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 member firm of a registered national securities exchange or of the National Association of Securities Dealers, Inc.;</w:t>
      </w:r>
    </w:p>
    <w:p>
      <w:pPr>
        <w:spacing w:after="0" w:line="74" w:lineRule="exact"/>
        <w:rPr>
          <w:rFonts w:ascii="Arial" w:cs="Arial" w:eastAsia="Arial" w:hAnsi="Arial"/>
          <w:sz w:val="15"/>
          <w:szCs w:val="15"/>
          <w:color w:val="auto"/>
        </w:rPr>
      </w:pPr>
    </w:p>
    <w:p>
      <w:pPr>
        <w:ind w:left="1820" w:hanging="346"/>
        <w:spacing w:after="0"/>
        <w:tabs>
          <w:tab w:leader="none" w:pos="18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 commercial bank or trust company having an office or correspondent in the United States; or</w:t>
      </w:r>
    </w:p>
    <w:p>
      <w:pPr>
        <w:spacing w:after="0" w:line="74" w:lineRule="exact"/>
        <w:rPr>
          <w:rFonts w:ascii="Arial" w:cs="Arial" w:eastAsia="Arial" w:hAnsi="Arial"/>
          <w:sz w:val="15"/>
          <w:szCs w:val="15"/>
          <w:color w:val="auto"/>
        </w:rPr>
      </w:pPr>
    </w:p>
    <w:p>
      <w:pPr>
        <w:ind w:left="1820" w:right="580" w:hanging="346"/>
        <w:spacing w:after="0" w:line="291" w:lineRule="auto"/>
        <w:tabs>
          <w:tab w:leader="none" w:pos="18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an “eligible guarantor institution” within the meaning of Rule 17Ad-15 under the Exchange Act that is a member of one of the recognized signature guarantee programs identified in the letter of transmittal,</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an eligible guarantor institution must guarantee the signatures on a letter of transmittal or a notice of withdrawal described below under “—Withdrawal of Tenders.”</w:t>
      </w:r>
    </w:p>
    <w:p>
      <w:pPr>
        <w:spacing w:after="0" w:line="145"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5"/>
          <w:szCs w:val="15"/>
          <w:color w:val="auto"/>
        </w:rPr>
        <w:t>If the letter of transmittal is signed by a person other than the registered holder, the Original Notes must be endorsed or accompanied by a properly completed bond power, signed by the registered holder as the registered holder’s name appears on the Original Notes. If the letter of transmittal or any Original Notes or bond powers are signed by trustees, executors, administrators, guardians, attorneys-in-fact, officers of corporations or others acting in a fiduciary or representative capacity, they should so indicate when signing, and unless waived by us, they must submit evidence satisfactory to us of their authority to so act with the letter of transmittal.</w:t>
      </w:r>
    </w:p>
    <w:p>
      <w:pPr>
        <w:spacing w:after="0" w:line="102"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The exchange agent and the depositary have confirmed that any financial institution that is a participant in the depositary’s system may utilize the depositary’s Automated Tender Offer Program to tender notes.</w:t>
      </w:r>
    </w:p>
    <w:p>
      <w:pPr>
        <w:spacing w:after="0" w:line="87" w:lineRule="exact"/>
        <w:rPr>
          <w:sz w:val="20"/>
          <w:szCs w:val="20"/>
          <w:color w:val="auto"/>
        </w:rPr>
      </w:pPr>
    </w:p>
    <w:p>
      <w:pPr>
        <w:ind w:right="40" w:firstLine="457"/>
        <w:spacing w:after="0" w:line="266" w:lineRule="auto"/>
        <w:rPr>
          <w:sz w:val="20"/>
          <w:szCs w:val="20"/>
          <w:color w:val="auto"/>
        </w:rPr>
      </w:pPr>
      <w:r>
        <w:rPr>
          <w:rFonts w:ascii="Arial" w:cs="Arial" w:eastAsia="Arial" w:hAnsi="Arial"/>
          <w:sz w:val="15"/>
          <w:szCs w:val="15"/>
          <w:color w:val="auto"/>
        </w:rPr>
        <w:t>We will determine in our sole discretion all questions as to the validity, form, eligibility, including time of receipt, acceptance and withdrawal of tendered Original Notes, which determination will be final and binding. We reserve the absolute right to reject any and all Original Notes not properly tendered or any Original Notes our acceptance of which would, in the opinion of our counsel, be unlawful. We also reserve the right to waive any defects, irregularities or conditions of tender as to particular Original Notes. Our interpretation of the terms and conditions of the exchange offer, including the instructions in the letter of transmittal, will be final and binding on all parties. Unless waived, you must cure any defects or irregularities in connection with tenders of Original Notes within the time we determine. Although we intend to notify you of defects or irregularities with respect to tenders of Original Notes, neither we, the exchange agent nor any other person will incur any liability for failure to give you that notification. Unless waived, we will not deem tenders of Original Notes to have been made until you cure the defects or irregularities.</w:t>
      </w:r>
    </w:p>
    <w:p>
      <w:pPr>
        <w:spacing w:after="0" w:line="107"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While we have no present plan to acquire any Original Notes that are not tendered in the exchange offer or to file a registration statement to permit resales of any Original Notes that are not tendered in the exchange offer,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417"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we reserve the right in our sole discretion to purchase or make offers for any Original Notes that remain outstanding after the expiration date. We also reserve the right to terminate the exchange offer, as described below under “—Conditions,” and, to the extent permitted by applicable law, purchase Original Notes in the open market, in privately negotiated transactions or otherwise. The terms of any of those purchases or offers could differ from the terms of the exchange offer.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wish to tender Original Notes in exchange for Exchange Notes in the exchange offer, we will require you to represent that:</w:t>
      </w:r>
    </w:p>
    <w:p>
      <w:pPr>
        <w:spacing w:after="0" w:line="74" w:lineRule="exact"/>
        <w:rPr>
          <w:sz w:val="20"/>
          <w:szCs w:val="20"/>
          <w:color w:val="auto"/>
        </w:rPr>
      </w:pPr>
    </w:p>
    <w:p>
      <w:pPr>
        <w:ind w:left="780" w:hanging="340"/>
        <w:spacing w:after="0"/>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you are not an affiliate of ours;</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you will acquire any Exchange Notes in the ordinary course of your business;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at the time of completion of the exchange offer, you have no arrangement with any person to participate in the distribution of the Exchange Notes.</w:t>
      </w:r>
    </w:p>
    <w:p>
      <w:pPr>
        <w:spacing w:after="0" w:line="145" w:lineRule="exact"/>
        <w:rPr>
          <w:sz w:val="20"/>
          <w:szCs w:val="20"/>
          <w:color w:val="auto"/>
        </w:rPr>
      </w:pPr>
    </w:p>
    <w:p>
      <w:pPr>
        <w:jc w:val="both"/>
        <w:ind w:right="200"/>
        <w:spacing w:after="0" w:line="304" w:lineRule="auto"/>
        <w:rPr>
          <w:sz w:val="20"/>
          <w:szCs w:val="20"/>
          <w:color w:val="auto"/>
        </w:rPr>
      </w:pPr>
      <w:r>
        <w:rPr>
          <w:rFonts w:ascii="Arial" w:cs="Arial" w:eastAsia="Arial" w:hAnsi="Arial"/>
          <w:sz w:val="14"/>
          <w:szCs w:val="14"/>
          <w:color w:val="auto"/>
        </w:rPr>
        <w:t>In addition, in connection with the resale of Exchange Notes, any participating broker-dealer who acquired the Original Notes for its own account as a result of market-making or other trading activities must deliver a prospectus meeting the requirements of the Securities Act. The SEC has taken the position that participating broker-dealers may fulfill their prospectus delivery requirements with respect to the Exchange Notes, other than a resale of an unsold allotment from the original sale of the Original Notes, with this prospectus.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Return of Notes</w:t>
      </w:r>
    </w:p>
    <w:p>
      <w:pPr>
        <w:spacing w:after="0" w:line="78"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If we do not accept any tendered Original Notes for any reason described in the terms and conditions of the exchange offer or if you withdraw or submit Original Notes for a greater principal amount than you desire to exchange, we will return the unaccepted, withdrawn or non-exchanged Notes without expense to you as promptly as practicable. In the case of Original Notes tendered by book-entry transfer into the exchange agent’s account at the depositary pursuant to the book-entry transfer procedures described below, we will credit the Original Notes to an account maintained with the depositary as promptly as practicable.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Book-Entry Transfer</w:t>
      </w:r>
    </w:p>
    <w:p>
      <w:pPr>
        <w:spacing w:after="0" w:line="78"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The exchange agent will make a request to establish an account with respect to the Original Notes at the depositary for purposes of the exchange offer, and any financial institution that is a participant in the depositary’s systems may make book-entry delivery of Original Notes by causing the depositary to transfer the Original Notes into the exchange agent’s account at the depositary in accordance with the depositary’s procedures for transfer. However, although delivery of Original Notes may be effected through book-entry transfer at the depositary, you must transmit and the exchange agent must receive, the letter of transmittal or a facsimile of the letter of transmittal, with any required signature guarantees and any other required documents, at the address below under “—Exchange Agent” on or before the expiration date or pursuant to the guaranteed delivery procedures described below.</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Guaranteed Delivery Procedures</w:t>
      </w:r>
    </w:p>
    <w:p>
      <w:pPr>
        <w:spacing w:after="0" w:line="78"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If you wish to tender your Original Notes and (1) the Original Notes are not immediately available or (2) you cannot deliver the Original Notes, the letter of transmittal or any other required documents to the exchange agent before the expiration date, you may effect a tender if:</w:t>
      </w:r>
    </w:p>
    <w:p>
      <w:pPr>
        <w:spacing w:after="0" w:line="16"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tender is made through an eligible guarantor institution;</w:t>
      </w:r>
    </w:p>
    <w:p>
      <w:pPr>
        <w:spacing w:after="0" w:line="74" w:lineRule="exact"/>
        <w:rPr>
          <w:rFonts w:ascii="Arial" w:cs="Arial" w:eastAsia="Arial" w:hAnsi="Arial"/>
          <w:sz w:val="15"/>
          <w:szCs w:val="15"/>
          <w:color w:val="auto"/>
        </w:rPr>
      </w:pPr>
    </w:p>
    <w:p>
      <w:pPr>
        <w:ind w:left="880" w:right="500" w:hanging="440"/>
        <w:spacing w:after="0" w:line="291" w:lineRule="auto"/>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before the expiration date, the exchange agent receives from the eligible guarantor institution a properly completed and duly executed notice of guaranteed delivery, substantially in the form provided by us, that:</w:t>
      </w:r>
    </w:p>
    <w:p>
      <w:pPr>
        <w:spacing w:after="0" w:line="16" w:lineRule="exact"/>
        <w:rPr>
          <w:rFonts w:ascii="Arial" w:cs="Arial" w:eastAsia="Arial" w:hAnsi="Arial"/>
          <w:sz w:val="15"/>
          <w:szCs w:val="15"/>
          <w:color w:val="auto"/>
        </w:rPr>
      </w:pPr>
    </w:p>
    <w:p>
      <w:pPr>
        <w:ind w:left="1820" w:hanging="346"/>
        <w:spacing w:after="0"/>
        <w:tabs>
          <w:tab w:leader="none" w:pos="18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states your name and address, the certificate number(s) of the Original Notes and the principal amount of Original Notes tendered,</w:t>
      </w:r>
    </w:p>
    <w:p>
      <w:pPr>
        <w:spacing w:after="0" w:line="74" w:lineRule="exact"/>
        <w:rPr>
          <w:rFonts w:ascii="Arial" w:cs="Arial" w:eastAsia="Arial" w:hAnsi="Arial"/>
          <w:sz w:val="15"/>
          <w:szCs w:val="15"/>
          <w:color w:val="auto"/>
        </w:rPr>
      </w:pPr>
    </w:p>
    <w:p>
      <w:pPr>
        <w:ind w:left="1820" w:hanging="346"/>
        <w:spacing w:after="0"/>
        <w:tabs>
          <w:tab w:leader="none" w:pos="18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states that the tender is being made by that notice of guaranteed delivery, and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00"/>
          </w:cols>
          <w:pgMar w:left="240" w:top="417" w:right="2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1820" w:right="320" w:hanging="346"/>
        <w:spacing w:after="0" w:line="276" w:lineRule="auto"/>
        <w:tabs>
          <w:tab w:leader="none" w:pos="18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guarantees that, within three New York Stock Exchange trading days after the expiration date, the eligible guarantor institution will deposit with the exchange agent the letter of transmittal, together with the certificate(s) representing the Original Notes in proper form for transfer or a confirmation of a book-entry transfer, as the case may be, and any other documents required by the letter of transmittal; and</w:t>
      </w:r>
    </w:p>
    <w:p>
      <w:pPr>
        <w:spacing w:after="0" w:line="27" w:lineRule="exact"/>
        <w:rPr>
          <w:rFonts w:ascii="Arial" w:cs="Arial" w:eastAsia="Arial" w:hAnsi="Arial"/>
          <w:sz w:val="15"/>
          <w:szCs w:val="15"/>
          <w:color w:val="auto"/>
        </w:rPr>
      </w:pPr>
    </w:p>
    <w:p>
      <w:pPr>
        <w:ind w:left="880" w:right="760" w:hanging="440"/>
        <w:spacing w:after="0" w:line="329" w:lineRule="auto"/>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within five New York Stock Exchange trading days after the expiration date, the exchange agent receives a properly executed letter of transmittal, as well as the certificate(s) representing all tendered Original Notes in proper form for transfer and all other documents required by the letter of transmittal.</w:t>
      </w:r>
    </w:p>
    <w:p>
      <w:pPr>
        <w:spacing w:after="0" w:line="64"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color w:val="auto"/>
        </w:rPr>
        <w:t>Upon request, the exchange agent will send to you a notice of guaranteed delivery if you wish to tender your Original Notes according to the guaranteed delivery procedures described above.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Withdrawal of Tenders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Except as otherwise provided in this prospectus, you may withdraw tenders of Original Notes at any time before 5:00 p.m., New York City time, on the expiration date.</w:t>
      </w:r>
    </w:p>
    <w:p>
      <w:pPr>
        <w:spacing w:after="0" w:line="156"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To withdraw a tender of Original Notes in the exchange offer, the exchange agent must receive a written or facsimile transmission notice of withdrawal at its address listed in this prospectus before the expiration date. Any notice of withdrawal must:</w:t>
      </w:r>
    </w:p>
    <w:p>
      <w:pPr>
        <w:spacing w:after="0" w:line="16" w:lineRule="exact"/>
        <w:rPr>
          <w:sz w:val="20"/>
          <w:szCs w:val="20"/>
          <w:color w:val="auto"/>
        </w:rPr>
      </w:pPr>
    </w:p>
    <w:p>
      <w:pPr>
        <w:ind w:left="780" w:hanging="340"/>
        <w:spacing w:after="0"/>
        <w:tabs>
          <w:tab w:leader="none" w:pos="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specify the name of the person who deposited the Original Notes to be withdrawn;</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identify the Original Notes to be withdrawn, including the certificate number(s) and principal amount of the Original Notes;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 signed in the same manner as the original signature on the letter of transmittal by which the Original Notes were tendered, including any required signature guarantees.</w:t>
      </w:r>
    </w:p>
    <w:p>
      <w:pPr>
        <w:spacing w:after="0" w:line="156"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5"/>
          <w:szCs w:val="15"/>
          <w:color w:val="auto"/>
        </w:rPr>
        <w:t>We will determine in our sole discretion all questions as to the validity, form and eligibility of the notices, and our determination will be final and binding on all parties. We will not deem any properly withdrawn Original Notes to have been validly tendered for purposes of the exchange offer, and we will not issue Exchange Notes with respect to those Original Notes, unless you validly retender the withdrawn Original Notes. You may retender properly withdrawn Original Notes by following one of the procedures described above under “— Procedures for Tendering” at any time before the expiration date.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Conditions</w:t>
      </w:r>
    </w:p>
    <w:p>
      <w:pPr>
        <w:spacing w:after="0" w:line="78"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Notwithstanding any other term of the exchange offer, we will not be required to accept for exchange, or exchange the Exchange Notes for, any Original Notes, and may terminate the exchange offer as provided in this prospectus before the acceptance of the Original Notes, if, in our reasonable judgment, the exchange offer violates applicable law, rules or regulations or an applicable interpretation of the staff of the SEC.</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we determine in our reasonable discretion that any of these conditions are not satisfied, we may:</w:t>
      </w:r>
    </w:p>
    <w:p>
      <w:pPr>
        <w:spacing w:after="0" w:line="74" w:lineRule="exact"/>
        <w:rPr>
          <w:sz w:val="20"/>
          <w:szCs w:val="20"/>
          <w:color w:val="auto"/>
        </w:rPr>
      </w:pPr>
    </w:p>
    <w:p>
      <w:pPr>
        <w:ind w:left="780" w:hanging="340"/>
        <w:spacing w:after="0"/>
        <w:tabs>
          <w:tab w:leader="none" w:pos="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refuse to accept any Original Notes and return all tendered Original Notes to you;</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extend the exchange offer and retain all Original Notes tendered before the exchange offer expires, subject, however, to your rights to withdraw the Original Notes; or</w:t>
      </w:r>
    </w:p>
    <w:p>
      <w:pPr>
        <w:spacing w:after="0" w:line="85" w:lineRule="exact"/>
        <w:rPr>
          <w:rFonts w:ascii="Arial" w:cs="Arial" w:eastAsia="Arial" w:hAnsi="Arial"/>
          <w:sz w:val="14"/>
          <w:szCs w:val="14"/>
          <w:color w:val="auto"/>
        </w:rPr>
      </w:pPr>
    </w:p>
    <w:p>
      <w:pPr>
        <w:ind w:left="780" w:hanging="340"/>
        <w:spacing w:after="0"/>
        <w:tabs>
          <w:tab w:leader="none" w:pos="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waive the unsatisfied conditions with respect to the exchange offer and accept all properly tendered Original Notes that have not been withdrawn.</w:t>
      </w:r>
    </w:p>
    <w:p>
      <w:pPr>
        <w:spacing w:after="0" w:line="145"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If the waiver constitutes a material change to the exchange offer, we will promptly disclose the waiver by means of a prospectus supplement that we will distribute to the registered holders of the Original Notes, and we will extend the exchange offer for a period of five to ten business days, depending upon the significance of the waiver and the manner of disclosure to the registered holders, if the exchange offer would otherwise expire during the five to ten business day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417"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Rights</w:t>
      </w:r>
    </w:p>
    <w:p>
      <w:pPr>
        <w:spacing w:after="0" w:line="78"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If you are a holder of Original Notes, all of your rights under the registration rights agreement will terminate upon consummation of the exchange offer except with respect to our continuing obligations:</w:t>
      </w:r>
    </w:p>
    <w:p>
      <w:pPr>
        <w:spacing w:after="0" w:line="16" w:lineRule="exact"/>
        <w:rPr>
          <w:sz w:val="20"/>
          <w:szCs w:val="20"/>
          <w:color w:val="auto"/>
        </w:rPr>
      </w:pPr>
    </w:p>
    <w:p>
      <w:pPr>
        <w:ind w:left="780" w:hanging="340"/>
        <w:spacing w:after="0"/>
        <w:tabs>
          <w:tab w:leader="none" w:pos="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indemnify you and parties related to you against liabilities, including liabilities under the Securities Act;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provide, upon your request, the information required by Rule 144A(d)(4) under the Securities Act to permit resales of the notes pursuant to Rule 144A.</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Shelf Registration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event that:</w:t>
      </w:r>
    </w:p>
    <w:p>
      <w:pPr>
        <w:spacing w:after="0" w:line="74" w:lineRule="exact"/>
        <w:rPr>
          <w:sz w:val="20"/>
          <w:szCs w:val="20"/>
          <w:color w:val="auto"/>
        </w:rPr>
      </w:pPr>
    </w:p>
    <w:p>
      <w:pPr>
        <w:ind w:left="780" w:hanging="340"/>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applicable interpretations of the staff of the SEC do not permit us to effect such a registered exchange offer;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any other reason the registration statement with respect to this exchange offer is not declared effective by May 5, 2004;</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initial purchasers so request with respect to Original Notes not eligible to be exchanged for Exchange Notes in a registered exchange offer; or</w:t>
      </w:r>
    </w:p>
    <w:p>
      <w:pPr>
        <w:spacing w:after="0" w:line="74" w:lineRule="exact"/>
        <w:rPr>
          <w:rFonts w:ascii="Arial" w:cs="Arial" w:eastAsia="Arial" w:hAnsi="Arial"/>
          <w:sz w:val="15"/>
          <w:szCs w:val="15"/>
          <w:color w:val="auto"/>
        </w:rPr>
      </w:pPr>
    </w:p>
    <w:p>
      <w:pPr>
        <w:ind w:left="780" w:right="40" w:hanging="340"/>
        <w:spacing w:after="0" w:line="271" w:lineRule="auto"/>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holder of Original Notes (other than the initial purchasers) is not eligible to participate in a registered exchange offer or does not receive freely tradeable Exchange Notes in a registered exchange offer other than by reason of such holder being an affiliate of us (it being understood that the requirement that a participating broker-dealer deliver the prospectus contained in the exchange offer registration statement in connection with sales of Exchange Notes shall not result in such Exchange Notes being not “freely tradeable”), we and the subsidiary guarantors will, at our cost:</w:t>
      </w:r>
    </w:p>
    <w:p>
      <w:pPr>
        <w:spacing w:after="0" w:line="31" w:lineRule="exact"/>
        <w:rPr>
          <w:rFonts w:ascii="Arial" w:cs="Arial" w:eastAsia="Arial" w:hAnsi="Arial"/>
          <w:sz w:val="15"/>
          <w:szCs w:val="15"/>
          <w:color w:val="auto"/>
        </w:rPr>
      </w:pPr>
    </w:p>
    <w:p>
      <w:pPr>
        <w:ind w:left="980" w:right="4360" w:hanging="199"/>
        <w:spacing w:after="0" w:line="291" w:lineRule="auto"/>
        <w:tabs>
          <w:tab w:leader="none" w:pos="997" w:val="left"/>
        </w:tabs>
        <w:numPr>
          <w:ilvl w:val="1"/>
          <w:numId w:val="34"/>
        </w:numPr>
        <w:rPr>
          <w:rFonts w:ascii="Arial" w:cs="Arial" w:eastAsia="Arial" w:hAnsi="Arial"/>
          <w:sz w:val="15"/>
          <w:szCs w:val="15"/>
          <w:color w:val="auto"/>
        </w:rPr>
      </w:pPr>
      <w:r>
        <w:rPr>
          <w:rFonts w:ascii="Arial" w:cs="Arial" w:eastAsia="Arial" w:hAnsi="Arial"/>
          <w:sz w:val="15"/>
          <w:szCs w:val="15"/>
          <w:color w:val="auto"/>
        </w:rPr>
        <w:t>as promptly as practicable, file a registration statement (the “shelf registration statement”) covering resales of the Original Notes or the Exchange Notes, as the case may be,</w:t>
      </w:r>
    </w:p>
    <w:p>
      <w:pPr>
        <w:spacing w:after="0" w:line="16" w:lineRule="exact"/>
        <w:rPr>
          <w:rFonts w:ascii="Arial" w:cs="Arial" w:eastAsia="Arial" w:hAnsi="Arial"/>
          <w:sz w:val="15"/>
          <w:szCs w:val="15"/>
          <w:color w:val="auto"/>
        </w:rPr>
      </w:pPr>
    </w:p>
    <w:p>
      <w:pPr>
        <w:ind w:left="1000" w:hanging="219"/>
        <w:spacing w:after="0"/>
        <w:tabs>
          <w:tab w:leader="none" w:pos="10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cause such shelf registration statement to be declared effective under the Securities Act, and</w:t>
      </w:r>
    </w:p>
    <w:p>
      <w:pPr>
        <w:spacing w:after="0" w:line="74" w:lineRule="exact"/>
        <w:rPr>
          <w:rFonts w:ascii="Arial" w:cs="Arial" w:eastAsia="Arial" w:hAnsi="Arial"/>
          <w:sz w:val="15"/>
          <w:szCs w:val="15"/>
          <w:color w:val="auto"/>
        </w:rPr>
      </w:pPr>
    </w:p>
    <w:p>
      <w:pPr>
        <w:ind w:left="980" w:right="4340" w:hanging="199"/>
        <w:spacing w:after="0" w:line="291" w:lineRule="auto"/>
        <w:tabs>
          <w:tab w:leader="none" w:pos="997" w:val="left"/>
        </w:tabs>
        <w:numPr>
          <w:ilvl w:val="1"/>
          <w:numId w:val="34"/>
        </w:numPr>
        <w:rPr>
          <w:rFonts w:ascii="Arial" w:cs="Arial" w:eastAsia="Arial" w:hAnsi="Arial"/>
          <w:sz w:val="15"/>
          <w:szCs w:val="15"/>
          <w:color w:val="auto"/>
        </w:rPr>
      </w:pPr>
      <w:r>
        <w:rPr>
          <w:rFonts w:ascii="Arial" w:cs="Arial" w:eastAsia="Arial" w:hAnsi="Arial"/>
          <w:sz w:val="15"/>
          <w:szCs w:val="15"/>
          <w:color w:val="auto"/>
        </w:rPr>
        <w:t>use our commercially reasonable efforts to keep such shelf registration statement effective until two years after its effective date.</w:t>
      </w:r>
    </w:p>
    <w:p>
      <w:pPr>
        <w:spacing w:after="0" w:line="87"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We and the subsidiary guarantors will, in the event a shelf registration statement is filed, among other things, provide to each holder for whom such shelf registration statement was filed copies of the prospectus which is a part of the shelf registration statement, notify each such holder when the shelf registration statement has become effective and take certain other actions as are required to permit unrestricted resales of the Original Notes or the Exchange Notes, as the case may be. A holder selling such Original Notes or Exchange Notes pursuant to a shelf registration statement generally would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 which are applicable to such holder (including certain indemnification obligations).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Interest on Original Notes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w:t>
      </w:r>
    </w:p>
    <w:p>
      <w:pPr>
        <w:spacing w:after="0" w:line="74" w:lineRule="exact"/>
        <w:rPr>
          <w:sz w:val="20"/>
          <w:szCs w:val="20"/>
          <w:color w:val="auto"/>
        </w:rPr>
      </w:pPr>
    </w:p>
    <w:p>
      <w:pPr>
        <w:ind w:left="1100" w:hanging="209"/>
        <w:spacing w:after="0"/>
        <w:tabs>
          <w:tab w:leader="none" w:pos="11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on or prior to January 6, 2004, neither an exchange offer registration statement nor a shelf registration statement has been filed with the SEC;</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on or prior to May 5, 2004, neither an exchange offer registration statement nor a shelf registration statement has been declared effective;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20"/>
          </w:cols>
          <w:pgMar w:left="240" w:top="417"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1100" w:hanging="209"/>
        <w:spacing w:after="0"/>
        <w:tabs>
          <w:tab w:leader="none" w:pos="11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or prior to the 30th business day after an exchange offer registration statement is declared effective, such registered exchange offer has not been consummated;</w:t>
      </w:r>
    </w:p>
    <w:p>
      <w:pPr>
        <w:spacing w:after="0" w:line="85" w:lineRule="exact"/>
        <w:rPr>
          <w:rFonts w:ascii="Arial" w:cs="Arial" w:eastAsia="Arial" w:hAnsi="Arial"/>
          <w:sz w:val="14"/>
          <w:szCs w:val="14"/>
          <w:color w:val="auto"/>
        </w:rPr>
      </w:pPr>
    </w:p>
    <w:p>
      <w:pPr>
        <w:ind w:left="460" w:firstLine="431"/>
        <w:spacing w:after="0" w:line="348" w:lineRule="auto"/>
        <w:tabs>
          <w:tab w:leader="none" w:pos="1115" w:val="left"/>
        </w:tabs>
        <w:numPr>
          <w:ilvl w:val="0"/>
          <w:numId w:val="36"/>
        </w:numPr>
        <w:rPr>
          <w:rFonts w:ascii="Arial" w:cs="Arial" w:eastAsia="Arial" w:hAnsi="Arial"/>
          <w:sz w:val="13"/>
          <w:szCs w:val="13"/>
          <w:color w:val="auto"/>
        </w:rPr>
      </w:pPr>
      <w:r>
        <w:rPr>
          <w:rFonts w:ascii="Arial" w:cs="Arial" w:eastAsia="Arial" w:hAnsi="Arial"/>
          <w:sz w:val="13"/>
          <w:szCs w:val="13"/>
          <w:color w:val="auto"/>
        </w:rPr>
        <w:t>notwithstanding that we and the subsidiary guarantors have consummated the exchange offer, if we and the subsidiary guarantors are required to file a shelf registration statement, and such shelf registration statement is not filed or has not been declared effective within the time period provided for in the registration rights agreement; or</w:t>
      </w:r>
    </w:p>
    <w:p>
      <w:pPr>
        <w:spacing w:after="0" w:line="1" w:lineRule="exact"/>
        <w:rPr>
          <w:rFonts w:ascii="Arial" w:cs="Arial" w:eastAsia="Arial" w:hAnsi="Arial"/>
          <w:sz w:val="13"/>
          <w:szCs w:val="13"/>
          <w:color w:val="auto"/>
        </w:rPr>
      </w:pPr>
    </w:p>
    <w:p>
      <w:pPr>
        <w:jc w:val="both"/>
        <w:ind w:left="460" w:right="340" w:firstLine="431"/>
        <w:spacing w:after="0" w:line="276" w:lineRule="auto"/>
        <w:tabs>
          <w:tab w:leader="none" w:pos="110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after either an exchange offer registration statement or a shelf registration statement has been declared effective, such registration statement thereafter ceases to be effective or usable (subject to certain exceptions) in connection with resales of Original Notes or Exchange Notes in accordance with and during the periods specified in the registration rights agreement</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(each such event referred to in clauses (a) through (e), a “registration default”), additional interest will accrue on the principal amount of the Original Notes and the Exchange Notes (in addition to the stated interest on the Notes) from and including the date on which any such registration default shall occur to but excluding the date on which all registration defaults have been cured. Additional interest will accrue at a rate of 0.25% per annum during the 90-day period immediately following the occurrence of such registration default and shall increase by 0.25% per annum at the end of each subsequent 90-day period, but in no event shall such rate exceed 1.00% per annum.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agree to pay any amount of additional interest due in cash on the same interest payment dates as the Notes.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Agent</w:t>
      </w:r>
    </w:p>
    <w:p>
      <w:pPr>
        <w:spacing w:after="0" w:line="78" w:lineRule="exact"/>
        <w:rPr>
          <w:sz w:val="20"/>
          <w:szCs w:val="20"/>
          <w:color w:val="auto"/>
        </w:rPr>
      </w:pPr>
    </w:p>
    <w:p>
      <w:pPr>
        <w:jc w:val="both"/>
        <w:ind w:right="440" w:firstLine="457"/>
        <w:spacing w:after="0" w:line="373" w:lineRule="auto"/>
        <w:rPr>
          <w:sz w:val="20"/>
          <w:szCs w:val="20"/>
          <w:color w:val="auto"/>
        </w:rPr>
      </w:pPr>
      <w:r>
        <w:rPr>
          <w:rFonts w:ascii="Arial" w:cs="Arial" w:eastAsia="Arial" w:hAnsi="Arial"/>
          <w:sz w:val="13"/>
          <w:szCs w:val="13"/>
          <w:color w:val="auto"/>
        </w:rPr>
        <w:t>We have appointed U.S. Bank National Association, the trustee under the indenture, as exchange agent for the exchange offer. You should direct questions and requests for assistance, requests for additional copies of this prospectus or the letter of transmittal and requests for a notice of guaranteed delivery to the exchange agent addressed as follows:</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By registered or certified mail, by hand and overnight delivery:</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U.S. Bank National Association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U.S. Bank West Side Flats Operations Center</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60 Livingston Ave.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St. Paul, MN 55107</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Attn: Specialized Finance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Reference: The Scotts Company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By facsimile:</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(Eligible institutions only)</w:t>
      </w:r>
    </w:p>
    <w:p>
      <w:pPr>
        <w:spacing w:after="0" w:line="15" w:lineRule="exact"/>
        <w:rPr>
          <w:sz w:val="20"/>
          <w:szCs w:val="20"/>
          <w:color w:val="auto"/>
        </w:rPr>
      </w:pPr>
    </w:p>
    <w:p>
      <w:pPr>
        <w:ind w:left="5600" w:hanging="363"/>
        <w:spacing w:after="0"/>
        <w:tabs>
          <w:tab w:leader="none" w:pos="5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495-8158</w:t>
      </w:r>
    </w:p>
    <w:p>
      <w:pPr>
        <w:spacing w:after="0" w:line="15" w:lineRule="exact"/>
        <w:rPr>
          <w:rFonts w:ascii="Arial" w:cs="Arial" w:eastAsia="Arial" w:hAnsi="Arial"/>
          <w:sz w:val="15"/>
          <w:szCs w:val="15"/>
          <w:color w:val="auto"/>
        </w:rPr>
      </w:pPr>
    </w:p>
    <w:p>
      <w:pPr>
        <w:ind w:left="4720"/>
        <w:spacing w:after="0"/>
        <w:rPr>
          <w:rFonts w:ascii="Arial" w:cs="Arial" w:eastAsia="Arial" w:hAnsi="Arial"/>
          <w:sz w:val="15"/>
          <w:szCs w:val="15"/>
          <w:color w:val="auto"/>
        </w:rPr>
      </w:pPr>
      <w:r>
        <w:rPr>
          <w:rFonts w:ascii="Arial" w:cs="Arial" w:eastAsia="Arial" w:hAnsi="Arial"/>
          <w:sz w:val="15"/>
          <w:szCs w:val="15"/>
          <w:color w:val="auto"/>
        </w:rPr>
        <w:t>Reference: The Scotts Company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For information or</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confirmation by telephone: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Specialized Finance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(800) 934-6802</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Delivery to an address other than the one stated above or transmission via a facsimile number other than the one stated above will not constitute a valid delivery.</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340"/>
          </w:cols>
          <w:pgMar w:left="240" w:top="417" w:right="31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and Expenses</w:t>
      </w:r>
    </w:p>
    <w:p>
      <w:pPr>
        <w:spacing w:after="0" w:line="78"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will bear the expenses of soliciting tenders. We are making the principal solicitation by mail; however, our officers and regular employees may make additional solicitations by facsimile, telephone or in person.</w:t>
      </w:r>
    </w:p>
    <w:p>
      <w:pPr>
        <w:spacing w:after="0" w:line="87" w:lineRule="exact"/>
        <w:rPr>
          <w:sz w:val="20"/>
          <w:szCs w:val="20"/>
          <w:color w:val="auto"/>
        </w:rPr>
      </w:pPr>
    </w:p>
    <w:p>
      <w:pPr>
        <w:ind w:right="560" w:firstLine="457"/>
        <w:spacing w:after="0" w:line="329" w:lineRule="auto"/>
        <w:rPr>
          <w:sz w:val="20"/>
          <w:szCs w:val="20"/>
          <w:color w:val="auto"/>
        </w:rPr>
      </w:pPr>
      <w:r>
        <w:rPr>
          <w:rFonts w:ascii="Arial" w:cs="Arial" w:eastAsia="Arial" w:hAnsi="Arial"/>
          <w:sz w:val="14"/>
          <w:szCs w:val="14"/>
          <w:color w:val="auto"/>
        </w:rPr>
        <w:t>We have not retained any dealer manager in connection with the exchange offer and will not make any payments to brokers, dealers or others soliciting acceptances of the exchange offer. We will, however, pay the exchange agent reasonable and customary fees for its services and will reimburse it for its reasonable out-of-pocket expenses.</w:t>
      </w:r>
    </w:p>
    <w:p>
      <w:pPr>
        <w:spacing w:after="0" w:line="64"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We will pay the cash expenses incurred in connection with the exchange offer which we estimate to be approximately $150,000. These expenses include registration fees, fees and expenses of the exchange agent and the trustee, accounting and legal fees and printing costs, among others.</w:t>
      </w:r>
    </w:p>
    <w:p>
      <w:pPr>
        <w:spacing w:after="0" w:line="87" w:lineRule="exact"/>
        <w:rPr>
          <w:sz w:val="20"/>
          <w:szCs w:val="20"/>
          <w:color w:val="auto"/>
        </w:rPr>
      </w:pPr>
    </w:p>
    <w:p>
      <w:pPr>
        <w:ind w:right="160" w:firstLine="457"/>
        <w:spacing w:after="0" w:line="276" w:lineRule="auto"/>
        <w:rPr>
          <w:sz w:val="20"/>
          <w:szCs w:val="20"/>
          <w:color w:val="auto"/>
        </w:rPr>
      </w:pPr>
      <w:r>
        <w:rPr>
          <w:rFonts w:ascii="Arial" w:cs="Arial" w:eastAsia="Arial" w:hAnsi="Arial"/>
          <w:sz w:val="15"/>
          <w:szCs w:val="15"/>
          <w:color w:val="auto"/>
        </w:rPr>
        <w:t>We will pay all transfer taxes, if any, applicable to the exchange of notes pursuant to the exchange offer. If, however, a transfer tax is imposed for any reason other than the exchange of the Original Notes pursuant to the exchange offer, then you must pay the amount of the transfer taxes. If you do not submit satisfactory evidence of payment of the taxes or exemption from payment with the letter of transmittal, we will bill the amount of the transfer taxes directly to you.</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 of Failure to Exchange</w:t>
      </w:r>
    </w:p>
    <w:p>
      <w:pPr>
        <w:spacing w:after="0" w:line="78"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Participation in the exchange offer is voluntary. We urge you to consult your financial and tax advisors in making your decisions on what action to take. Original Notes that are not exchanged for Exchange Notes pursuant to the exchange offer will remain restricted securities. Accordingly, those Original Notes may be resold only:</w:t>
      </w:r>
    </w:p>
    <w:p>
      <w:pPr>
        <w:spacing w:after="0" w:line="16" w:lineRule="exact"/>
        <w:rPr>
          <w:sz w:val="20"/>
          <w:szCs w:val="20"/>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a person whom the seller reasonably believes is a qualified institutional buyer in a transaction meeting the requirements of Rule 144A;</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a transaction meeting the requirements of Rule 144 under the Securities Act;</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outside the United States to a foreign person in a transaction meeting the requirements of Rule 903 or 904 of Regulation S under the Securities Act;</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accordance with another exemption from the registration requirements of the Securities Act and based upon an opinion of counsel if we so request;</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us;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pursuant to an effective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In each case, the Original Notes may be resold only in accordance with any applicable securities laws of any state of the United States or any other applicable jurisdiction.</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00"/>
          </w:cols>
          <w:pgMar w:left="240" w:top="417" w:right="259" w:bottom="1440" w:gutter="0" w:footer="0" w:header="0"/>
        </w:sectPr>
      </w:pPr>
    </w:p>
    <w:bookmarkStart w:id="32" w:name="page33"/>
    <w:bookmarkEnd w:id="32"/>
    <w:p>
      <w:pPr>
        <w:ind w:left="6"/>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4146"/>
        <w:spacing w:after="0"/>
        <w:rPr>
          <w:sz w:val="20"/>
          <w:szCs w:val="20"/>
          <w:color w:val="auto"/>
        </w:rPr>
      </w:pPr>
      <w:r>
        <w:rPr>
          <w:rFonts w:ascii="Arial" w:cs="Arial" w:eastAsia="Arial" w:hAnsi="Arial"/>
          <w:sz w:val="15"/>
          <w:szCs w:val="15"/>
          <w:b w:val="1"/>
          <w:bCs w:val="1"/>
          <w:color w:val="auto"/>
        </w:rPr>
        <w:t>RATIO OF EARNINGS TO FIXED CHARGES</w:t>
      </w:r>
    </w:p>
    <w:p>
      <w:pPr>
        <w:spacing w:after="0" w:line="14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following table sets forth our ratio of earnings to fixed charges for each of the periods shown:</w:t>
      </w:r>
    </w:p>
    <w:p>
      <w:pPr>
        <w:spacing w:after="0" w:line="141" w:lineRule="exact"/>
        <w:rPr>
          <w:sz w:val="20"/>
          <w:szCs w:val="20"/>
          <w:color w:val="auto"/>
        </w:rPr>
      </w:pPr>
    </w:p>
    <w:tbl>
      <w:tblPr>
        <w:tblLayout w:type="fixed"/>
        <w:tblInd w:w="6" w:type="dxa"/>
        <w:tblCellMar>
          <w:top w:w="0" w:type="dxa"/>
          <w:left w:w="0" w:type="dxa"/>
          <w:bottom w:w="0" w:type="dxa"/>
          <w:right w:w="0" w:type="dxa"/>
        </w:tblCellMar>
      </w:tblPr>
      <w:tr>
        <w:trPr>
          <w:trHeight w:val="151"/>
        </w:trPr>
        <w:tc>
          <w:tcPr>
            <w:tcW w:w="1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7"/>
          </w:tcPr>
          <w:p>
            <w:pPr>
              <w:jc w:val="center"/>
              <w:ind w:right="680"/>
              <w:spacing w:after="0"/>
              <w:rPr>
                <w:sz w:val="20"/>
                <w:szCs w:val="20"/>
                <w:color w:val="auto"/>
              </w:rPr>
            </w:pPr>
            <w:r>
              <w:rPr>
                <w:rFonts w:ascii="Arial" w:cs="Arial" w:eastAsia="Arial" w:hAnsi="Arial"/>
                <w:sz w:val="12"/>
                <w:szCs w:val="12"/>
                <w:b w:val="1"/>
                <w:bCs w:val="1"/>
                <w:color w:val="auto"/>
                <w:w w:val="86"/>
              </w:rPr>
              <w:t>Year ended September 30,</w:t>
            </w:r>
          </w:p>
        </w:tc>
        <w:tc>
          <w:tcPr>
            <w:tcW w:w="340" w:type="dxa"/>
            <w:vAlign w:val="bottom"/>
          </w:tcPr>
          <w:p>
            <w:pPr>
              <w:spacing w:after="0"/>
              <w:rPr>
                <w:sz w:val="13"/>
                <w:szCs w:val="13"/>
                <w:color w:val="auto"/>
              </w:rPr>
            </w:pPr>
          </w:p>
        </w:tc>
      </w:tr>
      <w:tr>
        <w:trPr>
          <w:trHeight w:val="83"/>
        </w:trPr>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r>
      <w:tr>
        <w:trPr>
          <w:trHeight w:val="225"/>
        </w:trPr>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4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1999</w:t>
            </w:r>
          </w:p>
        </w:tc>
        <w:tc>
          <w:tcPr>
            <w:tcW w:w="780" w:type="dxa"/>
            <w:vAlign w:val="bottom"/>
            <w:gridSpan w:val="3"/>
          </w:tcPr>
          <w:p>
            <w:pPr>
              <w:jc w:val="right"/>
              <w:ind w:right="261"/>
              <w:spacing w:after="0"/>
              <w:rPr>
                <w:sz w:val="20"/>
                <w:szCs w:val="20"/>
                <w:color w:val="auto"/>
              </w:rPr>
            </w:pPr>
            <w:r>
              <w:rPr>
                <w:rFonts w:ascii="Arial" w:cs="Arial" w:eastAsia="Arial" w:hAnsi="Arial"/>
                <w:sz w:val="12"/>
                <w:szCs w:val="12"/>
                <w:b w:val="1"/>
                <w:bCs w:val="1"/>
                <w:color w:val="auto"/>
              </w:rPr>
              <w:t>2000</w:t>
            </w:r>
          </w:p>
        </w:tc>
        <w:tc>
          <w:tcPr>
            <w:tcW w:w="7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2001</w:t>
            </w:r>
          </w:p>
        </w:tc>
        <w:tc>
          <w:tcPr>
            <w:tcW w:w="102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2002</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97"/>
              </w:rPr>
              <w:t>2003</w:t>
            </w:r>
          </w:p>
        </w:tc>
      </w:tr>
      <w:tr>
        <w:trPr>
          <w:trHeight w:val="83"/>
        </w:trPr>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r>
      <w:tr>
        <w:trPr>
          <w:trHeight w:val="86"/>
        </w:trPr>
        <w:tc>
          <w:tcPr>
            <w:tcW w:w="116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88"/>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Ratio of earnings to fixed charges (1)</w:t>
            </w:r>
          </w:p>
        </w:tc>
        <w:tc>
          <w:tcPr>
            <w:tcW w:w="28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8"/>
              </w:rPr>
              <w:t>2.3x</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1"/>
              <w:spacing w:after="0"/>
              <w:rPr>
                <w:sz w:val="20"/>
                <w:szCs w:val="20"/>
                <w:color w:val="auto"/>
              </w:rPr>
            </w:pPr>
            <w:r>
              <w:rPr>
                <w:rFonts w:ascii="Arial" w:cs="Arial" w:eastAsia="Arial" w:hAnsi="Arial"/>
                <w:sz w:val="15"/>
                <w:szCs w:val="15"/>
                <w:color w:val="auto"/>
              </w:rPr>
              <w:t>2.1x</w:t>
            </w:r>
          </w:p>
        </w:tc>
        <w:tc>
          <w:tcPr>
            <w:tcW w:w="2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8"/>
              </w:rPr>
              <w:t>1.3x</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2.8x</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2.9x</w:t>
            </w:r>
          </w:p>
        </w:tc>
      </w:tr>
      <w:tr>
        <w:trPr>
          <w:trHeight w:val="94"/>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87" w:lineRule="exact"/>
        <w:rPr>
          <w:sz w:val="20"/>
          <w:szCs w:val="20"/>
          <w:color w:val="auto"/>
        </w:rPr>
      </w:pPr>
    </w:p>
    <w:p>
      <w:pPr>
        <w:ind w:left="446" w:right="380" w:hanging="446"/>
        <w:spacing w:after="0" w:line="276" w:lineRule="auto"/>
        <w:tabs>
          <w:tab w:leader="none" w:pos="44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ratio of earnings to fixed charges has been computed by dividing earnings before income taxes, plus fixed charges (excluding capitalized interest and amortization of capitalized interest) plus the interest factor component of rental expense, by fixed charges, which consist of interest charges (including capitalized interest) plus the portion of rental expense that includes an interest factor.</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USE OF PROCEEDS</w:t>
      </w:r>
    </w:p>
    <w:p>
      <w:pPr>
        <w:spacing w:after="0" w:line="149" w:lineRule="exact"/>
        <w:rPr>
          <w:sz w:val="20"/>
          <w:szCs w:val="20"/>
          <w:color w:val="auto"/>
        </w:rPr>
      </w:pPr>
    </w:p>
    <w:p>
      <w:pPr>
        <w:ind w:left="6" w:right="80" w:firstLine="457"/>
        <w:spacing w:after="0" w:line="276" w:lineRule="auto"/>
        <w:rPr>
          <w:sz w:val="20"/>
          <w:szCs w:val="20"/>
          <w:color w:val="auto"/>
        </w:rPr>
      </w:pPr>
      <w:r>
        <w:rPr>
          <w:rFonts w:ascii="Arial" w:cs="Arial" w:eastAsia="Arial" w:hAnsi="Arial"/>
          <w:sz w:val="15"/>
          <w:szCs w:val="15"/>
          <w:color w:val="auto"/>
        </w:rPr>
        <w:t>We will not receive any proceeds from the issuance of the Exchange Notes. The net proceeds from the offering of the Original Notes, after deducting fees and expenses (including discounts and commissions), was approximately $195.7 million. We used the net proceeds, in addition to cash on hand, to repay outstanding indebtedness under our then existing senior secured credit facility, which has since been refinanced, and for general corporate purposes.</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CAPITALIZATION</w:t>
      </w:r>
    </w:p>
    <w:p>
      <w:pPr>
        <w:spacing w:after="0" w:line="14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The following table sets forth our capitalization at September 30, 2003 on an actual basis and as adjusted to give effect to the refinancing as if it occurred on September 30, 2003.</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151"/>
        </w:trPr>
        <w:tc>
          <w:tcPr>
            <w:tcW w:w="116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right"/>
              <w:ind w:right="264"/>
              <w:spacing w:after="0"/>
              <w:rPr>
                <w:sz w:val="20"/>
                <w:szCs w:val="20"/>
                <w:color w:val="auto"/>
              </w:rPr>
            </w:pPr>
            <w:r>
              <w:rPr>
                <w:rFonts w:ascii="Arial" w:cs="Arial" w:eastAsia="Arial" w:hAnsi="Arial"/>
                <w:sz w:val="12"/>
                <w:szCs w:val="12"/>
                <w:b w:val="1"/>
                <w:bCs w:val="1"/>
                <w:color w:val="auto"/>
              </w:rPr>
              <w:t>As of September 30, 2003</w:t>
            </w:r>
          </w:p>
        </w:tc>
      </w:tr>
      <w:tr>
        <w:trPr>
          <w:trHeight w:val="83"/>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25"/>
        </w:trPr>
        <w:tc>
          <w:tcPr>
            <w:tcW w:w="11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08"/>
              <w:spacing w:after="0"/>
              <w:rPr>
                <w:sz w:val="20"/>
                <w:szCs w:val="20"/>
                <w:color w:val="auto"/>
              </w:rPr>
            </w:pPr>
            <w:r>
              <w:rPr>
                <w:rFonts w:ascii="Arial" w:cs="Arial" w:eastAsia="Arial" w:hAnsi="Arial"/>
                <w:sz w:val="12"/>
                <w:szCs w:val="12"/>
                <w:b w:val="1"/>
                <w:bCs w:val="1"/>
                <w:color w:val="auto"/>
                <w:w w:val="98"/>
              </w:rPr>
              <w:t>Actual</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w w:val="88"/>
              </w:rPr>
              <w:t>As Adjusted</w:t>
            </w:r>
          </w:p>
        </w:tc>
      </w:tr>
      <w:tr>
        <w:trPr>
          <w:trHeight w:val="83"/>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15"/>
        </w:trPr>
        <w:tc>
          <w:tcPr>
            <w:tcW w:w="11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61"/>
              <w:spacing w:after="0"/>
              <w:rPr>
                <w:sz w:val="20"/>
                <w:szCs w:val="20"/>
                <w:color w:val="auto"/>
              </w:rPr>
            </w:pPr>
            <w:r>
              <w:rPr>
                <w:rFonts w:ascii="Arial" w:cs="Arial" w:eastAsia="Arial" w:hAnsi="Arial"/>
                <w:sz w:val="12"/>
                <w:szCs w:val="12"/>
                <w:b w:val="1"/>
                <w:bCs w:val="1"/>
                <w:color w:val="auto"/>
              </w:rPr>
              <w:t>(in millions)</w:t>
            </w:r>
          </w:p>
        </w:tc>
        <w:tc>
          <w:tcPr>
            <w:tcW w:w="560" w:type="dxa"/>
            <w:vAlign w:val="bottom"/>
          </w:tcPr>
          <w:p>
            <w:pPr>
              <w:spacing w:after="0"/>
              <w:rPr>
                <w:sz w:val="18"/>
                <w:szCs w:val="18"/>
                <w:color w:val="auto"/>
              </w:rPr>
            </w:pP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r>
      <w:tr>
        <w:trPr>
          <w:trHeight w:val="113"/>
        </w:trPr>
        <w:tc>
          <w:tcPr>
            <w:tcW w:w="11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90"/>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Debt (including current portion):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8"/>
        </w:trPr>
        <w:tc>
          <w:tcPr>
            <w:tcW w:w="9500" w:type="dxa"/>
            <w:vAlign w:val="bottom"/>
            <w:gridSpan w:val="2"/>
          </w:tcPr>
          <w:p>
            <w:pPr>
              <w:spacing w:after="0"/>
              <w:rPr>
                <w:sz w:val="20"/>
                <w:szCs w:val="20"/>
                <w:color w:val="auto"/>
              </w:rPr>
            </w:pPr>
            <w:r>
              <w:rPr>
                <w:rFonts w:ascii="Arial" w:cs="Arial" w:eastAsia="Arial" w:hAnsi="Arial"/>
                <w:sz w:val="15"/>
                <w:szCs w:val="15"/>
                <w:color w:val="auto"/>
              </w:rPr>
              <w:t>Credit facility:</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Revolving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88"/>
        </w:trPr>
        <w:tc>
          <w:tcPr>
            <w:tcW w:w="9500" w:type="dxa"/>
            <w:vAlign w:val="bottom"/>
            <w:gridSpan w:val="2"/>
          </w:tcPr>
          <w:p>
            <w:pPr>
              <w:spacing w:after="0"/>
              <w:rPr>
                <w:sz w:val="20"/>
                <w:szCs w:val="20"/>
                <w:color w:val="auto"/>
              </w:rPr>
            </w:pPr>
            <w:r>
              <w:rPr>
                <w:rFonts w:ascii="Arial" w:cs="Arial" w:eastAsia="Arial" w:hAnsi="Arial"/>
                <w:sz w:val="15"/>
                <w:szCs w:val="15"/>
                <w:color w:val="auto"/>
              </w:rPr>
              <w:t>Term loans</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326.5</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500.0</w:t>
            </w: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8.625% senior subordinated notes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393.1</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r>
      <w:tr>
        <w:trPr>
          <w:trHeight w:val="188"/>
        </w:trPr>
        <w:tc>
          <w:tcPr>
            <w:tcW w:w="9500" w:type="dxa"/>
            <w:vAlign w:val="bottom"/>
            <w:gridSpan w:val="2"/>
          </w:tcPr>
          <w:p>
            <w:pPr>
              <w:spacing w:after="0"/>
              <w:rPr>
                <w:sz w:val="20"/>
                <w:szCs w:val="20"/>
                <w:color w:val="auto"/>
              </w:rPr>
            </w:pPr>
            <w:r>
              <w:rPr>
                <w:rFonts w:ascii="Arial" w:cs="Arial" w:eastAsia="Arial" w:hAnsi="Arial"/>
                <w:sz w:val="15"/>
                <w:szCs w:val="15"/>
                <w:color w:val="auto"/>
              </w:rPr>
              <w:t>6.625% senior subordinated notes</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debt (1)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r>
      <w:tr>
        <w:trPr>
          <w:trHeight w:val="94"/>
        </w:trPr>
        <w:tc>
          <w:tcPr>
            <w:tcW w:w="116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86"/>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debt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757.6</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751.2</w:t>
            </w:r>
          </w:p>
        </w:tc>
      </w:tr>
      <w:tr>
        <w:trPr>
          <w:trHeight w:val="194"/>
        </w:trPr>
        <w:tc>
          <w:tcPr>
            <w:tcW w:w="9500" w:type="dxa"/>
            <w:vAlign w:val="bottom"/>
            <w:gridSpan w:val="2"/>
          </w:tcPr>
          <w:p>
            <w:pPr>
              <w:spacing w:after="0"/>
              <w:rPr>
                <w:sz w:val="20"/>
                <w:szCs w:val="20"/>
                <w:color w:val="auto"/>
              </w:rPr>
            </w:pPr>
            <w:r>
              <w:rPr>
                <w:rFonts w:ascii="Arial" w:cs="Arial" w:eastAsia="Arial" w:hAnsi="Arial"/>
                <w:sz w:val="15"/>
                <w:szCs w:val="15"/>
                <w:color w:val="auto"/>
              </w:rPr>
              <w:t>Shareholders’ equity</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728.2</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700.3</w:t>
            </w:r>
          </w:p>
        </w:tc>
      </w:tr>
      <w:tr>
        <w:trPr>
          <w:trHeight w:val="88"/>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86"/>
        </w:trPr>
        <w:tc>
          <w:tcPr>
            <w:tcW w:w="1160" w:type="dxa"/>
            <w:vAlign w:val="bottom"/>
          </w:tcPr>
          <w:p>
            <w:pPr>
              <w:spacing w:after="0"/>
              <w:rPr>
                <w:sz w:val="7"/>
                <w:szCs w:val="7"/>
                <w:color w:val="auto"/>
              </w:rPr>
            </w:pPr>
          </w:p>
        </w:tc>
        <w:tc>
          <w:tcPr>
            <w:tcW w:w="8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88"/>
        </w:trPr>
        <w:tc>
          <w:tcPr>
            <w:tcW w:w="9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1,451.5</w:t>
            </w:r>
          </w:p>
        </w:tc>
      </w:tr>
      <w:tr>
        <w:trPr>
          <w:trHeight w:val="113"/>
        </w:trPr>
        <w:tc>
          <w:tcPr>
            <w:tcW w:w="11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84"/>
        </w:trPr>
        <w:tc>
          <w:tcPr>
            <w:tcW w:w="1160" w:type="dxa"/>
            <w:vAlign w:val="bottom"/>
            <w:tcBorders>
              <w:bottom w:val="single" w:sz="8" w:color="auto"/>
            </w:tcBorders>
          </w:tcPr>
          <w:p>
            <w:pPr>
              <w:spacing w:after="0"/>
              <w:rPr>
                <w:sz w:val="15"/>
                <w:szCs w:val="15"/>
                <w:color w:val="auto"/>
              </w:rPr>
            </w:pPr>
          </w:p>
        </w:tc>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-1739900</wp:posOffset>
            </wp:positionV>
            <wp:extent cx="1270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-1739900</wp:posOffset>
            </wp:positionV>
            <wp:extent cx="1270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-1739900</wp:posOffset>
            </wp:positionV>
            <wp:extent cx="2032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-1739900</wp:posOffset>
            </wp:positionV>
            <wp:extent cx="1270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-1739900</wp:posOffset>
            </wp:positionV>
            <wp:extent cx="1270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-1739900</wp:posOffset>
            </wp:positionV>
            <wp:extent cx="2032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-151130</wp:posOffset>
            </wp:positionV>
            <wp:extent cx="127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-151130</wp:posOffset>
            </wp:positionV>
            <wp:extent cx="1270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-151130</wp:posOffset>
            </wp:positionV>
            <wp:extent cx="2032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6836410</wp:posOffset>
            </wp:positionH>
            <wp:positionV relativeFrom="paragraph">
              <wp:posOffset>-151130</wp:posOffset>
            </wp:positionV>
            <wp:extent cx="1270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-151130</wp:posOffset>
            </wp:positionV>
            <wp:extent cx="1270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-151130</wp:posOffset>
            </wp:positionV>
            <wp:extent cx="2032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320" cy="27305"/>
                    </a:xfrm>
                    <a:prstGeom prst="rect">
                      <a:avLst/>
                    </a:prstGeom>
                    <a:noFill/>
                  </pic:spPr>
                </pic:pic>
              </a:graphicData>
            </a:graphic>
          </wp:anchor>
        </w:drawing>
      </w:r>
    </w:p>
    <w:p>
      <w:pPr>
        <w:spacing w:after="0" w:line="67" w:lineRule="exact"/>
        <w:rPr>
          <w:sz w:val="20"/>
          <w:szCs w:val="20"/>
          <w:color w:val="auto"/>
        </w:rPr>
      </w:pPr>
    </w:p>
    <w:p>
      <w:pPr>
        <w:ind w:left="5646" w:right="1880" w:hanging="5646"/>
        <w:spacing w:after="0" w:line="471" w:lineRule="auto"/>
        <w:tabs>
          <w:tab w:leader="none" w:pos="449"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$21.6 million of notes due to sellers, $6.3 million of foreign bank borrowings and terms loans and $10.1 million of capital lease obligations. 28</w:t>
      </w:r>
    </w:p>
    <w:p>
      <w:pPr>
        <w:sectPr>
          <w:pgSz w:w="11900" w:h="16838" w:orient="portrait"/>
          <w:cols w:equalWidth="0" w:num="1">
            <w:col w:w="11446"/>
          </w:cols>
          <w:pgMar w:left="234" w:top="417" w:right="2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149" w:lineRule="exact"/>
        <w:rPr>
          <w:sz w:val="20"/>
          <w:szCs w:val="20"/>
          <w:color w:val="auto"/>
        </w:rPr>
      </w:pPr>
    </w:p>
    <w:p>
      <w:pPr>
        <w:jc w:val="both"/>
        <w:ind w:right="100" w:firstLine="457"/>
        <w:spacing w:after="0" w:line="304" w:lineRule="auto"/>
        <w:rPr>
          <w:sz w:val="20"/>
          <w:szCs w:val="20"/>
          <w:color w:val="auto"/>
        </w:rPr>
      </w:pPr>
      <w:r>
        <w:rPr>
          <w:rFonts w:ascii="Arial" w:cs="Arial" w:eastAsia="Arial" w:hAnsi="Arial"/>
          <w:sz w:val="14"/>
          <w:szCs w:val="14"/>
          <w:color w:val="auto"/>
        </w:rPr>
        <w:t>The following table sets forth selected consolidated financial data for each of the fiscal years in the five year period ended September 30, 2003, which have been derived from our audited consolidated financial statements. You should read the following information in conjunction with “Management’s Discussion and Analysis of Financial Condition and Results of Operations” and our consolidated financial statements and related notes, both of which are incorporated by reference into this prospectus.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49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right"/>
              <w:ind w:right="60"/>
              <w:spacing w:after="0"/>
              <w:rPr>
                <w:sz w:val="20"/>
                <w:szCs w:val="20"/>
                <w:color w:val="auto"/>
              </w:rPr>
            </w:pPr>
            <w:r>
              <w:rPr>
                <w:rFonts w:ascii="Arial" w:cs="Arial" w:eastAsia="Arial" w:hAnsi="Arial"/>
                <w:sz w:val="12"/>
                <w:szCs w:val="12"/>
                <w:b w:val="1"/>
                <w:bCs w:val="1"/>
                <w:color w:val="auto"/>
              </w:rPr>
              <w:t>Fiscal Year Ended September 30,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83"/>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25"/>
        </w:trPr>
        <w:tc>
          <w:tcPr>
            <w:tcW w:w="5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90" w:type="dxa"/>
            <w:vAlign w:val="bottom"/>
          </w:tcPr>
          <w:p>
            <w:pPr>
              <w:jc w:val="right"/>
              <w:ind w:right="104"/>
              <w:spacing w:after="0"/>
              <w:rPr>
                <w:sz w:val="20"/>
                <w:szCs w:val="20"/>
                <w:color w:val="auto"/>
              </w:rPr>
            </w:pPr>
            <w:r>
              <w:rPr>
                <w:rFonts w:ascii="Arial" w:cs="Arial" w:eastAsia="Arial" w:hAnsi="Arial"/>
                <w:sz w:val="12"/>
                <w:szCs w:val="12"/>
                <w:b w:val="1"/>
                <w:bCs w:val="1"/>
                <w:color w:val="auto"/>
              </w:rPr>
              <w:t>1999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05"/>
              <w:spacing w:after="0"/>
              <w:rPr>
                <w:sz w:val="20"/>
                <w:szCs w:val="20"/>
                <w:color w:val="auto"/>
              </w:rPr>
            </w:pPr>
            <w:r>
              <w:rPr>
                <w:rFonts w:ascii="Arial" w:cs="Arial" w:eastAsia="Arial" w:hAnsi="Arial"/>
                <w:sz w:val="12"/>
                <w:szCs w:val="12"/>
                <w:b w:val="1"/>
                <w:bCs w:val="1"/>
                <w:color w:val="auto"/>
              </w:rPr>
              <w:t>2000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104"/>
              <w:spacing w:after="0"/>
              <w:rPr>
                <w:sz w:val="20"/>
                <w:szCs w:val="20"/>
                <w:color w:val="auto"/>
              </w:rPr>
            </w:pPr>
            <w:r>
              <w:rPr>
                <w:rFonts w:ascii="Arial" w:cs="Arial" w:eastAsia="Arial" w:hAnsi="Arial"/>
                <w:sz w:val="12"/>
                <w:szCs w:val="12"/>
                <w:b w:val="1"/>
                <w:bCs w:val="1"/>
                <w:color w:val="auto"/>
              </w:rPr>
              <w:t>2001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04"/>
              <w:spacing w:after="0"/>
              <w:rPr>
                <w:sz w:val="20"/>
                <w:szCs w:val="20"/>
                <w:color w:val="auto"/>
              </w:rPr>
            </w:pPr>
            <w:r>
              <w:rPr>
                <w:rFonts w:ascii="Arial" w:cs="Arial" w:eastAsia="Arial" w:hAnsi="Arial"/>
                <w:sz w:val="12"/>
                <w:szCs w:val="12"/>
                <w:b w:val="1"/>
                <w:bCs w:val="1"/>
                <w:color w:val="auto"/>
              </w:rPr>
              <w:t>2002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3"/>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5"/>
        </w:trPr>
        <w:tc>
          <w:tcPr>
            <w:tcW w:w="5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Data:</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Net sales</w:t>
            </w:r>
          </w:p>
        </w:tc>
        <w:tc>
          <w:tcPr>
            <w:tcW w:w="1070" w:type="dxa"/>
            <w:vAlign w:val="bottom"/>
            <w:gridSpan w:val="2"/>
          </w:tcPr>
          <w:p>
            <w:pPr>
              <w:jc w:val="right"/>
              <w:ind w:right="30"/>
              <w:spacing w:after="0"/>
              <w:rPr>
                <w:sz w:val="20"/>
                <w:szCs w:val="20"/>
                <w:color w:val="auto"/>
              </w:rPr>
            </w:pPr>
            <w:r>
              <w:rPr>
                <w:rFonts w:ascii="Arial" w:cs="Arial" w:eastAsia="Arial" w:hAnsi="Arial"/>
                <w:sz w:val="15"/>
                <w:szCs w:val="15"/>
                <w:color w:val="auto"/>
              </w:rPr>
              <w:t>$</w:t>
            </w:r>
          </w:p>
        </w:tc>
        <w:tc>
          <w:tcPr>
            <w:tcW w:w="490" w:type="dxa"/>
            <w:vAlign w:val="bottom"/>
          </w:tcPr>
          <w:p>
            <w:pPr>
              <w:jc w:val="right"/>
              <w:spacing w:after="0"/>
              <w:rPr>
                <w:sz w:val="20"/>
                <w:szCs w:val="20"/>
                <w:color w:val="auto"/>
              </w:rPr>
            </w:pPr>
            <w:r>
              <w:rPr>
                <w:rFonts w:ascii="Arial" w:cs="Arial" w:eastAsia="Arial" w:hAnsi="Arial"/>
                <w:sz w:val="15"/>
                <w:szCs w:val="15"/>
                <w:color w:val="auto"/>
                <w:w w:val="91"/>
              </w:rPr>
              <w:t>1,550.6</w:t>
            </w:r>
          </w:p>
        </w:tc>
        <w:tc>
          <w:tcPr>
            <w:tcW w:w="5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5"/>
              </w:rPr>
              <w:t>1,656.2</w:t>
            </w:r>
          </w:p>
        </w:tc>
        <w:tc>
          <w:tcPr>
            <w:tcW w:w="2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91"/>
              </w:rPr>
              <w:t>1,670.4</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91"/>
              </w:rPr>
              <w:t>1,748.7</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1,910.1</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Gross profit (1)</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563.3</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596.4</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690.8</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line="188" w:lineRule="exact"/>
              <w:rPr>
                <w:sz w:val="20"/>
                <w:szCs w:val="20"/>
                <w:color w:val="auto"/>
              </w:rPr>
            </w:pPr>
            <w:r>
              <w:rPr>
                <w:rFonts w:ascii="Arial" w:cs="Arial" w:eastAsia="Arial" w:hAnsi="Arial"/>
                <w:sz w:val="15"/>
                <w:szCs w:val="15"/>
                <w:color w:val="auto"/>
              </w:rPr>
              <w:t>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marketing agreement:</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Gross commission</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45.9</w:t>
            </w:r>
          </w:p>
        </w:tc>
        <w:tc>
          <w:tcPr>
            <w:tcW w:w="100" w:type="dxa"/>
            <w:vAlign w:val="bottom"/>
            <w:shd w:val="clear" w:color="auto" w:fill="CCEEFF"/>
          </w:tcPr>
          <w:p>
            <w:pPr>
              <w:spacing w:after="0"/>
              <w:rPr>
                <w:sz w:val="16"/>
                <w:szCs w:val="16"/>
                <w:color w:val="auto"/>
              </w:rPr>
            </w:pPr>
          </w:p>
        </w:tc>
      </w:tr>
      <w:tr>
        <w:trPr>
          <w:trHeight w:val="194"/>
        </w:trPr>
        <w:tc>
          <w:tcPr>
            <w:tcW w:w="5220" w:type="dxa"/>
            <w:vAlign w:val="bottom"/>
          </w:tcPr>
          <w:p>
            <w:pPr>
              <w:ind w:left="360"/>
              <w:spacing w:after="0"/>
              <w:rPr>
                <w:sz w:val="20"/>
                <w:szCs w:val="20"/>
                <w:color w:val="auto"/>
              </w:rPr>
            </w:pPr>
            <w:r>
              <w:rPr>
                <w:rFonts w:ascii="Arial" w:cs="Arial" w:eastAsia="Arial" w:hAnsi="Arial"/>
                <w:sz w:val="15"/>
                <w:szCs w:val="15"/>
                <w:color w:val="auto"/>
              </w:rPr>
              <w:t>Contribution expenses (2)</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1.6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23.4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6"/>
                <w:szCs w:val="16"/>
                <w:color w:val="auto"/>
              </w:rPr>
            </w:pP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commission</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Advertising</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87.0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89.0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89.1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97.7</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302.8</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321.4</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Selling, general and administrative—lawn service business</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6.9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46.2</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Stock compensation</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5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Restructuring and other charges</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68.4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goodwill and other intangibles</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6"/>
                <w:szCs w:val="16"/>
                <w:color w:val="auto"/>
              </w:rPr>
            </w:pPr>
          </w:p>
        </w:tc>
      </w:tr>
      <w:tr>
        <w:trPr>
          <w:trHeight w:val="194"/>
        </w:trPr>
        <w:tc>
          <w:tcPr>
            <w:tcW w:w="522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50" w:type="dxa"/>
            <w:vAlign w:val="bottom"/>
            <w:gridSpan w:val="2"/>
          </w:tcPr>
          <w:p>
            <w:pPr>
              <w:jc w:val="right"/>
              <w:ind w:right="52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(6.0)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(10.8)</w:t>
            </w: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196.1</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232.5</w:t>
            </w:r>
          </w:p>
        </w:tc>
        <w:tc>
          <w:tcPr>
            <w:tcW w:w="100" w:type="dxa"/>
            <w:vAlign w:val="bottom"/>
            <w:shd w:val="clear" w:color="auto" w:fill="CCEEFF"/>
          </w:tcPr>
          <w:p>
            <w:pPr>
              <w:spacing w:after="0"/>
              <w:rPr>
                <w:sz w:val="16"/>
                <w:szCs w:val="16"/>
                <w:color w:val="auto"/>
              </w:rPr>
            </w:pPr>
          </w:p>
        </w:tc>
      </w:tr>
      <w:tr>
        <w:trPr>
          <w:trHeight w:val="194"/>
        </w:trPr>
        <w:tc>
          <w:tcPr>
            <w:tcW w:w="5220" w:type="dxa"/>
            <w:vAlign w:val="bottom"/>
          </w:tcPr>
          <w:p>
            <w:pPr>
              <w:spacing w:after="0"/>
              <w:rPr>
                <w:sz w:val="20"/>
                <w:szCs w:val="20"/>
                <w:color w:val="auto"/>
              </w:rPr>
            </w:pPr>
            <w:r>
              <w:rPr>
                <w:rFonts w:ascii="Arial" w:cs="Arial" w:eastAsia="Arial" w:hAnsi="Arial"/>
                <w:sz w:val="15"/>
                <w:szCs w:val="15"/>
                <w:color w:val="auto"/>
              </w:rPr>
              <w:t>Interest expense</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79.1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93.9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87.7</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69.2</w:t>
            </w:r>
          </w:p>
        </w:tc>
        <w:tc>
          <w:tcPr>
            <w:tcW w:w="100" w:type="dxa"/>
            <w:vAlign w:val="bottom"/>
          </w:tcPr>
          <w:p>
            <w:pPr>
              <w:spacing w:after="0"/>
              <w:rPr>
                <w:sz w:val="16"/>
                <w:szCs w:val="16"/>
                <w:color w:val="auto"/>
              </w:rPr>
            </w:pP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163.3</w:t>
            </w:r>
          </w:p>
        </w:tc>
        <w:tc>
          <w:tcPr>
            <w:tcW w:w="100" w:type="dxa"/>
            <w:vAlign w:val="bottom"/>
            <w:shd w:val="clear" w:color="auto" w:fill="CCEEFF"/>
          </w:tcPr>
          <w:p>
            <w:pPr>
              <w:spacing w:after="0"/>
              <w:rPr>
                <w:sz w:val="16"/>
                <w:szCs w:val="16"/>
                <w:color w:val="auto"/>
              </w:rPr>
            </w:pPr>
          </w:p>
        </w:tc>
      </w:tr>
      <w:tr>
        <w:trPr>
          <w:trHeight w:val="194"/>
        </w:trPr>
        <w:tc>
          <w:tcPr>
            <w:tcW w:w="5220" w:type="dxa"/>
            <w:vAlign w:val="bottom"/>
          </w:tcPr>
          <w:p>
            <w:pPr>
              <w:spacing w:after="0"/>
              <w:rPr>
                <w:sz w:val="20"/>
                <w:szCs w:val="20"/>
                <w:color w:val="auto"/>
              </w:rPr>
            </w:pPr>
            <w:r>
              <w:rPr>
                <w:rFonts w:ascii="Arial" w:cs="Arial" w:eastAsia="Arial" w:hAnsi="Arial"/>
                <w:sz w:val="15"/>
                <w:szCs w:val="15"/>
                <w:color w:val="auto"/>
              </w:rPr>
              <w:t>Income taxes</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47.9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43.2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61.9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16"/>
                <w:szCs w:val="16"/>
                <w:color w:val="auto"/>
              </w:rPr>
            </w:pP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9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w w:val="99"/>
              </w:rPr>
              <w:t>Income before extraordinary items and cumulative effect of accounting change</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16"/>
                <w:szCs w:val="16"/>
                <w:color w:val="auto"/>
              </w:rPr>
            </w:pPr>
          </w:p>
        </w:tc>
      </w:tr>
      <w:tr>
        <w:trPr>
          <w:trHeight w:val="181"/>
        </w:trPr>
        <w:tc>
          <w:tcPr>
            <w:tcW w:w="5220" w:type="dxa"/>
            <w:vAlign w:val="bottom"/>
          </w:tcPr>
          <w:p>
            <w:pPr>
              <w:spacing w:after="0"/>
              <w:rPr>
                <w:sz w:val="20"/>
                <w:szCs w:val="20"/>
                <w:color w:val="auto"/>
              </w:rPr>
            </w:pPr>
            <w:r>
              <w:rPr>
                <w:rFonts w:ascii="Arial" w:cs="Arial" w:eastAsia="Arial" w:hAnsi="Arial"/>
                <w:sz w:val="15"/>
                <w:szCs w:val="15"/>
                <w:color w:val="auto"/>
              </w:rPr>
              <w:t>Extraordinary loss on early extinguishment of debt,</w:t>
            </w:r>
          </w:p>
        </w:tc>
        <w:tc>
          <w:tcPr>
            <w:tcW w:w="9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522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5.9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Cumulative effect of accounting change for intangible assets, net of tax</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5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94"/>
        </w:trPr>
        <w:tc>
          <w:tcPr>
            <w:tcW w:w="5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86"/>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07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CEEFF"/>
          </w:tcPr>
          <w:p>
            <w:pPr>
              <w:spacing w:after="0"/>
              <w:rPr>
                <w:sz w:val="16"/>
                <w:szCs w:val="16"/>
                <w:color w:val="auto"/>
              </w:rPr>
            </w:pPr>
          </w:p>
        </w:tc>
      </w:tr>
      <w:tr>
        <w:trPr>
          <w:trHeight w:val="113"/>
        </w:trPr>
        <w:tc>
          <w:tcPr>
            <w:tcW w:w="5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Dividends on convertible preferred stock</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94"/>
        </w:trPr>
        <w:tc>
          <w:tcPr>
            <w:tcW w:w="5220" w:type="dxa"/>
            <w:vAlign w:val="bottom"/>
          </w:tcPr>
          <w:p>
            <w:pPr>
              <w:spacing w:after="0"/>
              <w:rPr>
                <w:sz w:val="20"/>
                <w:szCs w:val="20"/>
                <w:color w:val="auto"/>
              </w:rPr>
            </w:pPr>
            <w:r>
              <w:rPr>
                <w:rFonts w:ascii="Arial" w:cs="Arial" w:eastAsia="Arial" w:hAnsi="Arial"/>
                <w:sz w:val="15"/>
                <w:szCs w:val="15"/>
                <w:color w:val="auto"/>
              </w:rPr>
              <w:t>Income applicable to common shareholders</w:t>
            </w:r>
          </w:p>
        </w:tc>
        <w:tc>
          <w:tcPr>
            <w:tcW w:w="1070" w:type="dxa"/>
            <w:vAlign w:val="bottom"/>
            <w:gridSpan w:val="2"/>
          </w:tcPr>
          <w:p>
            <w:pPr>
              <w:jc w:val="right"/>
              <w:ind w:right="30"/>
              <w:spacing w:after="0"/>
              <w:rPr>
                <w:sz w:val="20"/>
                <w:szCs w:val="20"/>
                <w:color w:val="auto"/>
              </w:rPr>
            </w:pPr>
            <w:r>
              <w:rPr>
                <w:rFonts w:ascii="Arial" w:cs="Arial" w:eastAsia="Arial" w:hAnsi="Arial"/>
                <w:sz w:val="15"/>
                <w:szCs w:val="15"/>
                <w:color w:val="auto"/>
              </w:rPr>
              <w:t>$</w:t>
            </w:r>
          </w:p>
        </w:tc>
        <w:tc>
          <w:tcPr>
            <w:tcW w:w="490" w:type="dxa"/>
            <w:vAlign w:val="bottom"/>
          </w:tcPr>
          <w:p>
            <w:pPr>
              <w:jc w:val="right"/>
              <w:spacing w:after="0"/>
              <w:rPr>
                <w:sz w:val="20"/>
                <w:szCs w:val="20"/>
                <w:color w:val="auto"/>
              </w:rPr>
            </w:pPr>
            <w:r>
              <w:rPr>
                <w:rFonts w:ascii="Arial" w:cs="Arial" w:eastAsia="Arial" w:hAnsi="Arial"/>
                <w:sz w:val="15"/>
                <w:szCs w:val="15"/>
                <w:color w:val="auto"/>
              </w:rPr>
              <w:t>53.5</w:t>
            </w:r>
          </w:p>
        </w:tc>
        <w:tc>
          <w:tcPr>
            <w:tcW w:w="5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66.7</w:t>
            </w:r>
          </w:p>
        </w:tc>
        <w:tc>
          <w:tcPr>
            <w:tcW w:w="2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15.5</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82.5</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103.8</w:t>
            </w:r>
          </w:p>
        </w:tc>
        <w:tc>
          <w:tcPr>
            <w:tcW w:w="100" w:type="dxa"/>
            <w:vAlign w:val="bottom"/>
          </w:tcPr>
          <w:p>
            <w:pPr>
              <w:spacing w:after="0"/>
              <w:rPr>
                <w:sz w:val="16"/>
                <w:szCs w:val="16"/>
                <w:color w:val="auto"/>
              </w:rPr>
            </w:pP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Financial and Operating Data:</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1070" w:type="dxa"/>
            <w:vAlign w:val="bottom"/>
            <w:gridSpan w:val="2"/>
          </w:tcPr>
          <w:p>
            <w:pPr>
              <w:jc w:val="right"/>
              <w:ind w:right="30"/>
              <w:spacing w:after="0"/>
              <w:rPr>
                <w:sz w:val="20"/>
                <w:szCs w:val="20"/>
                <w:color w:val="auto"/>
              </w:rPr>
            </w:pPr>
            <w:r>
              <w:rPr>
                <w:rFonts w:ascii="Arial" w:cs="Arial" w:eastAsia="Arial" w:hAnsi="Arial"/>
                <w:sz w:val="15"/>
                <w:szCs w:val="15"/>
                <w:color w:val="auto"/>
              </w:rPr>
              <w:t>$</w:t>
            </w:r>
          </w:p>
        </w:tc>
        <w:tc>
          <w:tcPr>
            <w:tcW w:w="490" w:type="dxa"/>
            <w:vAlign w:val="bottom"/>
          </w:tcPr>
          <w:p>
            <w:pPr>
              <w:jc w:val="right"/>
              <w:spacing w:after="0"/>
              <w:rPr>
                <w:sz w:val="20"/>
                <w:szCs w:val="20"/>
                <w:color w:val="auto"/>
              </w:rPr>
            </w:pPr>
            <w:r>
              <w:rPr>
                <w:rFonts w:ascii="Arial" w:cs="Arial" w:eastAsia="Arial" w:hAnsi="Arial"/>
                <w:sz w:val="15"/>
                <w:szCs w:val="15"/>
                <w:color w:val="auto"/>
              </w:rPr>
              <w:t>78.2</w:t>
            </w:r>
          </w:p>
        </w:tc>
        <w:tc>
          <w:tcPr>
            <w:tcW w:w="5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171.5</w:t>
            </w:r>
          </w:p>
        </w:tc>
        <w:tc>
          <w:tcPr>
            <w:tcW w:w="2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65.7</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233.6</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218.0</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5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(571.6)</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(89.5)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(101.0)</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(113.0)</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(108.9)</w:t>
            </w: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513.9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(78.2)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16"/>
                <w:szCs w:val="16"/>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5"/>
                <w:szCs w:val="15"/>
                <w:color w:val="auto"/>
              </w:rPr>
              <w:t>(59.0)</w:t>
            </w: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EBITDA (3)</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284.7</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Adjusted EBITDA (4)</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253.7</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271.2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255.7</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289.5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301.8</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40.3</w:t>
            </w:r>
          </w:p>
        </w:tc>
        <w:tc>
          <w:tcPr>
            <w:tcW w:w="100" w:type="dxa"/>
            <w:vAlign w:val="bottom"/>
            <w:shd w:val="clear" w:color="auto" w:fill="CCEEFF"/>
          </w:tcPr>
          <w:p>
            <w:pPr>
              <w:spacing w:after="0"/>
              <w:rPr>
                <w:sz w:val="16"/>
                <w:szCs w:val="16"/>
                <w:color w:val="auto"/>
              </w:rPr>
            </w:pPr>
          </w:p>
        </w:tc>
      </w:tr>
      <w:tr>
        <w:trPr>
          <w:trHeight w:val="194"/>
        </w:trPr>
        <w:tc>
          <w:tcPr>
            <w:tcW w:w="5220" w:type="dxa"/>
            <w:vAlign w:val="bottom"/>
          </w:tcPr>
          <w:p>
            <w:pPr>
              <w:spacing w:after="0"/>
              <w:rPr>
                <w:sz w:val="20"/>
                <w:szCs w:val="20"/>
                <w:color w:val="auto"/>
              </w:rPr>
            </w:pPr>
            <w:r>
              <w:rPr>
                <w:rFonts w:ascii="Arial" w:cs="Arial" w:eastAsia="Arial" w:hAnsi="Arial"/>
                <w:sz w:val="15"/>
                <w:szCs w:val="15"/>
                <w:color w:val="auto"/>
              </w:rPr>
              <w:t>Capital expenditures</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66.7</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72.5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63.4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57.0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51.8</w:t>
            </w:r>
          </w:p>
        </w:tc>
        <w:tc>
          <w:tcPr>
            <w:tcW w:w="100" w:type="dxa"/>
            <w:vAlign w:val="bottom"/>
          </w:tcPr>
          <w:p>
            <w:pPr>
              <w:spacing w:after="0"/>
              <w:rPr>
                <w:sz w:val="16"/>
                <w:szCs w:val="16"/>
                <w:color w:val="auto"/>
              </w:rPr>
            </w:pP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 w:type="dxa"/>
            <w:vAlign w:val="bottom"/>
          </w:tcPr>
          <w:p>
            <w:pPr>
              <w:spacing w:after="0"/>
              <w:rPr>
                <w:sz w:val="7"/>
                <w:szCs w:val="7"/>
                <w:color w:val="auto"/>
              </w:rPr>
            </w:pPr>
          </w:p>
        </w:tc>
        <w:tc>
          <w:tcPr>
            <w:tcW w:w="49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Working capital</w:t>
            </w:r>
          </w:p>
        </w:tc>
        <w:tc>
          <w:tcPr>
            <w:tcW w:w="1070" w:type="dxa"/>
            <w:vAlign w:val="bottom"/>
            <w:gridSpan w:val="2"/>
          </w:tcPr>
          <w:p>
            <w:pPr>
              <w:jc w:val="right"/>
              <w:ind w:right="30"/>
              <w:spacing w:after="0"/>
              <w:rPr>
                <w:sz w:val="20"/>
                <w:szCs w:val="20"/>
                <w:color w:val="auto"/>
              </w:rPr>
            </w:pPr>
            <w:r>
              <w:rPr>
                <w:rFonts w:ascii="Arial" w:cs="Arial" w:eastAsia="Arial" w:hAnsi="Arial"/>
                <w:sz w:val="15"/>
                <w:szCs w:val="15"/>
                <w:color w:val="auto"/>
              </w:rPr>
              <w:t>$</w:t>
            </w:r>
          </w:p>
        </w:tc>
        <w:tc>
          <w:tcPr>
            <w:tcW w:w="490" w:type="dxa"/>
            <w:vAlign w:val="bottom"/>
          </w:tcPr>
          <w:p>
            <w:pPr>
              <w:jc w:val="right"/>
              <w:spacing w:after="0"/>
              <w:rPr>
                <w:sz w:val="20"/>
                <w:szCs w:val="20"/>
                <w:color w:val="auto"/>
              </w:rPr>
            </w:pPr>
            <w:r>
              <w:rPr>
                <w:rFonts w:ascii="Arial" w:cs="Arial" w:eastAsia="Arial" w:hAnsi="Arial"/>
                <w:sz w:val="15"/>
                <w:szCs w:val="15"/>
                <w:color w:val="auto"/>
              </w:rPr>
              <w:t>274.8</w:t>
            </w:r>
          </w:p>
        </w:tc>
        <w:tc>
          <w:tcPr>
            <w:tcW w:w="5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234.1</w:t>
            </w:r>
          </w:p>
        </w:tc>
        <w:tc>
          <w:tcPr>
            <w:tcW w:w="2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249.1</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278.3</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364.4</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1,769.6</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1,761.4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1,843.0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1,901.4</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2,027.9</w:t>
            </w:r>
          </w:p>
        </w:tc>
        <w:tc>
          <w:tcPr>
            <w:tcW w:w="100" w:type="dxa"/>
            <w:vAlign w:val="bottom"/>
            <w:shd w:val="clear" w:color="auto" w:fill="CCEEFF"/>
          </w:tcPr>
          <w:p>
            <w:pPr>
              <w:spacing w:after="0"/>
              <w:rPr>
                <w:sz w:val="16"/>
                <w:szCs w:val="16"/>
                <w:color w:val="auto"/>
              </w:rPr>
            </w:pPr>
          </w:p>
        </w:tc>
      </w:tr>
      <w:tr>
        <w:trPr>
          <w:trHeight w:val="188"/>
        </w:trPr>
        <w:tc>
          <w:tcPr>
            <w:tcW w:w="5220" w:type="dxa"/>
            <w:vAlign w:val="bottom"/>
          </w:tcPr>
          <w:p>
            <w:pPr>
              <w:spacing w:after="0"/>
              <w:rPr>
                <w:sz w:val="20"/>
                <w:szCs w:val="20"/>
                <w:color w:val="auto"/>
              </w:rPr>
            </w:pPr>
            <w:r>
              <w:rPr>
                <w:rFonts w:ascii="Arial" w:cs="Arial" w:eastAsia="Arial" w:hAnsi="Arial"/>
                <w:sz w:val="15"/>
                <w:szCs w:val="15"/>
                <w:color w:val="auto"/>
              </w:rPr>
              <w:t>Total debt</w:t>
            </w:r>
          </w:p>
        </w:tc>
        <w:tc>
          <w:tcPr>
            <w:tcW w:w="96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90" w:type="dxa"/>
            <w:vAlign w:val="bottom"/>
          </w:tcPr>
          <w:p>
            <w:pPr>
              <w:jc w:val="right"/>
              <w:spacing w:after="0"/>
              <w:rPr>
                <w:sz w:val="20"/>
                <w:szCs w:val="20"/>
                <w:color w:val="auto"/>
              </w:rPr>
            </w:pPr>
            <w:r>
              <w:rPr>
                <w:rFonts w:ascii="Arial" w:cs="Arial" w:eastAsia="Arial" w:hAnsi="Arial"/>
                <w:sz w:val="15"/>
                <w:szCs w:val="15"/>
                <w:color w:val="auto"/>
              </w:rPr>
              <w:t>950.0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862.8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887.8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829.4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757.6</w:t>
            </w:r>
          </w:p>
        </w:tc>
        <w:tc>
          <w:tcPr>
            <w:tcW w:w="100" w:type="dxa"/>
            <w:vAlign w:val="bottom"/>
          </w:tcPr>
          <w:p>
            <w:pPr>
              <w:spacing w:after="0"/>
              <w:rPr>
                <w:sz w:val="16"/>
                <w:szCs w:val="16"/>
                <w:color w:val="auto"/>
              </w:rPr>
            </w:pPr>
          </w:p>
        </w:tc>
      </w:tr>
      <w:tr>
        <w:trPr>
          <w:trHeight w:val="188"/>
        </w:trPr>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96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443.3</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477.9</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506.2</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593.9</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728.2</w:t>
            </w:r>
          </w:p>
        </w:tc>
        <w:tc>
          <w:tcPr>
            <w:tcW w:w="100" w:type="dxa"/>
            <w:vAlign w:val="bottom"/>
            <w:shd w:val="clear" w:color="auto" w:fill="CCEEFF"/>
          </w:tcPr>
          <w:p>
            <w:pPr>
              <w:spacing w:after="0"/>
              <w:rPr>
                <w:sz w:val="16"/>
                <w:szCs w:val="16"/>
                <w:color w:val="auto"/>
              </w:rPr>
            </w:pPr>
          </w:p>
        </w:tc>
      </w:tr>
      <w:tr>
        <w:trPr>
          <w:trHeight w:val="316"/>
        </w:trPr>
        <w:tc>
          <w:tcPr>
            <w:tcW w:w="5220" w:type="dxa"/>
            <w:vAlign w:val="bottom"/>
          </w:tcPr>
          <w:p>
            <w:pPr>
              <w:spacing w:after="0"/>
              <w:rPr>
                <w:sz w:val="24"/>
                <w:szCs w:val="24"/>
                <w:color w:val="auto"/>
              </w:rPr>
            </w:pP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29</w:t>
            </w:r>
          </w:p>
        </w:tc>
        <w:tc>
          <w:tcPr>
            <w:tcW w:w="11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-2193925</wp:posOffset>
            </wp:positionV>
            <wp:extent cx="1270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-2193925</wp:posOffset>
            </wp:positionV>
            <wp:extent cx="2032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-2193925</wp:posOffset>
            </wp:positionV>
            <wp:extent cx="34925"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-2193925</wp:posOffset>
            </wp:positionV>
            <wp:extent cx="127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-2193925</wp:posOffset>
            </wp:positionV>
            <wp:extent cx="2032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-2193925</wp:posOffset>
            </wp:positionV>
            <wp:extent cx="34925"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5400675</wp:posOffset>
            </wp:positionH>
            <wp:positionV relativeFrom="paragraph">
              <wp:posOffset>-2193925</wp:posOffset>
            </wp:positionV>
            <wp:extent cx="12700" cy="27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-2193925</wp:posOffset>
            </wp:positionV>
            <wp:extent cx="20320" cy="27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-2193925</wp:posOffset>
            </wp:positionV>
            <wp:extent cx="34925"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-2193925</wp:posOffset>
            </wp:positionV>
            <wp:extent cx="12700"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-2193925</wp:posOffset>
            </wp:positionV>
            <wp:extent cx="20320" cy="27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-2193925</wp:posOffset>
            </wp:positionV>
            <wp:extent cx="34925"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-2193925</wp:posOffset>
            </wp:positionV>
            <wp:extent cx="1270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6892290</wp:posOffset>
            </wp:positionH>
            <wp:positionV relativeFrom="paragraph">
              <wp:posOffset>-2193925</wp:posOffset>
            </wp:positionV>
            <wp:extent cx="20320" cy="27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-2193925</wp:posOffset>
            </wp:positionV>
            <wp:extent cx="34925"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25" cy="27305"/>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34" w:name="page35"/>
    <w:bookmarkEnd w:id="34"/>
    <w:p>
      <w:pPr>
        <w:ind w:left="6"/>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3850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8505" cy="7620"/>
                    </a:xfrm>
                    <a:prstGeom prst="rect">
                      <a:avLst/>
                    </a:prstGeom>
                    <a:noFill/>
                  </pic:spPr>
                </pic:pic>
              </a:graphicData>
            </a:graphic>
          </wp:anchor>
        </w:drawing>
      </w:r>
    </w:p>
    <w:p>
      <w:pPr>
        <w:spacing w:after="0" w:line="357"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restructuring and other charges of $7.3 million, $1.7 million and $9.1 million in 2001, 2002 and 2003, respectively.</w:t>
      </w:r>
    </w:p>
    <w:p>
      <w:pPr>
        <w:spacing w:after="0" w:line="21" w:lineRule="exact"/>
        <w:rPr>
          <w:rFonts w:ascii="Arial" w:cs="Arial" w:eastAsia="Arial" w:hAnsi="Arial"/>
          <w:sz w:val="15"/>
          <w:szCs w:val="15"/>
          <w:color w:val="auto"/>
        </w:rPr>
      </w:pPr>
    </w:p>
    <w:p>
      <w:pPr>
        <w:ind w:left="446" w:right="380" w:hanging="446"/>
        <w:spacing w:after="0" w:line="230" w:lineRule="auto"/>
        <w:tabs>
          <w:tab w:leader="none" w:pos="4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amortization expense associated with the amortization of the $32 million marketing fee under the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marketing agreement of $1.6 million, $4.9 million, $3.3 million, $3.4 million and $3.3 million for 1999, 2000, 2001, 2002 and 2003, respectively.</w:t>
      </w:r>
    </w:p>
    <w:p>
      <w:pPr>
        <w:spacing w:after="0" w:line="1" w:lineRule="exact"/>
        <w:rPr>
          <w:rFonts w:ascii="Arial" w:cs="Arial" w:eastAsia="Arial" w:hAnsi="Arial"/>
          <w:sz w:val="15"/>
          <w:szCs w:val="15"/>
          <w:color w:val="auto"/>
        </w:rPr>
      </w:pPr>
    </w:p>
    <w:p>
      <w:pPr>
        <w:ind w:left="446" w:right="200" w:hanging="446"/>
        <w:spacing w:after="0" w:line="280" w:lineRule="auto"/>
        <w:tabs>
          <w:tab w:leader="none" w:pos="446" w:val="left"/>
        </w:tabs>
        <w:numPr>
          <w:ilvl w:val="0"/>
          <w:numId w:val="41"/>
        </w:numPr>
        <w:rPr>
          <w:rFonts w:ascii="Arial" w:cs="Arial" w:eastAsia="Arial" w:hAnsi="Arial"/>
          <w:sz w:val="14"/>
          <w:szCs w:val="14"/>
          <w:color w:val="auto"/>
        </w:rPr>
      </w:pPr>
      <w:r>
        <w:rPr>
          <w:rFonts w:ascii="Arial" w:cs="Arial" w:eastAsia="Arial" w:hAnsi="Arial"/>
          <w:sz w:val="14"/>
          <w:szCs w:val="14"/>
          <w:color w:val="auto"/>
        </w:rPr>
        <w:t>EBITDA is defined as net income plus interest, income taxes, depreciation and amortization. EBITDA is not defined by GAAP and should not be used as an alternative to net income as an indicator of operating performance or to cash flow as a measure of liquidity. EBITDA is included in this prospectus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ind w:left="446" w:right="40" w:hanging="446"/>
        <w:spacing w:after="0" w:line="272" w:lineRule="auto"/>
        <w:tabs>
          <w:tab w:leader="none" w:pos="4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Adjusted EBITDA is defined as EBITDA plus restructuring and other charges. For the periods presented, either EBITDA or adjusted EBITDA have been used in computing the Leverage Ratio and Interest Coverage covenants under the company’s Credit Agreement. Borrowings under the Credit Agreement represent a significant portion of the outstanding debt of Scotts particularly during seasonal peak borrowing periods.</w:t>
      </w:r>
    </w:p>
    <w:p>
      <w:pPr>
        <w:spacing w:after="0" w:line="29" w:lineRule="exact"/>
        <w:rPr>
          <w:rFonts w:ascii="Arial" w:cs="Arial" w:eastAsia="Arial" w:hAnsi="Arial"/>
          <w:sz w:val="15"/>
          <w:szCs w:val="15"/>
          <w:color w:val="auto"/>
        </w:rPr>
      </w:pPr>
    </w:p>
    <w:p>
      <w:pPr>
        <w:ind w:left="466"/>
        <w:spacing w:after="0"/>
        <w:rPr>
          <w:rFonts w:ascii="Arial" w:cs="Arial" w:eastAsia="Arial" w:hAnsi="Arial"/>
          <w:sz w:val="15"/>
          <w:szCs w:val="15"/>
          <w:color w:val="auto"/>
        </w:rPr>
      </w:pPr>
      <w:r>
        <w:rPr>
          <w:rFonts w:ascii="Arial" w:cs="Arial" w:eastAsia="Arial" w:hAnsi="Arial"/>
          <w:sz w:val="15"/>
          <w:szCs w:val="15"/>
          <w:color w:val="auto"/>
        </w:rPr>
        <w:t>A reconciliation if EBITDA and Adjusted EBITDA to the most directly comparable GAAP financial measure, net income, is set forth in the following table:</w:t>
      </w:r>
    </w:p>
    <w:p>
      <w:pPr>
        <w:spacing w:after="0" w:line="70" w:lineRule="exact"/>
        <w:rPr>
          <w:sz w:val="20"/>
          <w:szCs w:val="20"/>
          <w:color w:val="auto"/>
        </w:rPr>
      </w:pPr>
    </w:p>
    <w:tbl>
      <w:tblPr>
        <w:tblLayout w:type="fixed"/>
        <w:tblInd w:w="6" w:type="dxa"/>
        <w:tblCellMar>
          <w:top w:w="0" w:type="dxa"/>
          <w:left w:w="0" w:type="dxa"/>
          <w:bottom w:w="0" w:type="dxa"/>
          <w:right w:w="0" w:type="dxa"/>
        </w:tblCellMar>
      </w:tblPr>
      <w:tr>
        <w:trPr>
          <w:trHeight w:val="151"/>
        </w:trPr>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7"/>
          </w:tcPr>
          <w:p>
            <w:pPr>
              <w:jc w:val="center"/>
              <w:ind w:left="12"/>
              <w:spacing w:after="0"/>
              <w:rPr>
                <w:sz w:val="20"/>
                <w:szCs w:val="20"/>
                <w:color w:val="auto"/>
              </w:rPr>
            </w:pPr>
            <w:r>
              <w:rPr>
                <w:rFonts w:ascii="Arial" w:cs="Arial" w:eastAsia="Arial" w:hAnsi="Arial"/>
                <w:sz w:val="12"/>
                <w:szCs w:val="12"/>
                <w:b w:val="1"/>
                <w:bCs w:val="1"/>
                <w:color w:val="auto"/>
                <w:w w:val="87"/>
              </w:rPr>
              <w:t>Fiscal Year Ended September 30,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83"/>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r>
      <w:tr>
        <w:trPr>
          <w:trHeight w:val="225"/>
        </w:trPr>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5"/>
              <w:spacing w:after="0"/>
              <w:rPr>
                <w:sz w:val="20"/>
                <w:szCs w:val="20"/>
                <w:color w:val="auto"/>
              </w:rPr>
            </w:pPr>
            <w:r>
              <w:rPr>
                <w:rFonts w:ascii="Arial" w:cs="Arial" w:eastAsia="Arial" w:hAnsi="Arial"/>
                <w:sz w:val="12"/>
                <w:szCs w:val="12"/>
                <w:b w:val="1"/>
                <w:bCs w:val="1"/>
                <w:color w:val="auto"/>
                <w:w w:val="89"/>
              </w:rPr>
              <w:t>1999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45"/>
              <w:spacing w:after="0"/>
              <w:rPr>
                <w:sz w:val="20"/>
                <w:szCs w:val="20"/>
                <w:color w:val="auto"/>
              </w:rPr>
            </w:pPr>
            <w:r>
              <w:rPr>
                <w:rFonts w:ascii="Arial" w:cs="Arial" w:eastAsia="Arial" w:hAnsi="Arial"/>
                <w:sz w:val="12"/>
                <w:szCs w:val="12"/>
                <w:b w:val="1"/>
                <w:bCs w:val="1"/>
                <w:color w:val="auto"/>
                <w:w w:val="89"/>
              </w:rPr>
              <w:t>2000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25"/>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ind w:right="45"/>
              <w:spacing w:after="0"/>
              <w:rPr>
                <w:sz w:val="20"/>
                <w:szCs w:val="20"/>
                <w:color w:val="auto"/>
              </w:rPr>
            </w:pPr>
            <w:r>
              <w:rPr>
                <w:rFonts w:ascii="Arial" w:cs="Arial" w:eastAsia="Arial" w:hAnsi="Arial"/>
                <w:sz w:val="12"/>
                <w:szCs w:val="12"/>
                <w:b w:val="1"/>
                <w:bCs w:val="1"/>
                <w:color w:val="auto"/>
              </w:rPr>
              <w:t>2003</w:t>
            </w:r>
          </w:p>
        </w:tc>
      </w:tr>
      <w:tr>
        <w:trPr>
          <w:trHeight w:val="83"/>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r>
      <w:tr>
        <w:trPr>
          <w:trHeight w:val="215"/>
        </w:trPr>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7"/>
          </w:tcPr>
          <w:p>
            <w:pPr>
              <w:jc w:val="center"/>
              <w:ind w:left="32"/>
              <w:spacing w:after="0"/>
              <w:rPr>
                <w:sz w:val="20"/>
                <w:szCs w:val="20"/>
                <w:color w:val="auto"/>
              </w:rPr>
            </w:pPr>
            <w:r>
              <w:rPr>
                <w:rFonts w:ascii="Arial" w:cs="Arial" w:eastAsia="Arial" w:hAnsi="Arial"/>
                <w:sz w:val="12"/>
                <w:szCs w:val="12"/>
                <w:b w:val="1"/>
                <w:bCs w:val="1"/>
                <w:color w:val="auto"/>
                <w:w w:val="89"/>
              </w:rPr>
              <w:t>(in millions)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income (a)</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$ 103.8</w:t>
            </w:r>
          </w:p>
        </w:tc>
      </w:tr>
      <w:tr>
        <w:trPr>
          <w:trHeight w:val="188"/>
        </w:trPr>
        <w:tc>
          <w:tcPr>
            <w:tcW w:w="6300" w:type="dxa"/>
            <w:vAlign w:val="bottom"/>
            <w:gridSpan w:val="3"/>
          </w:tcPr>
          <w:p>
            <w:pPr>
              <w:spacing w:after="0"/>
              <w:rPr>
                <w:sz w:val="20"/>
                <w:szCs w:val="20"/>
                <w:color w:val="auto"/>
              </w:rPr>
            </w:pPr>
            <w:r>
              <w:rPr>
                <w:rFonts w:ascii="Arial" w:cs="Arial" w:eastAsia="Arial" w:hAnsi="Arial"/>
                <w:sz w:val="15"/>
                <w:szCs w:val="15"/>
                <w:color w:val="auto"/>
              </w:rPr>
              <w:t>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79.1</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93.9</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87.7</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76.3</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69.2</w:t>
            </w: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13.2</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r>
      <w:tr>
        <w:trPr>
          <w:trHeight w:val="188"/>
        </w:trPr>
        <w:tc>
          <w:tcPr>
            <w:tcW w:w="6300" w:type="dxa"/>
            <w:vAlign w:val="bottom"/>
            <w:gridSpan w:val="3"/>
          </w:tcPr>
          <w:p>
            <w:pPr>
              <w:spacing w:after="0"/>
              <w:rPr>
                <w:sz w:val="20"/>
                <w:szCs w:val="20"/>
                <w:color w:val="auto"/>
              </w:rPr>
            </w:pPr>
            <w:r>
              <w:rPr>
                <w:rFonts w:ascii="Arial" w:cs="Arial" w:eastAsia="Arial" w:hAnsi="Arial"/>
                <w:sz w:val="15"/>
                <w:szCs w:val="15"/>
                <w:color w:val="auto"/>
              </w:rPr>
              <w:t>Depreciation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29.0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29.0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32.6</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34.4</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40.3</w:t>
            </w: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Amortization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27.7</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88"/>
        </w:trPr>
        <w:tc>
          <w:tcPr>
            <w:tcW w:w="6300" w:type="dxa"/>
            <w:vAlign w:val="bottom"/>
            <w:gridSpan w:val="3"/>
          </w:tcPr>
          <w:p>
            <w:pPr>
              <w:spacing w:after="0" w:line="188" w:lineRule="exact"/>
              <w:rPr>
                <w:sz w:val="20"/>
                <w:szCs w:val="20"/>
                <w:color w:val="auto"/>
              </w:rPr>
            </w:pPr>
            <w:r>
              <w:rPr>
                <w:rFonts w:ascii="Arial" w:cs="Arial" w:eastAsia="Arial" w:hAnsi="Arial"/>
                <w:sz w:val="15"/>
                <w:szCs w:val="15"/>
                <w:color w:val="auto"/>
              </w:rPr>
              <w:t>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amortization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1.6</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4.9</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3.3</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Cumulative effect of accounting change for intangible assets net of tax</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94"/>
        </w:trPr>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86"/>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EBITDA</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252.3</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271.2</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0"/>
              </w:rPr>
              <w:t>180.0</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282.7</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284.7</w:t>
            </w:r>
          </w:p>
        </w:tc>
      </w:tr>
      <w:tr>
        <w:trPr>
          <w:trHeight w:val="188"/>
        </w:trPr>
        <w:tc>
          <w:tcPr>
            <w:tcW w:w="6300" w:type="dxa"/>
            <w:vAlign w:val="bottom"/>
            <w:gridSpan w:val="3"/>
          </w:tcPr>
          <w:p>
            <w:pPr>
              <w:spacing w:after="0"/>
              <w:rPr>
                <w:sz w:val="20"/>
                <w:szCs w:val="20"/>
                <w:color w:val="auto"/>
              </w:rPr>
            </w:pPr>
            <w:r>
              <w:rPr>
                <w:rFonts w:ascii="Arial" w:cs="Arial" w:eastAsia="Arial" w:hAnsi="Arial"/>
                <w:sz w:val="15"/>
                <w:szCs w:val="15"/>
                <w:color w:val="auto"/>
              </w:rPr>
              <w:t>Restructuring and other charges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rPr>
              <w:t>75.7</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8.1</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Peat bog income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(5.8)</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8"/>
        </w:trPr>
        <w:tc>
          <w:tcPr>
            <w:tcW w:w="6300" w:type="dxa"/>
            <w:vAlign w:val="bottom"/>
            <w:gridSpan w:val="3"/>
          </w:tcPr>
          <w:p>
            <w:pPr>
              <w:spacing w:after="0"/>
              <w:rPr>
                <w:sz w:val="20"/>
                <w:szCs w:val="20"/>
                <w:color w:val="auto"/>
              </w:rPr>
            </w:pPr>
            <w:r>
              <w:rPr>
                <w:rFonts w:ascii="Arial" w:cs="Arial" w:eastAsia="Arial" w:hAnsi="Arial"/>
                <w:sz w:val="15"/>
                <w:szCs w:val="15"/>
                <w:color w:val="auto"/>
              </w:rPr>
              <w:t>Environmental charges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94"/>
        </w:trPr>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86"/>
        </w:trPr>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188"/>
        </w:trPr>
        <w:tc>
          <w:tcPr>
            <w:tcW w:w="63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253.7</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271.2</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0"/>
              </w:rPr>
              <w:t>255.7</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289.5</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$ 301.8</w:t>
            </w:r>
          </w:p>
        </w:tc>
      </w:tr>
      <w:tr>
        <w:trPr>
          <w:trHeight w:val="113"/>
        </w:trPr>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219"/>
        </w:trPr>
        <w:tc>
          <w:tcPr>
            <w:tcW w:w="4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-173355</wp:posOffset>
            </wp:positionV>
            <wp:extent cx="12700" cy="27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-173355</wp:posOffset>
            </wp:positionV>
            <wp:extent cx="1270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-173355</wp:posOffset>
            </wp:positionV>
            <wp:extent cx="2032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-173355</wp:posOffset>
            </wp:positionV>
            <wp:extent cx="12700" cy="27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-173355</wp:posOffset>
            </wp:positionV>
            <wp:extent cx="12700" cy="27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-173355</wp:posOffset>
            </wp:positionV>
            <wp:extent cx="20320"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-173355</wp:posOffset>
            </wp:positionV>
            <wp:extent cx="1270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-173355</wp:posOffset>
            </wp:positionV>
            <wp:extent cx="12700"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-173355</wp:posOffset>
            </wp:positionV>
            <wp:extent cx="20320" cy="27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-173355</wp:posOffset>
            </wp:positionV>
            <wp:extent cx="12700"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-173355</wp:posOffset>
            </wp:positionV>
            <wp:extent cx="2032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320" cy="27305"/>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-173355</wp:posOffset>
            </wp:positionV>
            <wp:extent cx="34925" cy="27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925" cy="27305"/>
                    </a:xfrm>
                    <a:prstGeom prst="rect">
                      <a:avLst/>
                    </a:prstGeom>
                    <a:noFill/>
                  </pic:spPr>
                </pic:pic>
              </a:graphicData>
            </a:graphic>
          </wp:anchor>
        </w:drawing>
        <w:drawing>
          <wp:anchor simplePos="0" relativeHeight="251657728" behindDoc="1" locked="0" layoutInCell="0" allowOverlap="1">
            <wp:simplePos x="0" y="0"/>
            <wp:positionH relativeFrom="column">
              <wp:posOffset>6971030</wp:posOffset>
            </wp:positionH>
            <wp:positionV relativeFrom="paragraph">
              <wp:posOffset>-173355</wp:posOffset>
            </wp:positionV>
            <wp:extent cx="12700" cy="27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-173355</wp:posOffset>
            </wp:positionV>
            <wp:extent cx="1270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7030720</wp:posOffset>
            </wp:positionH>
            <wp:positionV relativeFrom="paragraph">
              <wp:posOffset>-173355</wp:posOffset>
            </wp:positionV>
            <wp:extent cx="2032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320" cy="27305"/>
                    </a:xfrm>
                    <a:prstGeom prst="rect">
                      <a:avLst/>
                    </a:prstGeom>
                    <a:noFill/>
                  </pic:spPr>
                </pic:pic>
              </a:graphicData>
            </a:graphic>
          </wp:anchor>
        </w:drawing>
      </w:r>
    </w:p>
    <w:p>
      <w:pPr>
        <w:spacing w:after="0" w:line="114" w:lineRule="exact"/>
        <w:rPr>
          <w:sz w:val="20"/>
          <w:szCs w:val="20"/>
          <w:color w:val="auto"/>
        </w:rPr>
      </w:pPr>
    </w:p>
    <w:p>
      <w:pPr>
        <w:ind w:left="886" w:right="120" w:hanging="440"/>
        <w:spacing w:after="0" w:line="234" w:lineRule="auto"/>
        <w:tabs>
          <w:tab w:leader="none" w:pos="886"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Excludes extraordinary losses of $5.9 million, net of income taxes, in 1999 related to the extinguishment of the Company’s $100 million 9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Senior Subordinated Notes due August 2004.</w:t>
      </w:r>
    </w:p>
    <w:p>
      <w:pPr>
        <w:spacing w:after="0" w:line="12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6"/>
          </w:cols>
          <w:pgMar w:left="234" w:top="417" w:right="21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DESCRIPTION OF CERTAIN INDEBTEDNESS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Secured Credit Facility</w:t>
      </w:r>
    </w:p>
    <w:p>
      <w:pPr>
        <w:spacing w:after="0" w:line="78"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The following description is a summary of material provisions of our senior secured credit facility, which consists of a term loan facility and a revolving loan facility. It does not restate the New Credit Agreement in its entirety. We urge you to read the New Credit Agreement because it, and not this description, defines the terms of our outstanding senior indebtedness. We have not included the definitions of many of the defined terms contained in the New Credit Agreement, and we urge you to refer to such document for the definitions of capitalized terms in the following summary. The New Credit Agreement is an exhibit to our Form 10-K for the fiscal year ended September 30, 2003, which is incorporated herein by reference.</w:t>
      </w:r>
    </w:p>
    <w:p>
      <w:pPr>
        <w:spacing w:after="0" w:line="106"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5"/>
          <w:szCs w:val="15"/>
          <w:color w:val="auto"/>
        </w:rPr>
        <w:t>We and certain of our subsidiaries entered into the original senior secured credit agreement on December 4, 1998. The original senior secured credit agreement has subsequently been amended several times, including an amendment and restatement of the entire senior secured credit agreement on October 22, 2003 (referred to in this prospectus as the New Credit Agreement) in connection a refinancing of our outstanding indebtedness, of which the issuance of the Original Notes was a part.</w:t>
      </w:r>
    </w:p>
    <w:p>
      <w:pPr>
        <w:spacing w:after="0" w:line="98" w:lineRule="exact"/>
        <w:rPr>
          <w:sz w:val="20"/>
          <w:szCs w:val="20"/>
          <w:color w:val="auto"/>
        </w:rPr>
      </w:pPr>
    </w:p>
    <w:p>
      <w:pPr>
        <w:ind w:right="80" w:firstLine="457"/>
        <w:spacing w:after="0" w:line="276" w:lineRule="auto"/>
        <w:rPr>
          <w:sz w:val="20"/>
          <w:szCs w:val="20"/>
          <w:color w:val="auto"/>
        </w:rPr>
      </w:pPr>
      <w:r>
        <w:rPr>
          <w:rFonts w:ascii="Arial" w:cs="Arial" w:eastAsia="Arial" w:hAnsi="Arial"/>
          <w:sz w:val="15"/>
          <w:szCs w:val="15"/>
          <w:color w:val="auto"/>
        </w:rPr>
        <w:t>The New Credit Agreement establishes aggregate financing for us and certain of our subsidiaries which are designated (either at closing or in the future) as co-borrowers (“Subsidiary Borrowers”) in the aggregate principal amount of $1.2 billion. The credit financing is provided by a lending syndicate group consisting of more than 90 lenders worldwide, with JPMorgan Chase Bank serving as administrative agent.</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Amount of Additional Credit Available</w:t>
      </w:r>
    </w:p>
    <w:p>
      <w:pPr>
        <w:spacing w:after="0" w:line="74" w:lineRule="exact"/>
        <w:rPr>
          <w:sz w:val="20"/>
          <w:szCs w:val="20"/>
          <w:color w:val="auto"/>
        </w:rPr>
      </w:pPr>
    </w:p>
    <w:p>
      <w:pPr>
        <w:ind w:right="260" w:firstLine="457"/>
        <w:spacing w:after="0" w:line="271" w:lineRule="auto"/>
        <w:rPr>
          <w:sz w:val="20"/>
          <w:szCs w:val="20"/>
          <w:color w:val="auto"/>
        </w:rPr>
      </w:pPr>
      <w:r>
        <w:rPr>
          <w:rFonts w:ascii="Arial" w:cs="Arial" w:eastAsia="Arial" w:hAnsi="Arial"/>
          <w:sz w:val="15"/>
          <w:szCs w:val="15"/>
          <w:color w:val="auto"/>
        </w:rPr>
        <w:t>The New Credit Agreement provides for aggregate total senior secured credit financing in the principal amount of up to $1.2 billion, consisting of term loan facilities in the aggregate amount of $500.0 million, and a revolving loan facility in the amount of $700.0 million. Approximately $326.5 million was outstanding under the $525.0 million term loan facility of our old senior secured credit facility as of September 30, 2003, and no portion of the $575.0 million revolving credit facility of our old senior secured credit facility was outstanding as of September 30, 2003.</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Term Loan Facility</w:t>
      </w:r>
    </w:p>
    <w:p>
      <w:pPr>
        <w:spacing w:after="0" w:line="74"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color w:val="auto"/>
        </w:rPr>
        <w:t>The term loan facility under the New Credit Agreement is a single $500.0 million term loan denominated in U.S. dollars. Repayment of the term loan commences on March 31, 2004 with nominal quarterly principal payments through June 30, 2010 followed by a substantial final payment on September 30, 2010.</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Revolving Loan Facility</w:t>
      </w:r>
    </w:p>
    <w:p>
      <w:pPr>
        <w:spacing w:after="0" w:line="74"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The revolving loan facility under the New Credit Agreement consists of revolving commitments and loans thereunder in the amount of up to $700.0 million, which is available on a revolving basis for a term of five years. A portion of the existing revolving loan facility not to exceed $65.0 million is available for the issuance of letters of credit. The revolving loan facility is divided into four sub-facilities and is available for borrowing in various currencies, including U.S. Dollars, Euros, British Pounds Sterling, Canadian Dollars and Australian Dollars. The revolving loan facility matures on October 22, 2008.</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Prepayments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Loans may be prepaid and commitments may be reduced in certain specified minimum amounts. Prepayments of the term loans may not be reborrowed.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secured credit facility also provides for mandatory prepayments in certain specified events and in certain specified percentages, including:</w:t>
      </w:r>
    </w:p>
    <w:p>
      <w:pPr>
        <w:spacing w:after="0" w:line="74" w:lineRule="exact"/>
        <w:rPr>
          <w:sz w:val="20"/>
          <w:szCs w:val="20"/>
          <w:color w:val="auto"/>
        </w:rPr>
      </w:pPr>
    </w:p>
    <w:p>
      <w:pPr>
        <w:ind w:left="5640" w:right="2700" w:hanging="5200"/>
        <w:spacing w:after="0" w:line="471" w:lineRule="auto"/>
        <w:tabs>
          <w:tab w:leader="none" w:pos="783"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depending upon our Leverage Ratio at the applicable time, up to 50% of the Net Cash Proceeds of any sale or issuance of equity; 31</w:t>
      </w:r>
    </w:p>
    <w:p>
      <w:pPr>
        <w:sectPr>
          <w:pgSz w:w="11900" w:h="16838" w:orient="portrait"/>
          <w:cols w:equalWidth="0" w:num="1">
            <w:col w:w="11360"/>
          </w:cols>
          <w:pgMar w:left="240" w:top="417" w:right="29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780" w:hanging="340"/>
        <w:spacing w:after="0"/>
        <w:tabs>
          <w:tab w:leader="none" w:pos="7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100% of the Net Cash Proceeds of any incurrence of Indebtedness not currently expressly permitted by the credit facility;</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100% of the Net Cash Proceeds from any Asset Sale, subject to certain exceptions;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depending upon our Leverage Ratio at any applicable time, up to 50% of Excess Cash Flow.</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Interest</w:t>
      </w:r>
    </w:p>
    <w:p>
      <w:pPr>
        <w:spacing w:after="0" w:line="74" w:lineRule="exact"/>
        <w:rPr>
          <w:sz w:val="20"/>
          <w:szCs w:val="20"/>
          <w:color w:val="auto"/>
        </w:rPr>
      </w:pPr>
    </w:p>
    <w:p>
      <w:pPr>
        <w:ind w:right="240" w:firstLine="457"/>
        <w:spacing w:after="0" w:line="276" w:lineRule="auto"/>
        <w:rPr>
          <w:sz w:val="20"/>
          <w:szCs w:val="20"/>
          <w:color w:val="auto"/>
        </w:rPr>
      </w:pPr>
      <w:r>
        <w:rPr>
          <w:rFonts w:ascii="Arial" w:cs="Arial" w:eastAsia="Arial" w:hAnsi="Arial"/>
          <w:sz w:val="15"/>
          <w:szCs w:val="15"/>
          <w:color w:val="auto"/>
        </w:rPr>
        <w:t>A Pricing Grid establishes various interest rate options on the revolving loan facility and the term loan and is based upon the Leverage Ratio as determined by our consolidated financial statements. The interest rate options include a LIBOR option, and a base rate determined by a calculation which takes into effect the Prime Rate, the Base CD Rate, and the Federal Funds Effective Rate in effect as of any date of determination.</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Guaranties</w:t>
      </w:r>
    </w:p>
    <w:p>
      <w:pPr>
        <w:spacing w:after="0" w:line="74" w:lineRule="exact"/>
        <w:rPr>
          <w:sz w:val="20"/>
          <w:szCs w:val="20"/>
          <w:color w:val="auto"/>
        </w:rPr>
      </w:pPr>
    </w:p>
    <w:p>
      <w:pPr>
        <w:ind w:right="260" w:firstLine="457"/>
        <w:spacing w:after="0" w:line="291" w:lineRule="auto"/>
        <w:rPr>
          <w:sz w:val="20"/>
          <w:szCs w:val="20"/>
          <w:color w:val="auto"/>
        </w:rPr>
      </w:pPr>
      <w:r>
        <w:rPr>
          <w:rFonts w:ascii="Arial" w:cs="Arial" w:eastAsia="Arial" w:hAnsi="Arial"/>
          <w:sz w:val="15"/>
          <w:szCs w:val="15"/>
          <w:color w:val="auto"/>
        </w:rPr>
        <w:t>Scotts executed an unconditional guaranty of all of the obligations under the New Credit Agreement incurred by our Subsidiary Borrowers. Additionally, most of our domestic direct and indirect subsidiaries executed guaranties as well. Our offshore indirect subsidiaries did not execute any guaranties.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Collateral</w:t>
      </w:r>
    </w:p>
    <w:p>
      <w:pPr>
        <w:spacing w:after="0" w:line="74" w:lineRule="exact"/>
        <w:rPr>
          <w:sz w:val="20"/>
          <w:szCs w:val="20"/>
          <w:color w:val="auto"/>
        </w:rPr>
      </w:pPr>
    </w:p>
    <w:p>
      <w:pPr>
        <w:ind w:right="80" w:firstLine="457"/>
        <w:spacing w:after="0" w:line="267" w:lineRule="auto"/>
        <w:rPr>
          <w:sz w:val="20"/>
          <w:szCs w:val="20"/>
          <w:color w:val="auto"/>
        </w:rPr>
      </w:pPr>
      <w:r>
        <w:rPr>
          <w:rFonts w:ascii="Arial" w:cs="Arial" w:eastAsia="Arial" w:hAnsi="Arial"/>
          <w:sz w:val="15"/>
          <w:szCs w:val="15"/>
          <w:color w:val="auto"/>
        </w:rPr>
        <w:t>Scotts and all of our domestic subsidiaries pledged substantially all of our personal property assets to secure the obligations under the senior secured credit facility. Additionally, we and our domestic subsidiaries pledged any domestic real property assets having a value in excess of $500,000. We and our domestic subsidiaries pledged substantially all of our intellectual property assets as well. We and our direct and indirect subsidiaries also pledged substantially all of the stock which we each own in our own respective subsidiaries, except to the extent where any such pledge was limited by laws of a foreign country, would have resulted in adverse tax consequences, would have resulted in the pledge of stock of a subsidiary with a tangible net worth of less than $1.0 million, or would have resulted in the pledge of stock of a Foreign Subsidiary that was neither itself a Subsidiary Borrower or a first-tier subsidiary thereof.</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Covenants</w:t>
      </w:r>
    </w:p>
    <w:p>
      <w:pPr>
        <w:spacing w:after="0" w:line="74" w:lineRule="exact"/>
        <w:rPr>
          <w:sz w:val="20"/>
          <w:szCs w:val="20"/>
          <w:color w:val="auto"/>
        </w:rPr>
      </w:pPr>
    </w:p>
    <w:p>
      <w:pPr>
        <w:ind w:firstLine="457"/>
        <w:spacing w:after="0" w:line="319" w:lineRule="auto"/>
        <w:rPr>
          <w:sz w:val="20"/>
          <w:szCs w:val="20"/>
          <w:color w:val="auto"/>
        </w:rPr>
      </w:pPr>
      <w:r>
        <w:rPr>
          <w:rFonts w:ascii="Arial" w:cs="Arial" w:eastAsia="Arial" w:hAnsi="Arial"/>
          <w:sz w:val="13"/>
          <w:szCs w:val="13"/>
          <w:color w:val="auto"/>
        </w:rPr>
        <w:t>The New Credit Agreement contains standard negative covenants, including covenants which impose limitations on our ability to, among other things, (a) place liens on property, or incur contingent obligations, (b) sell all or substantially all of our assets, and (c) make any fundamental changes, or acquisitions, investments, loans or advances, except for certain specified Permitted Acquisitions. The New Credit Agreement also contains financial covenants consisting of the maintenance of a specified Leverage Ratio and a Minimum Interest Coverage ratio, over the life of the senior secured credit facility. These financial covenants are based upon operating performance levels in effect throughout the term of the senior secured credit facility. Both the Leverage Ratio and the Minimum Interest Coverage Ratio in the New Credit Agreement are less restrictive than under the previous senior secured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8.625% Senior Subordinated Notes due 2009</w:t>
      </w:r>
    </w:p>
    <w:p>
      <w:pPr>
        <w:spacing w:after="0" w:line="78" w:lineRule="exact"/>
        <w:rPr>
          <w:sz w:val="20"/>
          <w:szCs w:val="20"/>
          <w:color w:val="auto"/>
        </w:rPr>
      </w:pPr>
    </w:p>
    <w:p>
      <w:pPr>
        <w:ind w:firstLine="457"/>
        <w:spacing w:after="0" w:line="266" w:lineRule="auto"/>
        <w:rPr>
          <w:sz w:val="20"/>
          <w:szCs w:val="20"/>
          <w:color w:val="auto"/>
        </w:rPr>
      </w:pPr>
      <w:r>
        <w:rPr>
          <w:rFonts w:ascii="Arial" w:cs="Arial" w:eastAsia="Arial" w:hAnsi="Arial"/>
          <w:sz w:val="15"/>
          <w:szCs w:val="15"/>
          <w:color w:val="auto"/>
        </w:rPr>
        <w:t>In January 1999, we issued $330.0 million aggregate principal amount of our 8.625% senior subordinated notes due 2009 and, in February 2002, we issued an additional $70.0 million aggregate principal amount of such 8.625% senior subordinated notes due 2009. As part of the refinancing of our outstanding indebtedness, on September 15, 2003, we commenced a tender offer to repurchase all $400.0 million aggregate principal amount of these outstanding 8.625% senior subordinated notes and to solicit exit consents to certain proposed amendments to the indenture pursuant to which such notes were issued. These amendments, which became effective on October 22, 2003, effectively stripped all of the restrictive covenants of such notes other than our obligation to pay interest and principal. Pursuant to the tender offer, we repurchased $386.8 million of these notes on October 22, 2003. On November 21, 2003, we delivered notice to the trustee for these notes to redeem the remaining $13.2 million principal amount of the notes effective on the first call date of January 15, 2004 at 104.313% per $1,000 note plus accrued but unpaid interest.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00"/>
          </w:cols>
          <w:pgMar w:left="240" w:top="417" w:right="2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NOTES</w:t>
      </w:r>
    </w:p>
    <w:p>
      <w:pPr>
        <w:spacing w:after="0" w:line="149"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You can find the definitions of certain terms used in this description under the caption “—Certain Definitions.” In this description, the words “Company,” “Issuer,” “Scotts,” “us,” “we” and “our” refer only to The Scotts Company and not to any of its subsidiaries.</w:t>
      </w:r>
    </w:p>
    <w:p>
      <w:pPr>
        <w:spacing w:after="0" w:line="87"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The Company issued the Original Notes, and will issue the Exchange Notes, under an Indenture to be dated as of the Issue Date (the “Indenture”) among itself, the Guarantors and U.S. Bank National Association, as trustee (the “Trustee”). The terms of the Notes include those stated in the Indenture and those made part of the Indenture by reference to the Trust Indenture Act of 1939 (the “Trust Indenture Act”).</w:t>
      </w:r>
    </w:p>
    <w:p>
      <w:pPr>
        <w:spacing w:after="0" w:line="98"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The following description is a summary of the material provisions of the Indenture, including the definitions therein of certain terms used below. It does not restate the Indenture in its entirety. We urge you to read the Indenture because it, and not this description, defines your rights as Holders of these Notes. Copies of the Indenture are available, without charge, as set forth under the caption “Available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Brief Description of the Notes and the Guarantees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Notes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Notes:</w:t>
      </w:r>
    </w:p>
    <w:p>
      <w:pPr>
        <w:spacing w:after="0" w:line="74" w:lineRule="exact"/>
        <w:rPr>
          <w:sz w:val="20"/>
          <w:szCs w:val="20"/>
          <w:color w:val="auto"/>
        </w:rPr>
      </w:pPr>
    </w:p>
    <w:p>
      <w:pPr>
        <w:ind w:left="780" w:hanging="340"/>
        <w:spacing w:after="0"/>
        <w:tabs>
          <w:tab w:leader="none" w:pos="7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are general obligations of the Company;</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are subordinated in right of payment to all existing and future Senior Debt of the Company;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are senior in right of payment to any future junior subordinated Indebtedness of the Company.</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Guarantees</w:t>
      </w:r>
    </w:p>
    <w:p>
      <w:pPr>
        <w:spacing w:after="0" w:line="74"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5"/>
          <w:szCs w:val="15"/>
          <w:color w:val="auto"/>
        </w:rPr>
        <w:t>These Notes are guaranteed by all of the existing and future Domestic Restricted Subsidiaries of the Company, except for Custom Lawn Care Service, Inc. (“Custom”), Sanford Scientific, Inc. (“Sanford”) and future domestic restricted subsidiaries which are below a materiality threshold. See “—Certain Covenants—Additional Subsidiary Guarantees.” Neither Custom nor Sanford is a Significant Subsidiary of the Company. We have adopted a plan of liquidation for Custom and expect to complete its liquidation upon receiving requisite state approval.</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Guarantees of these Notes:</w:t>
      </w:r>
    </w:p>
    <w:p>
      <w:pPr>
        <w:spacing w:after="0" w:line="74" w:lineRule="exact"/>
        <w:rPr>
          <w:sz w:val="20"/>
          <w:szCs w:val="20"/>
          <w:color w:val="auto"/>
        </w:rPr>
      </w:pPr>
    </w:p>
    <w:p>
      <w:pPr>
        <w:ind w:left="780" w:hanging="340"/>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are general obligations of each Guarantor;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are subordinated in right of payment to all existing and future Senior Debt of each Guarantor;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are senior in right of payment to any future junior subordinated Indebtedness of each Guarantor.</w:t>
      </w:r>
    </w:p>
    <w:p>
      <w:pPr>
        <w:spacing w:after="0" w:line="145" w:lineRule="exact"/>
        <w:rPr>
          <w:sz w:val="20"/>
          <w:szCs w:val="20"/>
          <w:color w:val="auto"/>
        </w:rPr>
      </w:pPr>
    </w:p>
    <w:p>
      <w:pPr>
        <w:ind w:right="20" w:firstLine="457"/>
        <w:spacing w:after="0" w:line="288" w:lineRule="auto"/>
        <w:rPr>
          <w:sz w:val="20"/>
          <w:szCs w:val="20"/>
          <w:color w:val="auto"/>
        </w:rPr>
      </w:pPr>
      <w:r>
        <w:rPr>
          <w:rFonts w:ascii="Arial" w:cs="Arial" w:eastAsia="Arial" w:hAnsi="Arial"/>
          <w:sz w:val="14"/>
          <w:szCs w:val="14"/>
          <w:color w:val="auto"/>
        </w:rPr>
        <w:t>As of September 30, 2003, on an as adjusted basis to give effect to the refinancing of our outstanding indebtedness, the Company and the Guarantors would have had total Senior Debt of approximately $538.0 million. As indicated above and as discussed in detail below under the caption “—Subordination,” payments on the Notes and under the Guarantees will be subordinated to the payment of Senior Debt. The Indenture permits us and the Guarantors to incur additional Senior Debt. As of the date hereof, all of our subsidiaries, including our Foreign Subsidiaries, are “Restricted Subsidiaries.” However, under the circumstances described below under the caption “—Certain Covenants—Restricted Payments,” we are permitted to designate certain of our subsidiaries as “Unrestricted Subsidiaries.” Unrestricted Subsidiaries are not subject to many of the restrictive covenants in the Indenture and will not guarantee these Notes. All of our “Restricted Subsidiaries,” except for Custom, Sanford our Foreign Subsidiaries and future Domestic Restricted Subsidiaries which are below a materiality threshold, guarantee the Notes. See “—Certain Covenants—Additional Subsidiary Guarantees.” In the event of 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0"/>
          </w:cols>
          <w:pgMar w:left="240" w:top="417"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22.1% of our consolidated revenues and 5.4% of our consolidated operating income for the year ended September 30, 2003 and held approximately 23.4% of our consolidated assets as of September 30, 2003.</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the date of this prospectus, the following Restricted Subsidiaries are Guarantors of these Notes:</w:t>
      </w:r>
    </w:p>
    <w:p>
      <w:pPr>
        <w:spacing w:after="0" w:line="7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 Manufacturing Company</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Miracle-Gro Lawn Products,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OMS Investments,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Hyponex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 Products Co.</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 Professional Products Co.</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 Temecula Operations,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Scotts-Sierra Horticultural Products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Scotts-Sierra Crop Protection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Scotts-Sierra Investments,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Swiss Farms Products,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EG Systems, Inc. (d/b/a Scotts LawnService)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Maturity and Interest</w:t>
      </w:r>
    </w:p>
    <w:p>
      <w:pPr>
        <w:spacing w:after="0" w:line="78"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The Indenture does not limit the maximum aggregate principal amount of Notes that the Company may issue thereunder. The Company will issue an aggregate principal amount of $200.0 million of Notes in this exchange offer. The Company may issue additional notes (the “Additional Notes”) from time to time after this offering. The Notes and any Additional Notes subsequently issued under the Indenture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Notes are issued only in denominations of $1,000 and integral multiples of $1,000. The Notes will mature on November 15, 2013.</w:t>
      </w:r>
    </w:p>
    <w:p>
      <w:pPr>
        <w:spacing w:after="0" w:line="145"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Interest on the Notes accrues at the rate of 6.625% per annum from the Issue Date. Interest is payable semi-annually in arrears on May 15 and November 15, commencing on May 15, 2004. The Company will make each interest payment to the Holders of record of the Notes on the immediately preceding May 1 and November 1.</w:t>
      </w:r>
    </w:p>
    <w:p>
      <w:pPr>
        <w:spacing w:after="0" w:line="87"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Methods of Receiving Payments on the Notes</w:t>
      </w:r>
    </w:p>
    <w:p>
      <w:pPr>
        <w:spacing w:after="0" w:line="78"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If a Holder has given wire transfer instructions to the Company, the Company will make all principal, premium and interest and Additional Interest, if any,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address set forth in the register of Holders.</w:t>
      </w:r>
    </w:p>
    <w:p>
      <w:pPr>
        <w:spacing w:after="0" w:line="8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We will pay principal of, premium, if any, and interest on, the Notes in global form registered in the name of The Depository Trust Company or its nominee in immediately available funds to The Depository Trust Company or its nominee, as the case may be, as the registered holder of such global Notes.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417"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Paying Agent and Registrar for the Notes</w:t>
      </w:r>
    </w:p>
    <w:p>
      <w:pPr>
        <w:spacing w:after="0" w:line="78"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and Exchange</w:t>
      </w:r>
    </w:p>
    <w:p>
      <w:pPr>
        <w:spacing w:after="0" w:line="78"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A Holder may transfer or exchange Notes only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 The registered Holder of a Note will be treated as the owner of it for all purposes.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Subsidiary Guarantees</w:t>
      </w:r>
    </w:p>
    <w:p>
      <w:pPr>
        <w:spacing w:after="0" w:line="78"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The Guarantors jointly and severally guarantee the Company’s obligations under the Notes. Each Subsidiary Guarantee is subordinated to the prior payment in full of all Senior Debt of that Guarantor. The obligations of each Guarantor under its Subsidiary Guarantee are limited as necessary to prevent that Subsidiary Guarantee from constituting a fraudulent conveyance under applicable law.</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Guarantor may not sell or otherwise dispose of all or substantially all of its assets, or consolidate with or merge with or into (whether or not such Guarantor is the surviving</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Person), another Person unless:</w:t>
      </w:r>
    </w:p>
    <w:p>
      <w:pPr>
        <w:spacing w:after="0" w:line="68" w:lineRule="exact"/>
        <w:rPr>
          <w:sz w:val="20"/>
          <w:szCs w:val="20"/>
          <w:color w:val="auto"/>
        </w:rPr>
      </w:pPr>
    </w:p>
    <w:p>
      <w:pPr>
        <w:ind w:left="1100" w:hanging="209"/>
        <w:spacing w:after="0"/>
        <w:tabs>
          <w:tab w:leader="none" w:pos="11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immediately after giving effect to that transaction, no Default or Event of Default exists;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either:</w:t>
      </w:r>
    </w:p>
    <w:p>
      <w:pPr>
        <w:spacing w:after="0" w:line="74" w:lineRule="exact"/>
        <w:rPr>
          <w:rFonts w:ascii="Arial" w:cs="Arial" w:eastAsia="Arial" w:hAnsi="Arial"/>
          <w:sz w:val="15"/>
          <w:szCs w:val="15"/>
          <w:color w:val="auto"/>
        </w:rPr>
      </w:pPr>
    </w:p>
    <w:p>
      <w:pPr>
        <w:ind w:left="900" w:right="500" w:firstLine="430"/>
        <w:spacing w:after="0" w:line="291" w:lineRule="auto"/>
        <w:tabs>
          <w:tab w:leader="none" w:pos="1529"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Person acquiring the property in any such sale or disposition or the Person formed by or surviving any such consolidation or merger assumes all the obligations of that Guarantor under its Subsidiary Guarantee pursuant to a supplemental indenture satisfactory to the Trustee; or</w:t>
      </w:r>
    </w:p>
    <w:p>
      <w:pPr>
        <w:spacing w:after="0" w:line="16" w:lineRule="exact"/>
        <w:rPr>
          <w:rFonts w:ascii="Arial" w:cs="Arial" w:eastAsia="Arial" w:hAnsi="Arial"/>
          <w:sz w:val="15"/>
          <w:szCs w:val="15"/>
          <w:color w:val="auto"/>
        </w:rPr>
      </w:pPr>
    </w:p>
    <w:p>
      <w:pPr>
        <w:ind w:left="1540" w:hanging="210"/>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Net Proceeds of such sale or other disposition are applied in accordance with the applicable provisions of the Indenture.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Subsidiary Guarantee of a Guarantor will be released:</w:t>
      </w:r>
    </w:p>
    <w:p>
      <w:pPr>
        <w:spacing w:after="0" w:line="74" w:lineRule="exact"/>
        <w:rPr>
          <w:sz w:val="20"/>
          <w:szCs w:val="20"/>
          <w:color w:val="auto"/>
        </w:rPr>
      </w:pPr>
    </w:p>
    <w:p>
      <w:pPr>
        <w:ind w:left="460" w:firstLine="431"/>
        <w:spacing w:after="0" w:line="291" w:lineRule="auto"/>
        <w:tabs>
          <w:tab w:leader="none" w:pos="1115"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connection with any sale or other disposition of all or substantially all of the assets of that Guarantor (including by way of merger or consolidation), if the Company applies the Net Proceeds of that sale or other disposition in accordance with the applicable provisions of the Indenture; or</w:t>
      </w:r>
    </w:p>
    <w:p>
      <w:pPr>
        <w:spacing w:after="0" w:line="16"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 connection with any sale of all of the capital stock of a Guarantor, if the Company applies the Net Proceeds of that sale in accordance with the applicable provisions of the Indenture; or</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 the Company designates any Restricted Subsidiary that is a Guarantor as an Unrestricted Subsidiary.</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See “Repurchase at the Option of Holders—Asset Sales.”</w:t>
      </w:r>
    </w:p>
    <w:p>
      <w:pPr>
        <w:spacing w:after="0" w:line="145"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Notwithstanding the foregoing, any Guarantor may sell or otherwise dispose of all or substantially all of its assets to, or consolidate with or merge into, the Company or another Guarantor, upon the consummation of which the Subsidiary Guarantee of such Guarantor shall be released.</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Subordination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payment of principal, premium, interest and Additional Interest, if any, on the Notes will be subordinated to the prior payment in full of all Senior Debt of the Company.</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80"/>
          </w:cols>
          <w:pgMar w:left="240" w:top="417" w:right="3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The holders of Senior Debt will be entitled to receive payment in full of all Obligations due in respect of Senior Debt (including interest after the commencement of any such proceeding at the rate specified in the applicable Senior Debt) before the Holders of Notes will be entitled to receive any payment with respect to the Notes (except that Holders of Notes may receive and retain Permitted Junior Securities and payments made from the trust described under “—Legal Defeasance and Covenant Defeasance”), in the event of any distribution to creditors of the Company:</w:t>
      </w:r>
    </w:p>
    <w:p>
      <w:pPr>
        <w:spacing w:after="0" w:line="31" w:lineRule="exact"/>
        <w:rPr>
          <w:sz w:val="20"/>
          <w:szCs w:val="20"/>
          <w:color w:val="auto"/>
        </w:rPr>
      </w:pPr>
    </w:p>
    <w:p>
      <w:pPr>
        <w:ind w:left="1100" w:hanging="209"/>
        <w:spacing w:after="0"/>
        <w:tabs>
          <w:tab w:leader="none" w:pos="11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a liquidation or dissolution of the Company;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a bankruptcy, reorganization, insolvency, receivership or similar proceeding relating to the Company or its property;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an assignment for the benefit of creditors;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any marshaling of the Company’s assets and liabilities.</w:t>
      </w:r>
    </w:p>
    <w:p>
      <w:pPr>
        <w:spacing w:after="0" w:line="145"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The Company also may not make any payment in respect of the Notes (except in Permitted Junior Securities or from the trust described under “ —Legal Defeasance and Covenant Defeasance”) if:</w:t>
      </w:r>
    </w:p>
    <w:p>
      <w:pPr>
        <w:spacing w:after="0" w:line="16" w:lineRule="exact"/>
        <w:rPr>
          <w:sz w:val="20"/>
          <w:szCs w:val="20"/>
          <w:color w:val="auto"/>
        </w:rPr>
      </w:pPr>
    </w:p>
    <w:p>
      <w:pPr>
        <w:ind w:left="1100" w:hanging="209"/>
        <w:spacing w:after="0"/>
        <w:tabs>
          <w:tab w:leader="none" w:pos="11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payment default on Designated Senior Debt occurs and is continuing beyond any applicable grace period; or</w:t>
      </w:r>
    </w:p>
    <w:p>
      <w:pPr>
        <w:spacing w:after="0" w:line="74" w:lineRule="exact"/>
        <w:rPr>
          <w:rFonts w:ascii="Arial" w:cs="Arial" w:eastAsia="Arial" w:hAnsi="Arial"/>
          <w:sz w:val="15"/>
          <w:szCs w:val="15"/>
          <w:color w:val="auto"/>
        </w:rPr>
      </w:pPr>
    </w:p>
    <w:p>
      <w:pPr>
        <w:ind w:left="460" w:right="400" w:firstLine="431"/>
        <w:spacing w:after="0" w:line="291" w:lineRule="auto"/>
        <w:tabs>
          <w:tab w:leader="none" w:pos="1115"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other default occurs and is continuing on Designated Senior Debt that permits holders of the Designated Senior Debt to accelerate its maturity and the Trustee receives a notice of such default (a “Payment Blockage Notice”) from the Company or the holders of any Designated Senior Debt.</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Payments on the Notes may and shall be resumed:</w:t>
      </w:r>
    </w:p>
    <w:p>
      <w:pPr>
        <w:spacing w:after="0" w:line="74" w:lineRule="exact"/>
        <w:rPr>
          <w:sz w:val="20"/>
          <w:szCs w:val="20"/>
          <w:color w:val="auto"/>
        </w:rPr>
      </w:pPr>
    </w:p>
    <w:p>
      <w:pPr>
        <w:ind w:left="1100" w:hanging="209"/>
        <w:spacing w:after="0"/>
        <w:tabs>
          <w:tab w:leader="none" w:pos="11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the case of a payment default, upon the date on which such default is cured or waived; and</w:t>
      </w:r>
    </w:p>
    <w:p>
      <w:pPr>
        <w:spacing w:after="0" w:line="74"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case of a nonpayment default, the earlier of the date on which such nonpayment default is cured or waived or 179 days after the date on which the applicable Payment Blockage Notice is received, unless the maturity of any Designated Senior Debt has been accelerated.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new Payment Blockage Notice may be delivered unless and until:</w:t>
      </w:r>
    </w:p>
    <w:p>
      <w:pPr>
        <w:spacing w:after="0" w:line="74" w:lineRule="exact"/>
        <w:rPr>
          <w:sz w:val="20"/>
          <w:szCs w:val="20"/>
          <w:color w:val="auto"/>
        </w:rPr>
      </w:pPr>
    </w:p>
    <w:p>
      <w:pPr>
        <w:ind w:left="1100" w:hanging="209"/>
        <w:spacing w:after="0"/>
        <w:tabs>
          <w:tab w:leader="none" w:pos="11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360 days have elapsed since the effectiveness of the immediately prior Payment Blockage Notice;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all scheduled payments of principal, premium and interest and Additional Interest, if any, on the Notes that have come due have been paid in full in cash.</w:t>
      </w:r>
    </w:p>
    <w:p>
      <w:pPr>
        <w:spacing w:after="0" w:line="145" w:lineRule="exact"/>
        <w:rPr>
          <w:sz w:val="20"/>
          <w:szCs w:val="20"/>
          <w:color w:val="auto"/>
        </w:rPr>
      </w:pPr>
    </w:p>
    <w:p>
      <w:pPr>
        <w:ind w:right="400" w:firstLine="457"/>
        <w:spacing w:after="0" w:line="291" w:lineRule="auto"/>
        <w:rPr>
          <w:sz w:val="20"/>
          <w:szCs w:val="20"/>
          <w:color w:val="auto"/>
        </w:rPr>
      </w:pPr>
      <w:r>
        <w:rPr>
          <w:rFonts w:ascii="Arial" w:cs="Arial" w:eastAsia="Arial" w:hAnsi="Arial"/>
          <w:sz w:val="15"/>
          <w:szCs w:val="15"/>
          <w:color w:val="auto"/>
        </w:rPr>
        <w:t>No nonpayment default that existed or was continuing on the date of delivery of any Payment Blockage Notice to the Trustee shall be, or be made, the basis for a subsequent Payment Blockage Notice unless such default shall have been waived for a period of not less than 90 days.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must promptly notify holders of Senior Debt if payment of the Notes is accelerated because of an Event of Default.</w:t>
      </w:r>
    </w:p>
    <w:p>
      <w:pPr>
        <w:spacing w:after="0" w:line="145"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As a result of the subordination provisions described above, in the event of a bankruptcy, liquidation or reorganization of the Company, Holders of these Notes may recover less ratably than creditors of the Company who are holders of Senior Debt.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Optional Redemption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Except as described below, the Notes will not be redeemable at the Company’s option prior to November 15, 2008.</w:t>
      </w:r>
    </w:p>
    <w:p>
      <w:pPr>
        <w:spacing w:after="0" w:line="145"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After November 15, 2008, the Company may redeem all or a part of these Notes upon not less than 30 nor more than 60 days notice, at the redemption prices (expressed as percentages of principal amount) set forth below</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20"/>
          </w:cols>
          <w:pgMar w:left="240" w:top="417"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plus accrued and unpaid interest and Additional Interest thereon, if any, to the applicable redemption date, if redeemed during the twelve-month period beginning on November 15 of the years indicated below:</w:t>
      </w:r>
    </w:p>
    <w:p>
      <w:pPr>
        <w:spacing w:after="0" w:line="83"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8520" w:type="dxa"/>
            <w:vAlign w:val="bottom"/>
            <w:gridSpan w:val="3"/>
          </w:tcPr>
          <w:p>
            <w:pPr>
              <w:spacing w:after="0"/>
              <w:rPr>
                <w:sz w:val="20"/>
                <w:szCs w:val="20"/>
                <w:color w:val="auto"/>
              </w:rPr>
            </w:pPr>
            <w:r>
              <w:rPr>
                <w:rFonts w:ascii="Arial" w:cs="Arial" w:eastAsia="Arial" w:hAnsi="Arial"/>
                <w:sz w:val="12"/>
                <w:szCs w:val="12"/>
                <w:b w:val="1"/>
                <w:bCs w:val="1"/>
                <w:color w:val="auto"/>
              </w:rPr>
              <w:t>Redemption Year</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74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1100" w:type="dxa"/>
            <w:vAlign w:val="bottom"/>
          </w:tcPr>
          <w:p>
            <w:pPr>
              <w:spacing w:after="0"/>
              <w:rPr>
                <w:sz w:val="7"/>
                <w:szCs w:val="7"/>
                <w:color w:val="auto"/>
              </w:rPr>
            </w:pPr>
          </w:p>
        </w:tc>
        <w:tc>
          <w:tcPr>
            <w:tcW w:w="7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5"/>
                <w:szCs w:val="15"/>
                <w:color w:val="auto"/>
              </w:rPr>
              <w:t>2008</w:t>
            </w:r>
          </w:p>
        </w:tc>
        <w:tc>
          <w:tcPr>
            <w:tcW w:w="7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103.313%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2009</w:t>
            </w:r>
          </w:p>
        </w:tc>
        <w:tc>
          <w:tcPr>
            <w:tcW w:w="74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102.208%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5"/>
                <w:szCs w:val="15"/>
                <w:color w:val="auto"/>
              </w:rPr>
              <w:t>2010</w:t>
            </w:r>
          </w:p>
        </w:tc>
        <w:tc>
          <w:tcPr>
            <w:tcW w:w="7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101.104%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5"/>
                <w:szCs w:val="15"/>
                <w:color w:val="auto"/>
              </w:rPr>
              <w:t>2011 and thereafter</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100.000%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457"/>
        <w:spacing w:after="0" w:line="333" w:lineRule="auto"/>
        <w:rPr>
          <w:sz w:val="20"/>
          <w:szCs w:val="20"/>
          <w:color w:val="auto"/>
        </w:rPr>
      </w:pPr>
      <w:r>
        <w:rPr>
          <w:rFonts w:ascii="Arial" w:cs="Arial" w:eastAsia="Arial" w:hAnsi="Arial"/>
          <w:sz w:val="13"/>
          <w:szCs w:val="13"/>
          <w:color w:val="auto"/>
        </w:rPr>
        <w:t xml:space="preserve">Prior to November 15, 2006, the Company may on any one or more occasions redeem up to 35% of the original principal amount of the Notes (calculated after giving effect to any issuance of Additional Notes) with the Net Cash Proceeds of one or more Equity Offerings at a redemption price of 106.625%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ind w:left="1100" w:hanging="209"/>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there is a Public Market at the time of such redemption;</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least 65% of the original principal amount of the Notes remains outstanding after each such redemption;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redemption occurs within 60 days after the closing of such Equity Offering.</w:t>
      </w:r>
    </w:p>
    <w:p>
      <w:pPr>
        <w:spacing w:after="0" w:line="145" w:lineRule="exact"/>
        <w:rPr>
          <w:sz w:val="20"/>
          <w:szCs w:val="20"/>
          <w:color w:val="auto"/>
        </w:rPr>
      </w:pPr>
    </w:p>
    <w:p>
      <w:pPr>
        <w:jc w:val="both"/>
        <w:ind w:right="140" w:firstLine="457"/>
        <w:spacing w:after="0" w:line="276" w:lineRule="auto"/>
        <w:rPr>
          <w:sz w:val="20"/>
          <w:szCs w:val="20"/>
          <w:color w:val="auto"/>
        </w:rPr>
      </w:pPr>
      <w:r>
        <w:rPr>
          <w:rFonts w:ascii="Arial" w:cs="Arial" w:eastAsia="Arial" w:hAnsi="Arial"/>
          <w:sz w:val="15"/>
          <w:szCs w:val="15"/>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98" w:lineRule="exact"/>
        <w:rPr>
          <w:sz w:val="20"/>
          <w:szCs w:val="20"/>
          <w:color w:val="auto"/>
        </w:rPr>
      </w:pPr>
    </w:p>
    <w:p>
      <w:pPr>
        <w:ind w:firstLine="457"/>
        <w:spacing w:after="0" w:line="337" w:lineRule="auto"/>
        <w:rPr>
          <w:sz w:val="20"/>
          <w:szCs w:val="20"/>
          <w:color w:val="auto"/>
        </w:rPr>
      </w:pPr>
      <w:r>
        <w:rPr>
          <w:rFonts w:ascii="Arial" w:cs="Arial" w:eastAsia="Arial" w:hAnsi="Arial"/>
          <w:sz w:val="13"/>
          <w:szCs w:val="13"/>
          <w:color w:val="auto"/>
        </w:rPr>
        <w:t>In addition, at any time prior to November 15, 2008, the Notes may be redeemed or purchased, by or on behalf of the Company, in whole or in part, at the Company’s option, upon not less than 30 nor more than 60 days notice, at a redemption or purchase price equal to 100% of the principal amount thereof plus the Applicable Premium plus accrued and unpaid interest, if any, to the redemption or purchase date (subject to the right of holders of record on the relevant record date to receive interest due on the relevant interest payment date).</w:t>
      </w:r>
    </w:p>
    <w:p>
      <w:pPr>
        <w:spacing w:after="0" w:line="63" w:lineRule="exact"/>
        <w:rPr>
          <w:sz w:val="20"/>
          <w:szCs w:val="20"/>
          <w:color w:val="auto"/>
        </w:rPr>
      </w:pPr>
    </w:p>
    <w:p>
      <w:pPr>
        <w:ind w:right="40" w:firstLine="457"/>
        <w:spacing w:after="0" w:line="304" w:lineRule="auto"/>
        <w:rPr>
          <w:sz w:val="20"/>
          <w:szCs w:val="20"/>
          <w:color w:val="auto"/>
        </w:rPr>
      </w:pPr>
      <w:r>
        <w:rPr>
          <w:rFonts w:ascii="Arial" w:cs="Arial" w:eastAsia="Arial" w:hAnsi="Arial"/>
          <w:sz w:val="14"/>
          <w:szCs w:val="14"/>
          <w:color w:val="auto"/>
        </w:rPr>
        <w:t>“Applicable Premium” means, with respect to a Note at any Redemption Date, the greater of (i) 1.0% of the principal amount of such Note and (ii) the excess of (A) the present value at such time of (1) the redemption price of such Note at November 15, 2008 (such redemption price being set forth in the table above) plus (2) all required interest payments due on such Note through November 15, 2008, computed using a discount rate equal to the Treasury Rate plus 50 basis points, over (B) the principal amount of such Note.</w:t>
      </w:r>
    </w:p>
    <w:p>
      <w:pPr>
        <w:spacing w:after="0" w:line="81" w:lineRule="exact"/>
        <w:rPr>
          <w:sz w:val="20"/>
          <w:szCs w:val="20"/>
          <w:color w:val="auto"/>
        </w:rPr>
      </w:pPr>
    </w:p>
    <w:p>
      <w:pPr>
        <w:ind w:right="20" w:firstLine="457"/>
        <w:spacing w:after="0" w:line="266" w:lineRule="auto"/>
        <w:rPr>
          <w:sz w:val="20"/>
          <w:szCs w:val="20"/>
          <w:color w:val="auto"/>
        </w:rPr>
      </w:pPr>
      <w:r>
        <w:rPr>
          <w:rFonts w:ascii="Arial" w:cs="Arial" w:eastAsia="Arial" w:hAnsi="Arial"/>
          <w:sz w:val="15"/>
          <w:szCs w:val="15"/>
          <w:color w:val="auto"/>
        </w:rPr>
        <w:t xml:space="preserve">“Treasury Rate”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Redemption Date (or, if such Statistical Release is no longer published, any publicly available source or similar market data)) most nearly equal to the period from the Redemption Date to November 15, 2008;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period from the Redemption Date to November 15, 2008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November 15, 2008 is less than one year, the weekly average yield on actually traded United States Treasury securities adjusted to a constant maturity of one year shall be used.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Mandatory Redemption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is not required to make mandatory redemption or sinking fund payments with respect to the Notes.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00"/>
          </w:cols>
          <w:pgMar w:left="240" w:top="417"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 at the Option of Holders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Offer to Repurchase Upon Change of Control</w:t>
      </w:r>
    </w:p>
    <w:p>
      <w:pPr>
        <w:spacing w:after="0" w:line="74" w:lineRule="exact"/>
        <w:rPr>
          <w:sz w:val="20"/>
          <w:szCs w:val="20"/>
          <w:color w:val="auto"/>
        </w:rPr>
      </w:pPr>
    </w:p>
    <w:p>
      <w:pPr>
        <w:ind w:firstLine="457"/>
        <w:spacing w:after="0" w:line="266" w:lineRule="auto"/>
        <w:rPr>
          <w:sz w:val="20"/>
          <w:szCs w:val="20"/>
          <w:color w:val="auto"/>
        </w:rPr>
      </w:pPr>
      <w:r>
        <w:rPr>
          <w:rFonts w:ascii="Arial" w:cs="Arial" w:eastAsia="Arial" w:hAnsi="Arial"/>
          <w:sz w:val="15"/>
          <w:szCs w:val="15"/>
          <w:color w:val="auto"/>
        </w:rPr>
        <w:t>If a Change of Control occurs, each Holder of Notes will have the right to require the Company to repurchase all or any part (equal to $1,000 or an integral multiple thereof) of that Holder’s Notes pursuant to the Change of Control Offer. In the Change of Control Offer, the Company will offer a Change of Control Payment in cash equal to 101% of the aggregate principal amount of Notes repurchased plus accrued and unpaid interest and Additional Interest thereon, if any,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Change of Control Payment Date, the Company will, to the extent lawful:</w:t>
      </w:r>
    </w:p>
    <w:p>
      <w:pPr>
        <w:spacing w:after="0" w:line="74" w:lineRule="exact"/>
        <w:rPr>
          <w:sz w:val="20"/>
          <w:szCs w:val="20"/>
          <w:color w:val="auto"/>
        </w:rPr>
      </w:pPr>
    </w:p>
    <w:p>
      <w:pPr>
        <w:ind w:left="1100" w:hanging="209"/>
        <w:spacing w:after="0"/>
        <w:tabs>
          <w:tab w:leader="none" w:pos="11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accept for payment all Notes or portions thereof properly tendered pursuant to the Change of Control Offer;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deposit with the Paying Agent an amount equal to the Change of Control Payment in respect of all Notes or portions thereof so tendered; and</w:t>
      </w:r>
    </w:p>
    <w:p>
      <w:pPr>
        <w:spacing w:after="0" w:line="74" w:lineRule="exact"/>
        <w:rPr>
          <w:rFonts w:ascii="Arial" w:cs="Arial" w:eastAsia="Arial" w:hAnsi="Arial"/>
          <w:sz w:val="15"/>
          <w:szCs w:val="15"/>
          <w:color w:val="auto"/>
        </w:rPr>
      </w:pPr>
    </w:p>
    <w:p>
      <w:pPr>
        <w:ind w:left="460" w:right="220" w:firstLine="431"/>
        <w:spacing w:after="0" w:line="291" w:lineRule="auto"/>
        <w:tabs>
          <w:tab w:leader="none" w:pos="1115" w:val="left"/>
        </w:tabs>
        <w:numPr>
          <w:ilvl w:val="0"/>
          <w:numId w:val="54"/>
        </w:numPr>
        <w:rPr>
          <w:rFonts w:ascii="Arial" w:cs="Arial" w:eastAsia="Arial" w:hAnsi="Arial"/>
          <w:sz w:val="15"/>
          <w:szCs w:val="15"/>
          <w:color w:val="auto"/>
        </w:rPr>
      </w:pPr>
      <w:r>
        <w:rPr>
          <w:rFonts w:ascii="Arial" w:cs="Arial" w:eastAsia="Arial" w:hAnsi="Arial"/>
          <w:sz w:val="15"/>
          <w:szCs w:val="15"/>
          <w:color w:val="auto"/>
        </w:rPr>
        <w:t>deliver or cause to be delivered to the Trustee the Notes so accepted together with an Officers’ Certificate stating the aggregate principal amount of Notes or portions thereof being purchased by the Company.</w:t>
      </w:r>
    </w:p>
    <w:p>
      <w:pPr>
        <w:spacing w:after="0" w:line="87"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98" w:lineRule="exact"/>
        <w:rPr>
          <w:sz w:val="20"/>
          <w:szCs w:val="20"/>
          <w:color w:val="auto"/>
        </w:rPr>
      </w:pPr>
    </w:p>
    <w:p>
      <w:pPr>
        <w:ind w:right="20" w:firstLine="457"/>
        <w:spacing w:after="0" w:line="304" w:lineRule="auto"/>
        <w:rPr>
          <w:sz w:val="20"/>
          <w:szCs w:val="20"/>
          <w:color w:val="auto"/>
        </w:rPr>
      </w:pPr>
      <w:r>
        <w:rPr>
          <w:rFonts w:ascii="Arial" w:cs="Arial" w:eastAsia="Arial" w:hAnsi="Arial"/>
          <w:sz w:val="14"/>
          <w:szCs w:val="14"/>
          <w:color w:val="auto"/>
        </w:rPr>
        <w:t>Prior to complying with any of the provisions of this “Change of Control” covenant, but in any event within 90 days following a Change of Control, the Company will either repay all outstanding Senior Debt or obtain the requisite consents, if any, under all agreements governing outstanding Senior Debt to permit the repurchase of Notes required by this covenant. The Company will publicly announce the results of the Change of Control Offer on or as soon as practicable after the Change of Control Payment Date.</w:t>
      </w:r>
    </w:p>
    <w:p>
      <w:pPr>
        <w:spacing w:after="0" w:line="81" w:lineRule="exact"/>
        <w:rPr>
          <w:sz w:val="20"/>
          <w:szCs w:val="20"/>
          <w:color w:val="auto"/>
        </w:rPr>
      </w:pPr>
    </w:p>
    <w:p>
      <w:pPr>
        <w:jc w:val="both"/>
        <w:ind w:right="180" w:firstLine="457"/>
        <w:spacing w:after="0" w:line="304" w:lineRule="auto"/>
        <w:rPr>
          <w:sz w:val="20"/>
          <w:szCs w:val="20"/>
          <w:color w:val="auto"/>
        </w:rPr>
      </w:pPr>
      <w:r>
        <w:rPr>
          <w:rFonts w:ascii="Arial" w:cs="Arial" w:eastAsia="Arial" w:hAnsi="Arial"/>
          <w:sz w:val="14"/>
          <w:szCs w:val="14"/>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81" w:lineRule="exact"/>
        <w:rPr>
          <w:sz w:val="20"/>
          <w:szCs w:val="20"/>
          <w:color w:val="auto"/>
        </w:rPr>
      </w:pPr>
    </w:p>
    <w:p>
      <w:pPr>
        <w:ind w:right="40" w:firstLine="457"/>
        <w:spacing w:after="0" w:line="266" w:lineRule="auto"/>
        <w:rPr>
          <w:sz w:val="20"/>
          <w:szCs w:val="20"/>
          <w:color w:val="auto"/>
        </w:rPr>
      </w:pPr>
      <w:r>
        <w:rPr>
          <w:rFonts w:ascii="Arial" w:cs="Arial" w:eastAsia="Arial" w:hAnsi="Arial"/>
          <w:sz w:val="15"/>
          <w:szCs w:val="15"/>
          <w:color w:val="auto"/>
        </w:rPr>
        <w:t>The Company’s outstanding Senior Debt currently prohibits the Company from purchasing any Notes, and also provides that certain change of control events with respect to the Company would constitute a default under the agreements governing the Senior Debt. Any future credit agreements or other agreements relating to Senior Debt to which the Company becomes a party may contain similar restrictions and provisions. In the event a Change of Control occurs at a time when the Company is prohibited from purchasing Notes, the Company could seek the consent of its senior lenders to the purchase of Notes or could attempt to refinance the borrowings that contain such prohibition. If the Company does not obtain such a consent or repay such borrowings, the Company will remain prohibited from purchasing Notes. In such case, the Company’s failure to purchase tendered Notes would constitute an Event of Default under the Indenture which would, in turn, likely constitute a default under such Senior Debt. In such circumstances, the subordination provisions in the Indenture would likely restrict payments to the Holders of Notes.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20"/>
          </w:cols>
          <w:pgMar w:left="240" w:top="417"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160" w:firstLine="457"/>
        <w:spacing w:after="0" w:line="276" w:lineRule="auto"/>
        <w:rPr>
          <w:sz w:val="20"/>
          <w:szCs w:val="20"/>
          <w:color w:val="auto"/>
        </w:rPr>
      </w:pPr>
      <w:r>
        <w:rPr>
          <w:rFonts w:ascii="Arial" w:cs="Arial" w:eastAsia="Arial" w:hAnsi="Arial"/>
          <w:sz w:val="15"/>
          <w:szCs w:val="15"/>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98"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5"/>
          <w:szCs w:val="15"/>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Offer to Repurchase by Application of Excess Proceeds of Asset Sales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will not, and will not permit any of its Restricted Subsidiaries to, consummate an Asset Sale unless:</w:t>
      </w:r>
    </w:p>
    <w:p>
      <w:pPr>
        <w:spacing w:after="0" w:line="74" w:lineRule="exact"/>
        <w:rPr>
          <w:sz w:val="20"/>
          <w:szCs w:val="20"/>
          <w:color w:val="auto"/>
        </w:rPr>
      </w:pPr>
    </w:p>
    <w:p>
      <w:pPr>
        <w:ind w:left="460" w:right="140" w:firstLine="431"/>
        <w:spacing w:after="0" w:line="291" w:lineRule="auto"/>
        <w:tabs>
          <w:tab w:leader="none" w:pos="1115"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Company (or the Restricted Subsidiary, as the 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either:</w:t>
      </w:r>
    </w:p>
    <w:p>
      <w:pPr>
        <w:spacing w:after="0" w:line="74" w:lineRule="exact"/>
        <w:rPr>
          <w:rFonts w:ascii="Arial" w:cs="Arial" w:eastAsia="Arial" w:hAnsi="Arial"/>
          <w:sz w:val="15"/>
          <w:szCs w:val="15"/>
          <w:color w:val="auto"/>
        </w:rPr>
      </w:pPr>
    </w:p>
    <w:p>
      <w:pPr>
        <w:ind w:left="900" w:firstLine="430"/>
        <w:spacing w:after="0" w:line="276" w:lineRule="auto"/>
        <w:tabs>
          <w:tab w:leader="none" w:pos="1529"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 Company (or the Restricted 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27" w:lineRule="exact"/>
        <w:rPr>
          <w:rFonts w:ascii="Arial" w:cs="Arial" w:eastAsia="Arial" w:hAnsi="Arial"/>
          <w:sz w:val="15"/>
          <w:szCs w:val="15"/>
          <w:color w:val="auto"/>
        </w:rPr>
      </w:pPr>
    </w:p>
    <w:p>
      <w:pPr>
        <w:ind w:left="900" w:right="40" w:firstLine="430"/>
        <w:spacing w:after="0" w:line="291" w:lineRule="auto"/>
        <w:tabs>
          <w:tab w:leader="none" w:pos="1537" w:val="left"/>
        </w:tabs>
        <w:numPr>
          <w:ilvl w:val="1"/>
          <w:numId w:val="55"/>
        </w:numPr>
        <w:rPr>
          <w:rFonts w:ascii="Arial" w:cs="Arial" w:eastAsia="Arial" w:hAnsi="Arial"/>
          <w:sz w:val="15"/>
          <w:szCs w:val="15"/>
          <w:color w:val="auto"/>
        </w:rPr>
      </w:pPr>
      <w:r>
        <w:rPr>
          <w:rFonts w:ascii="Arial" w:cs="Arial" w:eastAsia="Arial" w:hAnsi="Arial"/>
          <w:sz w:val="15"/>
          <w:szCs w:val="15"/>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16" w:lineRule="exact"/>
        <w:rPr>
          <w:rFonts w:ascii="Arial" w:cs="Arial" w:eastAsia="Arial" w:hAnsi="Arial"/>
          <w:sz w:val="15"/>
          <w:szCs w:val="15"/>
          <w:color w:val="auto"/>
        </w:rPr>
      </w:pPr>
    </w:p>
    <w:p>
      <w:pPr>
        <w:ind w:left="1480" w:right="40" w:firstLine="399"/>
        <w:spacing w:after="0" w:line="276" w:lineRule="auto"/>
        <w:tabs>
          <w:tab w:leader="none" w:pos="2060" w:val="left"/>
        </w:tabs>
        <w:numPr>
          <w:ilvl w:val="2"/>
          <w:numId w:val="55"/>
        </w:numPr>
        <w:rPr>
          <w:rFonts w:ascii="Arial" w:cs="Arial" w:eastAsia="Arial" w:hAnsi="Arial"/>
          <w:sz w:val="15"/>
          <w:szCs w:val="15"/>
          <w:color w:val="auto"/>
        </w:rPr>
      </w:pPr>
      <w:r>
        <w:rPr>
          <w:rFonts w:ascii="Arial" w:cs="Arial" w:eastAsia="Arial" w:hAnsi="Arial"/>
          <w:sz w:val="15"/>
          <w:szCs w:val="15"/>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and</w:t>
      </w:r>
    </w:p>
    <w:p>
      <w:pPr>
        <w:spacing w:after="0" w:line="27" w:lineRule="exact"/>
        <w:rPr>
          <w:rFonts w:ascii="Arial" w:cs="Arial" w:eastAsia="Arial" w:hAnsi="Arial"/>
          <w:sz w:val="15"/>
          <w:szCs w:val="15"/>
          <w:color w:val="auto"/>
        </w:rPr>
      </w:pPr>
    </w:p>
    <w:p>
      <w:pPr>
        <w:ind w:left="1480" w:right="460" w:firstLine="399"/>
        <w:spacing w:after="0" w:line="291" w:lineRule="auto"/>
        <w:tabs>
          <w:tab w:leader="none" w:pos="2103" w:val="left"/>
        </w:tabs>
        <w:numPr>
          <w:ilvl w:val="2"/>
          <w:numId w:val="55"/>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 and</w:t>
      </w:r>
    </w:p>
    <w:p>
      <w:pPr>
        <w:spacing w:after="0" w:line="16" w:lineRule="exact"/>
        <w:rPr>
          <w:rFonts w:ascii="Arial" w:cs="Arial" w:eastAsia="Arial" w:hAnsi="Arial"/>
          <w:sz w:val="15"/>
          <w:szCs w:val="15"/>
          <w:color w:val="auto"/>
        </w:rPr>
      </w:pPr>
    </w:p>
    <w:p>
      <w:pPr>
        <w:ind w:left="1480" w:right="140" w:firstLine="399"/>
        <w:spacing w:after="0" w:line="292" w:lineRule="auto"/>
        <w:tabs>
          <w:tab w:leader="none" w:pos="2145" w:val="left"/>
        </w:tabs>
        <w:numPr>
          <w:ilvl w:val="2"/>
          <w:numId w:val="55"/>
        </w:numPr>
        <w:rPr>
          <w:rFonts w:ascii="Arial" w:cs="Arial" w:eastAsia="Arial" w:hAnsi="Arial"/>
          <w:sz w:val="14"/>
          <w:szCs w:val="14"/>
          <w:color w:val="auto"/>
        </w:rPr>
      </w:pPr>
      <w:r>
        <w:rPr>
          <w:rFonts w:ascii="Arial" w:cs="Arial" w:eastAsia="Arial" w:hAnsi="Arial"/>
          <w:sz w:val="14"/>
          <w:szCs w:val="14"/>
          <w:color w:val="auto"/>
        </w:rPr>
        <w:t>any Designated Noncash Consideration received by the Company or any of its Restricted Subsidiaries in such Asset Sale having an aggregate fair market value, taken together with all other Designated Noncash Consideration received pursuant to this clause (iii) that is at that time outstanding, not to exceed the greater of (x) $75.0 million or (y) 5% of Consolidated Net Tangible Assets at the time of the receipt of such Designated Noncash Consideration (with the fair market value of each item of Designated Noncash Consideration being measured at the time received and without giving effect to subsequent changes in value), shall be deemed to be cash for purposes of this provision and for no other purpose.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Within 360 days after the receipt of any Net Proceeds from an Asset Sale, the Company may apply such Net Proceeds at its option:</w:t>
      </w:r>
    </w:p>
    <w:p>
      <w:pPr>
        <w:spacing w:after="0" w:line="74" w:lineRule="exact"/>
        <w:rPr>
          <w:sz w:val="20"/>
          <w:szCs w:val="20"/>
          <w:color w:val="auto"/>
        </w:rPr>
      </w:pPr>
    </w:p>
    <w:p>
      <w:pPr>
        <w:ind w:left="1100" w:hanging="209"/>
        <w:spacing w:after="0"/>
        <w:tabs>
          <w:tab w:leader="none" w:pos="11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to repay Senior Debt (and to effect a corresponding commitment reduction if such Senior Debt is revolving credit borrowings);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to acquire all or substantially all of the assets of, or a majority of the Voting Stock of, another Related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0"/>
          </w:cols>
          <w:pgMar w:left="240" w:top="417" w:right="21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1100" w:hanging="209"/>
        <w:spacing w:after="0"/>
        <w:tabs>
          <w:tab w:leader="none" w:pos="11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to make a capital expenditure; and/or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to acquire other long-term assets that are used or useful in a Related Business.</w:t>
      </w:r>
    </w:p>
    <w:p>
      <w:pPr>
        <w:spacing w:after="0" w:line="145"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color w:val="auto"/>
        </w:rPr>
        <w:t>Pending the final application of any such Net Proceeds, the Company may temporarily reduce revolving credit borrowings or otherwise invest such Net Proceeds in any manner that is not prohibited by the Indenture.</w:t>
      </w:r>
    </w:p>
    <w:p>
      <w:pPr>
        <w:spacing w:after="0" w:line="87"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 xml:space="preserve">Any Net Proceeds from Asset Sales that are not applied or invested as provided in the preceding paragraph will constitute Excess Proceeds. When the aggregate amount of Excess Proceeds exceeds $10.0 million, the Company will make an Asset Sale Offer to all Holders of Notes and all holders of other Indebtedness that is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Notes containing provisions similar to those set forth in the Indenture with respect to offers to purchase or redeem with the proceeds of sales of assets to purchase the maximum principal amount of Notes and such other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Indebtedness that may be purchased out of the Excess Proceeds. The offer price in any Asset Sale Offer will be equal to 100% of principal amount plus accrued and unpaid interest and Additional Interest, if any, to the date of purchase, and will be payable in cash. If any Excess Proceeds remain after consummation of an Asset Sale Offer, the Company may use such Excess Proceeds for any purpose not otherwise prohibited by the Indenture. If the aggregate principal amount of Notes and such other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Indebtedness tendered in such Asset Sale Offer exceeds the amount of Excess Proceeds, the Trustee shall select the Notes and such other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Indebtedness to be purchased on a pro rata basis as set forth below. Upon completion of each Asset Sale Offer, the amount of Excess Proceeds shall be reset at zero.</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Selection and Notice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less than all of the Notes are to be redeemed at any time, the Trustee will select Notes for redemption as follows:</w:t>
      </w:r>
    </w:p>
    <w:p>
      <w:pPr>
        <w:spacing w:after="0" w:line="74" w:lineRule="exact"/>
        <w:rPr>
          <w:sz w:val="20"/>
          <w:szCs w:val="20"/>
          <w:color w:val="auto"/>
        </w:rPr>
      </w:pPr>
    </w:p>
    <w:p>
      <w:pPr>
        <w:ind w:left="1100" w:hanging="209"/>
        <w:spacing w:after="0"/>
        <w:tabs>
          <w:tab w:leader="none" w:pos="11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the Notes are listed, in compliance with the requirements of the principal national securities exchange on which the Notes are listed;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the Notes are not so listed, on a pro rata basis, by lot or by such method as the Trustee shall deem fair and appropriate.</w:t>
      </w:r>
    </w:p>
    <w:p>
      <w:pPr>
        <w:spacing w:after="0" w:line="145"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No Notes of $1,000 or less shall be redeemed in part. Notices of redemption shall be mailed by first class mail at least 30 but not more than 60 days before the redemption date to each Holder of Notes to be redeemed at its registered address. Notices of redemption may not be conditional.</w:t>
      </w:r>
    </w:p>
    <w:p>
      <w:pPr>
        <w:spacing w:after="0" w:line="87"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Covenants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Covenant Suspension</w:t>
      </w:r>
    </w:p>
    <w:p>
      <w:pPr>
        <w:spacing w:after="0" w:line="74" w:lineRule="exact"/>
        <w:rPr>
          <w:sz w:val="20"/>
          <w:szCs w:val="20"/>
          <w:color w:val="auto"/>
        </w:rPr>
      </w:pPr>
    </w:p>
    <w:p>
      <w:pPr>
        <w:jc w:val="both"/>
        <w:ind w:right="340" w:firstLine="457"/>
        <w:spacing w:after="0" w:line="304" w:lineRule="auto"/>
        <w:rPr>
          <w:sz w:val="20"/>
          <w:szCs w:val="20"/>
          <w:color w:val="auto"/>
        </w:rPr>
      </w:pPr>
      <w:r>
        <w:rPr>
          <w:rFonts w:ascii="Arial" w:cs="Arial" w:eastAsia="Arial" w:hAnsi="Arial"/>
          <w:sz w:val="14"/>
          <w:szCs w:val="14"/>
          <w:color w:val="auto"/>
        </w:rPr>
        <w:t>During any period of time that the Notes have achieved an Investment Grade Rating from both Rating Agencies, we and our Restricted Subsidiaries will not be subject to the covenants under “—Repurchase at the Option of the Holders—Offer to Repurchase Upon Change of Control” and “—Repurchase at the Option of Holders—Offer to Repurchase by Application of Excess Proceeds of Asset Sales” or the following provisions of the Indenture described under the caption “—Certain Covenants”: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“—Restricted Payments,”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“—Incurrence of Indebtedness and Issuance of Preferred Stock,”</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“—Dividend and Other Payment Restrictions Affecting Subsidiaries,” and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“—Transactions with Affiliates”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380"/>
          </w:cols>
          <w:pgMar w:left="240" w:top="417"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(collectively, the “Suspended Covenants”). In the event that the Company and the Restricted Subsidiaries are not subject to the Suspended Covenants for any period of time as a result of the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Payments made after the time of such withdrawal, Default or Event of Default will be calculated in accordance with the terms of the covenant described below under the caption “—Restricted Payments” as though such covenant had been in effect during the entire period of time from the Issue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Restricted Payments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will not, and will not permit any of its Restricted Subsidiaries to, directly or indirectly:</w:t>
      </w:r>
    </w:p>
    <w:p>
      <w:pPr>
        <w:spacing w:after="0" w:line="74" w:lineRule="exact"/>
        <w:rPr>
          <w:sz w:val="20"/>
          <w:szCs w:val="20"/>
          <w:color w:val="auto"/>
        </w:rPr>
      </w:pPr>
    </w:p>
    <w:p>
      <w:pPr>
        <w:jc w:val="both"/>
        <w:ind w:left="460" w:right="280" w:firstLine="431"/>
        <w:spacing w:after="0" w:line="276" w:lineRule="auto"/>
        <w:tabs>
          <w:tab w:leader="none" w:pos="1115"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27" w:lineRule="exact"/>
        <w:rPr>
          <w:rFonts w:ascii="Arial" w:cs="Arial" w:eastAsia="Arial" w:hAnsi="Arial"/>
          <w:sz w:val="15"/>
          <w:szCs w:val="15"/>
          <w:color w:val="auto"/>
        </w:rPr>
      </w:pPr>
    </w:p>
    <w:p>
      <w:pPr>
        <w:ind w:left="460" w:right="60" w:firstLine="431"/>
        <w:spacing w:after="0" w:line="348" w:lineRule="auto"/>
        <w:tabs>
          <w:tab w:leader="none" w:pos="1115" w:val="left"/>
        </w:tabs>
        <w:numPr>
          <w:ilvl w:val="0"/>
          <w:numId w:val="59"/>
        </w:numPr>
        <w:rPr>
          <w:rFonts w:ascii="Arial" w:cs="Arial" w:eastAsia="Arial" w:hAnsi="Arial"/>
          <w:sz w:val="13"/>
          <w:szCs w:val="13"/>
          <w:color w:val="auto"/>
        </w:rPr>
      </w:pPr>
      <w:r>
        <w:rPr>
          <w:rFonts w:ascii="Arial" w:cs="Arial" w:eastAsia="Arial" w:hAnsi="Arial"/>
          <w:sz w:val="13"/>
          <w:szCs w:val="13"/>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1" w:lineRule="exact"/>
        <w:rPr>
          <w:rFonts w:ascii="Arial" w:cs="Arial" w:eastAsia="Arial" w:hAnsi="Arial"/>
          <w:sz w:val="13"/>
          <w:szCs w:val="13"/>
          <w:color w:val="auto"/>
        </w:rPr>
      </w:pPr>
    </w:p>
    <w:p>
      <w:pPr>
        <w:ind w:left="460" w:right="140" w:firstLine="431"/>
        <w:spacing w:after="0" w:line="291" w:lineRule="auto"/>
        <w:tabs>
          <w:tab w:leader="none" w:pos="1115"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16" w:lineRule="exact"/>
        <w:rPr>
          <w:rFonts w:ascii="Arial" w:cs="Arial" w:eastAsia="Arial" w:hAnsi="Arial"/>
          <w:sz w:val="15"/>
          <w:szCs w:val="15"/>
          <w:color w:val="auto"/>
        </w:rPr>
      </w:pPr>
    </w:p>
    <w:p>
      <w:pPr>
        <w:ind w:left="460" w:right="80" w:firstLine="431"/>
        <w:spacing w:after="0" w:line="343" w:lineRule="auto"/>
        <w:tabs>
          <w:tab w:leader="none" w:pos="1115"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make any Restricted Investment (all such payments and other actions set forth in clauses (1) through (4) above being collectively referred to as “Restricted Payments”), unless, at the time of and after giving effect to such Restricted Payment:</w:t>
      </w:r>
    </w:p>
    <w:p>
      <w:pPr>
        <w:ind w:left="1540" w:hanging="210"/>
        <w:spacing w:after="0"/>
        <w:tabs>
          <w:tab w:leader="none" w:pos="15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no Default or Event of Default shall have occurred and be continuing or would occur as a consequence thereof; and</w:t>
      </w:r>
    </w:p>
    <w:p>
      <w:pPr>
        <w:spacing w:after="0" w:line="74" w:lineRule="exact"/>
        <w:rPr>
          <w:rFonts w:ascii="Arial" w:cs="Arial" w:eastAsia="Arial" w:hAnsi="Arial"/>
          <w:sz w:val="15"/>
          <w:szCs w:val="15"/>
          <w:color w:val="auto"/>
        </w:rPr>
      </w:pPr>
    </w:p>
    <w:p>
      <w:pPr>
        <w:ind w:left="900" w:right="60" w:firstLine="430"/>
        <w:spacing w:after="0" w:line="304" w:lineRule="auto"/>
        <w:tabs>
          <w:tab w:leader="none" w:pos="1537"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0" w:lineRule="exact"/>
        <w:rPr>
          <w:rFonts w:ascii="Arial" w:cs="Arial" w:eastAsia="Arial" w:hAnsi="Arial"/>
          <w:sz w:val="14"/>
          <w:szCs w:val="14"/>
          <w:color w:val="auto"/>
        </w:rPr>
      </w:pPr>
    </w:p>
    <w:p>
      <w:pPr>
        <w:ind w:left="900" w:firstLine="430"/>
        <w:spacing w:after="0" w:line="323" w:lineRule="auto"/>
        <w:tabs>
          <w:tab w:leader="none" w:pos="1529" w:val="left"/>
        </w:tabs>
        <w:numPr>
          <w:ilvl w:val="1"/>
          <w:numId w:val="59"/>
        </w:numPr>
        <w:rPr>
          <w:rFonts w:ascii="Arial" w:cs="Arial" w:eastAsia="Arial" w:hAnsi="Arial"/>
          <w:sz w:val="14"/>
          <w:szCs w:val="14"/>
          <w:color w:val="auto"/>
        </w:rPr>
      </w:pPr>
      <w:r>
        <w:rPr>
          <w:rFonts w:ascii="Arial" w:cs="Arial" w:eastAsia="Arial" w:hAnsi="Arial"/>
          <w:sz w:val="14"/>
          <w:szCs w:val="14"/>
          <w:color w:val="auto"/>
        </w:rPr>
        <w:t>such Restricted Payment, together with the aggregate amount of all other Restricted Payments made by the Company and its Restricted Subsidiaries after the date of the Indenture (excluding Restricted Payments permitted by clause (2), (3) or (4) of the next succeeding paragraph), is less than the sum, without duplication, of:</w:t>
      </w:r>
    </w:p>
    <w:p>
      <w:pPr>
        <w:spacing w:after="0" w:line="1" w:lineRule="exact"/>
        <w:rPr>
          <w:rFonts w:ascii="Arial" w:cs="Arial" w:eastAsia="Arial" w:hAnsi="Arial"/>
          <w:sz w:val="14"/>
          <w:szCs w:val="14"/>
          <w:color w:val="auto"/>
        </w:rPr>
      </w:pPr>
    </w:p>
    <w:p>
      <w:pPr>
        <w:ind w:left="2060" w:hanging="181"/>
        <w:spacing w:after="0"/>
        <w:tabs>
          <w:tab w:leader="none" w:pos="2060" w:val="left"/>
        </w:tabs>
        <w:numPr>
          <w:ilvl w:val="2"/>
          <w:numId w:val="59"/>
        </w:numPr>
        <w:rPr>
          <w:rFonts w:ascii="Arial" w:cs="Arial" w:eastAsia="Arial" w:hAnsi="Arial"/>
          <w:sz w:val="14"/>
          <w:szCs w:val="14"/>
          <w:color w:val="auto"/>
        </w:rPr>
      </w:pPr>
      <w:r>
        <w:rPr>
          <w:rFonts w:ascii="Arial" w:cs="Arial" w:eastAsia="Arial" w:hAnsi="Arial"/>
          <w:sz w:val="14"/>
          <w:szCs w:val="14"/>
          <w:color w:val="auto"/>
        </w:rPr>
        <w:t>50% of the Consolidated Net Income of the Company for the period (taken as one accounting period) from December 29, 2002 to the end of the</w:t>
      </w:r>
    </w:p>
    <w:p>
      <w:pPr>
        <w:spacing w:after="0" w:line="33" w:lineRule="exact"/>
        <w:rPr>
          <w:rFonts w:ascii="Arial" w:cs="Arial" w:eastAsia="Arial" w:hAnsi="Arial"/>
          <w:sz w:val="14"/>
          <w:szCs w:val="14"/>
          <w:color w:val="auto"/>
        </w:rPr>
      </w:pPr>
    </w:p>
    <w:p>
      <w:pPr>
        <w:ind w:left="1480"/>
        <w:spacing w:after="0" w:line="282" w:lineRule="auto"/>
        <w:rPr>
          <w:rFonts w:ascii="Arial" w:cs="Arial" w:eastAsia="Arial" w:hAnsi="Arial"/>
          <w:sz w:val="14"/>
          <w:szCs w:val="14"/>
          <w:color w:val="auto"/>
        </w:rPr>
      </w:pPr>
      <w:r>
        <w:rPr>
          <w:rFonts w:ascii="Arial" w:cs="Arial" w:eastAsia="Arial" w:hAnsi="Arial"/>
          <w:sz w:val="15"/>
          <w:szCs w:val="15"/>
          <w:color w:val="auto"/>
        </w:rPr>
        <w:t xml:space="preserve">Company’s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5"/>
          <w:szCs w:val="15"/>
          <w:i w:val="1"/>
          <w:iCs w:val="1"/>
          <w:color w:val="auto"/>
        </w:rPr>
        <w:t>plus</w:t>
      </w:r>
    </w:p>
    <w:p>
      <w:pPr>
        <w:spacing w:after="0" w:line="23" w:lineRule="exact"/>
        <w:rPr>
          <w:rFonts w:ascii="Arial" w:cs="Arial" w:eastAsia="Arial" w:hAnsi="Arial"/>
          <w:sz w:val="14"/>
          <w:szCs w:val="14"/>
          <w:color w:val="auto"/>
        </w:rPr>
      </w:pPr>
    </w:p>
    <w:p>
      <w:pPr>
        <w:ind w:left="1480" w:firstLine="399"/>
        <w:spacing w:after="0" w:line="291" w:lineRule="auto"/>
        <w:tabs>
          <w:tab w:leader="none" w:pos="2103" w:val="left"/>
        </w:tabs>
        <w:numPr>
          <w:ilvl w:val="2"/>
          <w:numId w:val="59"/>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the Company since the date of the Indenture as a contribution to its common equity capital or from the issue or sale of Equity Interests of the Company (other than Disqualified Stock) or from the issue or sale of Disqualified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20"/>
          </w:cols>
          <w:pgMar w:left="240" w:top="417"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1480"/>
        <w:spacing w:after="0" w:line="291" w:lineRule="auto"/>
        <w:rPr>
          <w:sz w:val="20"/>
          <w:szCs w:val="20"/>
          <w:color w:val="auto"/>
        </w:rPr>
      </w:pPr>
      <w:r>
        <w:rPr>
          <w:rFonts w:ascii="Arial" w:cs="Arial" w:eastAsia="Arial" w:hAnsi="Arial"/>
          <w:sz w:val="15"/>
          <w:szCs w:val="15"/>
          <w:color w:val="auto"/>
        </w:rPr>
        <w:t xml:space="preserve">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5"/>
          <w:szCs w:val="15"/>
          <w:i w:val="1"/>
          <w:iCs w:val="1"/>
          <w:color w:val="auto"/>
        </w:rPr>
        <w:t>plus</w:t>
      </w:r>
    </w:p>
    <w:p>
      <w:pPr>
        <w:spacing w:after="0" w:line="16" w:lineRule="exact"/>
        <w:rPr>
          <w:sz w:val="20"/>
          <w:szCs w:val="20"/>
          <w:color w:val="auto"/>
        </w:rPr>
      </w:pPr>
    </w:p>
    <w:p>
      <w:pPr>
        <w:jc w:val="both"/>
        <w:ind w:left="1480" w:right="80" w:firstLine="399"/>
        <w:spacing w:after="0" w:line="276" w:lineRule="auto"/>
        <w:tabs>
          <w:tab w:leader="none" w:pos="2145"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 the extent that any Restricted Investment that was made after the date of the Indenture is sold for cash or otherwise liquidated or repaid for cash, the lesser of (x) the cash return of capital with respect to such Restricted Investment (less the cost of disposition, if any) and (y) the initial amount of such Restricted Investment.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So long as no Default has occurred and is continuing or would be caused thereby, the preceding provision will not prohibit:</w:t>
      </w:r>
    </w:p>
    <w:p>
      <w:pPr>
        <w:spacing w:after="0" w:line="74" w:lineRule="exact"/>
        <w:rPr>
          <w:sz w:val="20"/>
          <w:szCs w:val="20"/>
          <w:color w:val="auto"/>
        </w:rPr>
      </w:pPr>
    </w:p>
    <w:p>
      <w:pPr>
        <w:ind w:left="460" w:right="60" w:firstLine="431"/>
        <w:spacing w:after="0" w:line="291" w:lineRule="auto"/>
        <w:tabs>
          <w:tab w:leader="none" w:pos="1115"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payment of any dividend within 60 days after the date of declaration thereof, if at said date of declaration such payment would have complied with the provisions of the Indenture;</w:t>
      </w:r>
    </w:p>
    <w:p>
      <w:pPr>
        <w:spacing w:after="0" w:line="16" w:lineRule="exact"/>
        <w:rPr>
          <w:rFonts w:ascii="Arial" w:cs="Arial" w:eastAsia="Arial" w:hAnsi="Arial"/>
          <w:sz w:val="15"/>
          <w:szCs w:val="15"/>
          <w:color w:val="auto"/>
        </w:rPr>
      </w:pPr>
    </w:p>
    <w:p>
      <w:pPr>
        <w:ind w:left="460" w:right="60" w:firstLine="431"/>
        <w:spacing w:after="0" w:line="296" w:lineRule="auto"/>
        <w:tabs>
          <w:tab w:leader="none" w:pos="1115"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 (c)(ii) of the preceding paragraph;</w:t>
      </w:r>
    </w:p>
    <w:p>
      <w:pPr>
        <w:spacing w:after="0" w:line="16" w:lineRule="exact"/>
        <w:rPr>
          <w:rFonts w:ascii="Arial" w:cs="Arial" w:eastAsia="Arial" w:hAnsi="Arial"/>
          <w:sz w:val="14"/>
          <w:szCs w:val="14"/>
          <w:color w:val="auto"/>
        </w:rPr>
      </w:pPr>
    </w:p>
    <w:p>
      <w:pPr>
        <w:ind w:left="460" w:right="360" w:firstLine="431"/>
        <w:spacing w:after="0" w:line="291" w:lineRule="auto"/>
        <w:tabs>
          <w:tab w:leader="none" w:pos="1115"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16" w:lineRule="exact"/>
        <w:rPr>
          <w:rFonts w:ascii="Arial" w:cs="Arial" w:eastAsia="Arial" w:hAnsi="Arial"/>
          <w:sz w:val="15"/>
          <w:szCs w:val="15"/>
          <w:color w:val="auto"/>
        </w:rPr>
      </w:pPr>
    </w:p>
    <w:p>
      <w:pPr>
        <w:ind w:left="460" w:right="20" w:firstLine="431"/>
        <w:spacing w:after="0" w:line="304" w:lineRule="auto"/>
        <w:tabs>
          <w:tab w:leader="none" w:pos="1115" w:val="left"/>
        </w:tabs>
        <w:numPr>
          <w:ilvl w:val="0"/>
          <w:numId w:val="61"/>
        </w:numPr>
        <w:rPr>
          <w:rFonts w:ascii="Arial" w:cs="Arial" w:eastAsia="Arial" w:hAnsi="Arial"/>
          <w:sz w:val="14"/>
          <w:szCs w:val="14"/>
          <w:color w:val="auto"/>
        </w:rPr>
      </w:pPr>
      <w:r>
        <w:rPr>
          <w:rFonts w:ascii="Arial" w:cs="Arial" w:eastAsia="Arial" w:hAnsi="Arial"/>
          <w:sz w:val="14"/>
          <w:szCs w:val="14"/>
          <w:color w:val="auto"/>
        </w:rPr>
        <w:t xml:space="preserve">the repurchase, redemption or other acquisition or retirement for value of any Equity Interests of the Company or any Restricted Subsidiary of the Company held by any member of the Company’s (or any of its Restricted Subsidiaries’) management pursuant to any management equity subscription agreement or stock option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price paid for all such repurchased, redeemed, acquired or retired Equity Interests shall not exceed $5.0 million in any twelve-month period; and</w:t>
      </w:r>
    </w:p>
    <w:p>
      <w:pPr>
        <w:spacing w:after="0" w:line="10" w:lineRule="exact"/>
        <w:rPr>
          <w:rFonts w:ascii="Arial" w:cs="Arial" w:eastAsia="Arial" w:hAnsi="Arial"/>
          <w:sz w:val="14"/>
          <w:szCs w:val="14"/>
          <w:color w:val="auto"/>
        </w:rPr>
      </w:pPr>
    </w:p>
    <w:p>
      <w:pPr>
        <w:ind w:left="460" w:right="140" w:firstLine="431"/>
        <w:spacing w:after="0" w:line="291" w:lineRule="auto"/>
        <w:tabs>
          <w:tab w:leader="none" w:pos="1115"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Restricted Payments in an amount not to exceed $50.0 million;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amount of such Restricted Payments will be included in the calculation of the amount of Restricted Payments.</w:t>
      </w:r>
    </w:p>
    <w:p>
      <w:pPr>
        <w:spacing w:after="0" w:line="87" w:lineRule="exact"/>
        <w:rPr>
          <w:sz w:val="20"/>
          <w:szCs w:val="20"/>
          <w:color w:val="auto"/>
        </w:rPr>
      </w:pPr>
    </w:p>
    <w:p>
      <w:pPr>
        <w:ind w:right="80" w:firstLine="457"/>
        <w:spacing w:after="0" w:line="319" w:lineRule="auto"/>
        <w:rPr>
          <w:sz w:val="20"/>
          <w:szCs w:val="20"/>
          <w:color w:val="auto"/>
        </w:rPr>
      </w:pPr>
      <w:r>
        <w:rPr>
          <w:rFonts w:ascii="Arial" w:cs="Arial" w:eastAsia="Arial" w:hAnsi="Arial"/>
          <w:sz w:val="13"/>
          <w:szCs w:val="13"/>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or (5) of the preceding paragraph, the Company shall deliver to the Trustee an Officers’ Certificate stating that such Restricted Payment is permitted and setting forth the basis upon which the calculations required by this “Restricted Payments” covenant were computed.</w:t>
      </w:r>
    </w:p>
    <w:p>
      <w:pPr>
        <w:spacing w:after="0" w:line="75" w:lineRule="exact"/>
        <w:rPr>
          <w:sz w:val="20"/>
          <w:szCs w:val="20"/>
          <w:color w:val="auto"/>
        </w:rPr>
      </w:pPr>
    </w:p>
    <w:p>
      <w:pPr>
        <w:ind w:right="20" w:firstLine="457"/>
        <w:spacing w:after="0" w:line="276" w:lineRule="auto"/>
        <w:rPr>
          <w:sz w:val="20"/>
          <w:szCs w:val="20"/>
          <w:color w:val="auto"/>
        </w:rPr>
      </w:pPr>
      <w:r>
        <w:rPr>
          <w:rFonts w:ascii="Arial" w:cs="Arial" w:eastAsia="Arial" w:hAnsi="Arial"/>
          <w:sz w:val="15"/>
          <w:szCs w:val="15"/>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98"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5"/>
          <w:szCs w:val="15"/>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20"/>
          </w:cols>
          <w:pgMar w:left="240" w:top="417"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line="337" w:lineRule="auto"/>
        <w:rPr>
          <w:sz w:val="20"/>
          <w:szCs w:val="20"/>
          <w:color w:val="auto"/>
        </w:rPr>
      </w:pPr>
      <w:r>
        <w:rPr>
          <w:rFonts w:ascii="Arial" w:cs="Arial" w:eastAsia="Arial" w:hAnsi="Arial"/>
          <w:sz w:val="13"/>
          <w:szCs w:val="13"/>
          <w:color w:val="auto"/>
        </w:rPr>
        <w:t>covenant or Permitted Investments, as applicable. All such outstanding Investments will be treated as Restricted Investments equal to the fair market value of such Investments at the time of the designation. The designation will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Incurrence of Indebtedness and Issuance of Preferred Stock</w:t>
      </w:r>
    </w:p>
    <w:p>
      <w:pPr>
        <w:spacing w:after="0" w:line="74" w:lineRule="exact"/>
        <w:rPr>
          <w:sz w:val="20"/>
          <w:szCs w:val="20"/>
          <w:color w:val="auto"/>
        </w:rPr>
      </w:pPr>
    </w:p>
    <w:p>
      <w:pPr>
        <w:ind w:firstLine="457"/>
        <w:spacing w:after="0" w:line="313" w:lineRule="auto"/>
        <w:rPr>
          <w:sz w:val="20"/>
          <w:szCs w:val="20"/>
          <w:color w:val="auto"/>
        </w:rPr>
      </w:pPr>
      <w:r>
        <w:rPr>
          <w:rFonts w:ascii="Arial" w:cs="Arial" w:eastAsia="Arial" w:hAnsi="Arial"/>
          <w:sz w:val="13"/>
          <w:szCs w:val="13"/>
          <w:color w:val="auto"/>
        </w:rPr>
        <w:t>The Company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Restricted Subsidiaries that is not a Guarantor to issue any shares of preferred stock; provided, however, that the Company and any of the Guarantors may incur Indebtedness (including Acquired Debt) or issue Disqualified Stock, and the Company’s Guarantors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first paragraph of this covenant will not prohibit the incurrence of any of the following items of Indebtedness (collectively, “Permitted Debt”):</w:t>
      </w:r>
    </w:p>
    <w:p>
      <w:pPr>
        <w:spacing w:after="0" w:line="74" w:lineRule="exact"/>
        <w:rPr>
          <w:sz w:val="20"/>
          <w:szCs w:val="20"/>
          <w:color w:val="auto"/>
        </w:rPr>
      </w:pPr>
    </w:p>
    <w:p>
      <w:pPr>
        <w:ind w:left="460" w:right="100" w:firstLine="431"/>
        <w:spacing w:after="0" w:line="290" w:lineRule="auto"/>
        <w:tabs>
          <w:tab w:leader="none" w:pos="1115"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$1.45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the covenant described above under the caption “—Repurchase at the Option of Holders—Offer to Repurchase by Application of Excess Proceeds of Asset Sales”;</w:t>
      </w:r>
    </w:p>
    <w:p>
      <w:pPr>
        <w:spacing w:after="0" w:line="19" w:lineRule="exact"/>
        <w:rPr>
          <w:rFonts w:ascii="Arial" w:cs="Arial" w:eastAsia="Arial" w:hAnsi="Arial"/>
          <w:sz w:val="14"/>
          <w:szCs w:val="14"/>
          <w:color w:val="auto"/>
        </w:rPr>
      </w:pPr>
    </w:p>
    <w:p>
      <w:pPr>
        <w:ind w:left="1100" w:hanging="209"/>
        <w:spacing w:after="0"/>
        <w:tabs>
          <w:tab w:leader="none" w:pos="11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incurrence by the Company and its Restricted Subsidiaries of Existing Indebtedness;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incurrence by the Company and the Guarantors of Indebtedness represented by the Notes, the Subsidiary Guarantees, the Exchange Notes and the Guarantees</w:t>
      </w:r>
    </w:p>
    <w:p>
      <w:pPr>
        <w:spacing w:after="0" w:line="3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thereof;</w:t>
      </w:r>
    </w:p>
    <w:p>
      <w:pPr>
        <w:spacing w:after="0" w:line="68" w:lineRule="exact"/>
        <w:rPr>
          <w:rFonts w:ascii="Arial" w:cs="Arial" w:eastAsia="Arial" w:hAnsi="Arial"/>
          <w:sz w:val="14"/>
          <w:szCs w:val="14"/>
          <w:color w:val="auto"/>
        </w:rPr>
      </w:pPr>
    </w:p>
    <w:p>
      <w:pPr>
        <w:ind w:left="460" w:right="40" w:firstLine="431"/>
        <w:spacing w:after="0" w:line="268" w:lineRule="auto"/>
        <w:tabs>
          <w:tab w:leader="none" w:pos="1115"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 (4), not to exceed $20.0 million at any time outstanding;</w:t>
      </w:r>
    </w:p>
    <w:p>
      <w:pPr>
        <w:spacing w:after="0" w:line="35" w:lineRule="exact"/>
        <w:rPr>
          <w:rFonts w:ascii="Arial" w:cs="Arial" w:eastAsia="Arial" w:hAnsi="Arial"/>
          <w:sz w:val="15"/>
          <w:szCs w:val="15"/>
          <w:color w:val="auto"/>
        </w:rPr>
      </w:pPr>
    </w:p>
    <w:p>
      <w:pPr>
        <w:ind w:left="460" w:right="260" w:firstLine="431"/>
        <w:spacing w:after="0" w:line="373" w:lineRule="auto"/>
        <w:tabs>
          <w:tab w:leader="none" w:pos="1115"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incurrence by the Company or any of its Restricted Subsidiaries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00"/>
          </w:cols>
          <w:pgMar w:left="240" w:top="417" w:right="2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right="780" w:firstLine="431"/>
        <w:spacing w:after="0" w:line="291" w:lineRule="auto"/>
        <w:tabs>
          <w:tab w:leader="none" w:pos="1115"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incurrence by the Company or any of its Restricted Subsidiaries of intercompany Indebtedness between or among the Company and any of its Restricted Subsidiaries; provided, however, that:</w:t>
      </w:r>
    </w:p>
    <w:p>
      <w:pPr>
        <w:spacing w:after="0" w:line="16" w:lineRule="exact"/>
        <w:rPr>
          <w:rFonts w:ascii="Arial" w:cs="Arial" w:eastAsia="Arial" w:hAnsi="Arial"/>
          <w:sz w:val="15"/>
          <w:szCs w:val="15"/>
          <w:color w:val="auto"/>
        </w:rPr>
      </w:pPr>
    </w:p>
    <w:p>
      <w:pPr>
        <w:ind w:left="900" w:right="100" w:firstLine="430"/>
        <w:spacing w:after="0" w:line="276" w:lineRule="auto"/>
        <w:tabs>
          <w:tab w:leader="none" w:pos="1529" w:val="left"/>
        </w:tabs>
        <w:numPr>
          <w:ilvl w:val="1"/>
          <w:numId w:val="63"/>
        </w:numPr>
        <w:rPr>
          <w:rFonts w:ascii="Arial" w:cs="Arial" w:eastAsia="Arial" w:hAnsi="Arial"/>
          <w:sz w:val="15"/>
          <w:szCs w:val="15"/>
          <w:color w:val="auto"/>
        </w:rPr>
      </w:pPr>
      <w:r>
        <w:rPr>
          <w:rFonts w:ascii="Arial" w:cs="Arial" w:eastAsia="Arial" w:hAnsi="Arial"/>
          <w:sz w:val="15"/>
          <w:szCs w:val="15"/>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27" w:lineRule="exact"/>
        <w:rPr>
          <w:rFonts w:ascii="Arial" w:cs="Arial" w:eastAsia="Arial" w:hAnsi="Arial"/>
          <w:sz w:val="15"/>
          <w:szCs w:val="15"/>
          <w:color w:val="auto"/>
        </w:rPr>
      </w:pPr>
    </w:p>
    <w:p>
      <w:pPr>
        <w:ind w:left="900" w:right="40" w:firstLine="430"/>
        <w:spacing w:after="0" w:line="333" w:lineRule="auto"/>
        <w:tabs>
          <w:tab w:leader="none" w:pos="1537" w:val="left"/>
        </w:tabs>
        <w:numPr>
          <w:ilvl w:val="1"/>
          <w:numId w:val="63"/>
        </w:numPr>
        <w:rPr>
          <w:rFonts w:ascii="Arial" w:cs="Arial" w:eastAsia="Arial" w:hAnsi="Arial"/>
          <w:sz w:val="13"/>
          <w:szCs w:val="13"/>
          <w:color w:val="auto"/>
        </w:rPr>
      </w:pPr>
      <w:r>
        <w:rPr>
          <w:rFonts w:ascii="Arial" w:cs="Arial" w:eastAsia="Arial" w:hAnsi="Arial"/>
          <w:sz w:val="13"/>
          <w:szCs w:val="13"/>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ind w:left="460" w:right="220" w:firstLine="431"/>
        <w:spacing w:after="0" w:line="323" w:lineRule="auto"/>
        <w:tabs>
          <w:tab w:leader="none" w:pos="1115"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incurrence by the Company or any of its Restricted Subsidiaries of Hedging Obligations that are incurred for the purpose of fixing or hedging (a) interest rate risk with respect to any floating rate Indebtedness that is permitted by the terms of this Indenture to be outstanding or (b) exchange rate risk or raw materials price risk;</w:t>
      </w:r>
    </w:p>
    <w:p>
      <w:pPr>
        <w:spacing w:after="0" w:line="1" w:lineRule="exact"/>
        <w:rPr>
          <w:rFonts w:ascii="Arial" w:cs="Arial" w:eastAsia="Arial" w:hAnsi="Arial"/>
          <w:sz w:val="14"/>
          <w:szCs w:val="14"/>
          <w:color w:val="auto"/>
        </w:rPr>
      </w:pPr>
    </w:p>
    <w:p>
      <w:pPr>
        <w:ind w:left="460" w:right="80" w:firstLine="431"/>
        <w:spacing w:after="0" w:line="291" w:lineRule="auto"/>
        <w:tabs>
          <w:tab w:leader="none" w:pos="1115"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guarantee by the Company or any of its Restricted Subsidiaries of Indebtedness of the Company or a Restricted Subsidiary of the Company that was permitted to be incurred by another provision of this covenant;</w:t>
      </w:r>
    </w:p>
    <w:p>
      <w:pPr>
        <w:spacing w:after="0" w:line="16" w:lineRule="exact"/>
        <w:rPr>
          <w:rFonts w:ascii="Arial" w:cs="Arial" w:eastAsia="Arial" w:hAnsi="Arial"/>
          <w:sz w:val="15"/>
          <w:szCs w:val="15"/>
          <w:color w:val="auto"/>
        </w:rPr>
      </w:pPr>
    </w:p>
    <w:p>
      <w:pPr>
        <w:jc w:val="both"/>
        <w:ind w:left="460" w:right="440" w:firstLine="431"/>
        <w:spacing w:after="0" w:line="276" w:lineRule="auto"/>
        <w:tabs>
          <w:tab w:leader="none" w:pos="1115"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incurrence by any of the Company’s Foreign Subsidiaries of Indebtedness in an aggregate principal amount, including all Permitted Refinancing Indebtedness incurred pursuant to clause (5) of this paragraph to refund, refinance or replace any Indebtedness incurred pursuant to this clause (9), not to exceed $60.0 million at any time outstanding;</w:t>
      </w:r>
    </w:p>
    <w:p>
      <w:pPr>
        <w:spacing w:after="0" w:line="27" w:lineRule="exact"/>
        <w:rPr>
          <w:rFonts w:ascii="Arial" w:cs="Arial" w:eastAsia="Arial" w:hAnsi="Arial"/>
          <w:sz w:val="15"/>
          <w:szCs w:val="15"/>
          <w:color w:val="auto"/>
        </w:rPr>
      </w:pPr>
    </w:p>
    <w:p>
      <w:pPr>
        <w:ind w:left="460" w:right="20" w:firstLine="431"/>
        <w:spacing w:after="0" w:line="291" w:lineRule="auto"/>
        <w:tabs>
          <w:tab w:leader="none" w:pos="1192"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incurrence by a Securitization Entity of Indebtedness in a Qualified Securitization Transaction that is Non-Recourse Debt with respect to the Company and its other Restricted Subsidiaries (except for Standard Securitization Undertakings); and</w:t>
      </w:r>
    </w:p>
    <w:p>
      <w:pPr>
        <w:spacing w:after="0" w:line="16" w:lineRule="exact"/>
        <w:rPr>
          <w:rFonts w:ascii="Arial" w:cs="Arial" w:eastAsia="Arial" w:hAnsi="Arial"/>
          <w:sz w:val="15"/>
          <w:szCs w:val="15"/>
          <w:color w:val="auto"/>
        </w:rPr>
      </w:pPr>
    </w:p>
    <w:p>
      <w:pPr>
        <w:ind w:left="460" w:right="240" w:firstLine="431"/>
        <w:spacing w:after="0" w:line="276" w:lineRule="auto"/>
        <w:tabs>
          <w:tab w:leader="none" w:pos="1186"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incurrence by the Company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(11), not to exceed $75.0 million.</w:t>
      </w:r>
    </w:p>
    <w:p>
      <w:pPr>
        <w:spacing w:after="0" w:line="98" w:lineRule="exact"/>
        <w:rPr>
          <w:sz w:val="20"/>
          <w:szCs w:val="20"/>
          <w:color w:val="auto"/>
        </w:rPr>
      </w:pPr>
    </w:p>
    <w:p>
      <w:pPr>
        <w:ind w:firstLine="457"/>
        <w:spacing w:after="0" w:line="288" w:lineRule="auto"/>
        <w:rPr>
          <w:sz w:val="20"/>
          <w:szCs w:val="20"/>
          <w:color w:val="auto"/>
        </w:rPr>
      </w:pPr>
      <w:r>
        <w:rPr>
          <w:rFonts w:ascii="Arial" w:cs="Arial" w:eastAsia="Arial" w:hAnsi="Arial"/>
          <w:sz w:val="14"/>
          <w:szCs w:val="14"/>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(11)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4"/>
          <w:szCs w:val="14"/>
          <w:i w:val="1"/>
          <w:iCs w:val="1"/>
          <w:color w:val="auto"/>
        </w:rPr>
        <w:t>provided</w:t>
      </w:r>
      <w:r>
        <w:rPr>
          <w:rFonts w:ascii="Arial" w:cs="Arial" w:eastAsia="Arial" w:hAnsi="Arial"/>
          <w:sz w:val="14"/>
          <w:szCs w:val="14"/>
          <w:color w:val="auto"/>
        </w:rPr>
        <w:t>, in each such case, that the amount thereof is included in Fixed Charges of the Company as accrued. Notwithstanding the foregoing, any Indebtedness outstanding pursuant to the Credit Facility on the date of the Indenture will be deemed to have been incurred pursuant to clause (1) of the definition of Permitted Debt.</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No Senior Subordinated Debt</w:t>
      </w:r>
    </w:p>
    <w:p>
      <w:pPr>
        <w:spacing w:after="0" w:line="74" w:lineRule="exact"/>
        <w:rPr>
          <w:sz w:val="20"/>
          <w:szCs w:val="20"/>
          <w:color w:val="auto"/>
        </w:rPr>
      </w:pPr>
    </w:p>
    <w:p>
      <w:pPr>
        <w:jc w:val="both"/>
        <w:ind w:right="100" w:firstLine="457"/>
        <w:spacing w:after="0" w:line="337" w:lineRule="auto"/>
        <w:rPr>
          <w:sz w:val="20"/>
          <w:szCs w:val="20"/>
          <w:color w:val="auto"/>
        </w:rPr>
      </w:pPr>
      <w:r>
        <w:rPr>
          <w:rFonts w:ascii="Arial" w:cs="Arial" w:eastAsia="Arial" w:hAnsi="Arial"/>
          <w:sz w:val="13"/>
          <w:szCs w:val="13"/>
          <w:color w:val="auto"/>
        </w:rPr>
        <w:t>The Company will not incur, create, issue, assume, guarantee or otherwise become liable for any Indebtedness that is subordinate or junior in right of payment to any Senior Debt of the Company and senior in any respect in right of payment to the Notes. No Guarantor will incur, create, issue, assume, guarantee or otherwise become liable for any Indebtedness that is subordinate or junior in right of payment to any Senior Debt of such Guarantor and senior in any respect in right of payment to such Guarantor’s Subsidiary Guarantee.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40"/>
          </w:cols>
          <w:pgMar w:left="240" w:top="417" w:right="2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Liens</w:t>
      </w:r>
    </w:p>
    <w:p>
      <w:pPr>
        <w:spacing w:after="0" w:line="74" w:lineRule="exact"/>
        <w:rPr>
          <w:sz w:val="20"/>
          <w:szCs w:val="20"/>
          <w:color w:val="auto"/>
        </w:rPr>
      </w:pPr>
    </w:p>
    <w:p>
      <w:pPr>
        <w:ind w:right="200" w:firstLine="457"/>
        <w:spacing w:after="0" w:line="292" w:lineRule="auto"/>
        <w:rPr>
          <w:sz w:val="20"/>
          <w:szCs w:val="20"/>
          <w:color w:val="auto"/>
        </w:rPr>
      </w:pPr>
      <w:r>
        <w:rPr>
          <w:rFonts w:ascii="Arial" w:cs="Arial" w:eastAsia="Arial" w:hAnsi="Arial"/>
          <w:sz w:val="14"/>
          <w:szCs w:val="14"/>
          <w:color w:val="auto"/>
        </w:rPr>
        <w:t xml:space="preserve">The Company will not, and will not permit any of its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Permitted Liens, unless the Notes and the Guarantees, as applicable, are either (i) secured by a Lien on such property, assets, income or profits that is senior in priority to the Lien securing such other Obligations, if such Obligations are subordinated in right of payment to the Notes and/or the Guarantees or (ii) equally and ratably secured by a Lien on such property, assets, income or profits with the Lien securing such other Obligations, if such Obligations are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the Notes.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Dividend and Other Payment Restrictions Affecting Subsidiaries</w:t>
      </w:r>
    </w:p>
    <w:p>
      <w:pPr>
        <w:spacing w:after="0" w:line="74"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6" w:lineRule="exact"/>
        <w:rPr>
          <w:sz w:val="20"/>
          <w:szCs w:val="20"/>
          <w:color w:val="auto"/>
        </w:rPr>
      </w:pPr>
    </w:p>
    <w:p>
      <w:pPr>
        <w:ind w:left="460" w:right="60" w:firstLine="431"/>
        <w:spacing w:after="0" w:line="291" w:lineRule="auto"/>
        <w:tabs>
          <w:tab w:leader="none" w:pos="1115" w:val="left"/>
        </w:tabs>
        <w:numPr>
          <w:ilvl w:val="0"/>
          <w:numId w:val="64"/>
        </w:numPr>
        <w:rPr>
          <w:rFonts w:ascii="Arial" w:cs="Arial" w:eastAsia="Arial" w:hAnsi="Arial"/>
          <w:sz w:val="15"/>
          <w:szCs w:val="15"/>
          <w:color w:val="auto"/>
        </w:rPr>
      </w:pPr>
      <w:r>
        <w:rPr>
          <w:rFonts w:ascii="Arial" w:cs="Arial" w:eastAsia="Arial" w:hAnsi="Arial"/>
          <w:sz w:val="15"/>
          <w:szCs w:val="15"/>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make loans or advances to the Company or any of the Company’s Restricted Subsidiaries;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transfer any of its properties or assets to the Company or any of the Company’s Restricted Subsidiaries.</w:t>
      </w:r>
    </w:p>
    <w:p>
      <w:pPr>
        <w:spacing w:after="0" w:line="7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However, the preceding restrictions will not apply to encumbrances or restrictions existing under or by reason of:</w:t>
      </w:r>
    </w:p>
    <w:p>
      <w:pPr>
        <w:spacing w:after="0" w:line="74" w:lineRule="exact"/>
        <w:rPr>
          <w:sz w:val="20"/>
          <w:szCs w:val="20"/>
          <w:color w:val="auto"/>
        </w:rPr>
      </w:pPr>
    </w:p>
    <w:p>
      <w:pPr>
        <w:ind w:left="460" w:right="160" w:firstLine="431"/>
        <w:spacing w:after="0" w:line="271" w:lineRule="auto"/>
        <w:tabs>
          <w:tab w:leader="none" w:pos="1115" w:val="left"/>
        </w:tabs>
        <w:numPr>
          <w:ilvl w:val="1"/>
          <w:numId w:val="65"/>
        </w:numPr>
        <w:rPr>
          <w:rFonts w:ascii="Arial" w:cs="Arial" w:eastAsia="Arial" w:hAnsi="Arial"/>
          <w:sz w:val="15"/>
          <w:szCs w:val="15"/>
          <w:color w:val="auto"/>
        </w:rPr>
      </w:pPr>
      <w:r>
        <w:rPr>
          <w:rFonts w:ascii="Arial" w:cs="Arial" w:eastAsia="Arial" w:hAnsi="Arial"/>
          <w:sz w:val="15"/>
          <w:szCs w:val="15"/>
          <w:color w:val="auto"/>
        </w:rPr>
        <w:t>Existing Indebtedness as in effect on the date of the Indenture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of the Indenture;</w:t>
      </w:r>
    </w:p>
    <w:p>
      <w:pPr>
        <w:spacing w:after="0" w:line="31" w:lineRule="exact"/>
        <w:rPr>
          <w:rFonts w:ascii="Arial" w:cs="Arial" w:eastAsia="Arial" w:hAnsi="Arial"/>
          <w:sz w:val="15"/>
          <w:szCs w:val="15"/>
          <w:color w:val="auto"/>
        </w:rPr>
      </w:pPr>
    </w:p>
    <w:p>
      <w:pPr>
        <w:ind w:left="1100" w:hanging="209"/>
        <w:spacing w:after="0"/>
        <w:tabs>
          <w:tab w:leader="none" w:pos="11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Indenture, the Notes and the Guarantees;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applicable law;</w:t>
      </w:r>
    </w:p>
    <w:p>
      <w:pPr>
        <w:spacing w:after="0" w:line="74" w:lineRule="exact"/>
        <w:rPr>
          <w:rFonts w:ascii="Arial" w:cs="Arial" w:eastAsia="Arial" w:hAnsi="Arial"/>
          <w:sz w:val="15"/>
          <w:szCs w:val="15"/>
          <w:color w:val="auto"/>
        </w:rPr>
      </w:pPr>
    </w:p>
    <w:p>
      <w:pPr>
        <w:ind w:left="460" w:right="80" w:firstLine="431"/>
        <w:spacing w:after="0" w:line="271" w:lineRule="auto"/>
        <w:tabs>
          <w:tab w:leader="none" w:pos="1115" w:val="left"/>
        </w:tabs>
        <w:numPr>
          <w:ilvl w:val="1"/>
          <w:numId w:val="65"/>
        </w:numPr>
        <w:rPr>
          <w:rFonts w:ascii="Arial" w:cs="Arial" w:eastAsia="Arial" w:hAnsi="Arial"/>
          <w:sz w:val="15"/>
          <w:szCs w:val="15"/>
          <w:color w:val="auto"/>
        </w:rPr>
      </w:pPr>
      <w:r>
        <w:rPr>
          <w:rFonts w:ascii="Arial" w:cs="Arial" w:eastAsia="Arial" w:hAnsi="Arial"/>
          <w:sz w:val="15"/>
          <w:szCs w:val="15"/>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31" w:lineRule="exact"/>
        <w:rPr>
          <w:rFonts w:ascii="Arial" w:cs="Arial" w:eastAsia="Arial" w:hAnsi="Arial"/>
          <w:sz w:val="15"/>
          <w:szCs w:val="15"/>
          <w:color w:val="auto"/>
        </w:rPr>
      </w:pPr>
    </w:p>
    <w:p>
      <w:pPr>
        <w:ind w:left="1100" w:hanging="209"/>
        <w:spacing w:after="0"/>
        <w:tabs>
          <w:tab w:leader="none" w:pos="11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customary non-assignment provisions in leases, licenses, contracts and other agreements entered into in the ordinary course of business and consistent with past</w:t>
      </w:r>
    </w:p>
    <w:p>
      <w:pPr>
        <w:spacing w:after="0" w:line="3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5"/>
          <w:szCs w:val="15"/>
          <w:color w:val="auto"/>
        </w:rPr>
        <w:t>practices;</w:t>
      </w:r>
    </w:p>
    <w:p>
      <w:pPr>
        <w:spacing w:after="0" w:line="68" w:lineRule="exact"/>
        <w:rPr>
          <w:rFonts w:ascii="Arial" w:cs="Arial" w:eastAsia="Arial" w:hAnsi="Arial"/>
          <w:sz w:val="14"/>
          <w:szCs w:val="14"/>
          <w:color w:val="auto"/>
        </w:rPr>
      </w:pPr>
    </w:p>
    <w:p>
      <w:pPr>
        <w:ind w:left="1100" w:hanging="209"/>
        <w:spacing w:after="0"/>
        <w:tabs>
          <w:tab w:leader="none" w:pos="1100" w:val="left"/>
        </w:tabs>
        <w:numPr>
          <w:ilvl w:val="1"/>
          <w:numId w:val="65"/>
        </w:numPr>
        <w:rPr>
          <w:rFonts w:ascii="Arial" w:cs="Arial" w:eastAsia="Arial" w:hAnsi="Arial"/>
          <w:sz w:val="13"/>
          <w:szCs w:val="13"/>
          <w:color w:val="auto"/>
        </w:rPr>
      </w:pPr>
      <w:r>
        <w:rPr>
          <w:rFonts w:ascii="Arial" w:cs="Arial" w:eastAsia="Arial" w:hAnsi="Arial"/>
          <w:sz w:val="13"/>
          <w:szCs w:val="13"/>
          <w:color w:val="auto"/>
        </w:rPr>
        <w:t>purchase money obligations for property acquired in the ordinary course of business that impose restrictions on the property so acquired of the nature described in clause</w:t>
      </w:r>
    </w:p>
    <w:p>
      <w:pPr>
        <w:spacing w:after="0" w:line="44" w:lineRule="exact"/>
        <w:rPr>
          <w:rFonts w:ascii="Arial" w:cs="Arial" w:eastAsia="Arial" w:hAnsi="Arial"/>
          <w:sz w:val="13"/>
          <w:szCs w:val="13"/>
          <w:color w:val="auto"/>
        </w:rPr>
      </w:pPr>
    </w:p>
    <w:p>
      <w:pPr>
        <w:ind w:left="660" w:hanging="209"/>
        <w:spacing w:after="0"/>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of the preceding paragraph;</w:t>
      </w:r>
    </w:p>
    <w:p>
      <w:pPr>
        <w:spacing w:after="0" w:line="68" w:lineRule="exact"/>
        <w:rPr>
          <w:rFonts w:ascii="Arial" w:cs="Arial" w:eastAsia="Arial" w:hAnsi="Arial"/>
          <w:sz w:val="15"/>
          <w:szCs w:val="15"/>
          <w:color w:val="auto"/>
        </w:rPr>
      </w:pPr>
    </w:p>
    <w:p>
      <w:pPr>
        <w:ind w:left="1100" w:hanging="209"/>
        <w:spacing w:after="0"/>
        <w:tabs>
          <w:tab w:leader="none" w:pos="1100" w:val="left"/>
        </w:tabs>
        <w:numPr>
          <w:ilvl w:val="1"/>
          <w:numId w:val="66"/>
        </w:numPr>
        <w:rPr>
          <w:rFonts w:ascii="Arial" w:cs="Arial" w:eastAsia="Arial" w:hAnsi="Arial"/>
          <w:sz w:val="14"/>
          <w:szCs w:val="14"/>
          <w:color w:val="auto"/>
        </w:rPr>
      </w:pPr>
      <w:r>
        <w:rPr>
          <w:rFonts w:ascii="Arial" w:cs="Arial" w:eastAsia="Arial" w:hAnsi="Arial"/>
          <w:sz w:val="14"/>
          <w:szCs w:val="14"/>
          <w:color w:val="auto"/>
        </w:rPr>
        <w:t>any agreement for the sale or other disposition of a Restricted Subsidiary that restricts distributions by such Restricted Subsidiary pending its sale or other disposition;</w:t>
      </w:r>
    </w:p>
    <w:p>
      <w:pPr>
        <w:spacing w:after="0" w:line="85" w:lineRule="exact"/>
        <w:rPr>
          <w:rFonts w:ascii="Arial" w:cs="Arial" w:eastAsia="Arial" w:hAnsi="Arial"/>
          <w:sz w:val="14"/>
          <w:szCs w:val="14"/>
          <w:color w:val="auto"/>
        </w:rPr>
      </w:pPr>
    </w:p>
    <w:p>
      <w:pPr>
        <w:ind w:left="460" w:right="540" w:firstLine="431"/>
        <w:spacing w:after="0" w:line="291" w:lineRule="auto"/>
        <w:tabs>
          <w:tab w:leader="none" w:pos="1115" w:val="left"/>
        </w:tabs>
        <w:numPr>
          <w:ilvl w:val="1"/>
          <w:numId w:val="66"/>
        </w:numPr>
        <w:rPr>
          <w:rFonts w:ascii="Arial" w:cs="Arial" w:eastAsia="Arial" w:hAnsi="Arial"/>
          <w:sz w:val="15"/>
          <w:szCs w:val="15"/>
          <w:color w:val="auto"/>
        </w:rPr>
      </w:pPr>
      <w:r>
        <w:rPr>
          <w:rFonts w:ascii="Arial" w:cs="Arial" w:eastAsia="Arial" w:hAnsi="Arial"/>
          <w:sz w:val="15"/>
          <w:szCs w:val="15"/>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40"/>
          </w:cols>
          <w:pgMar w:left="240" w:top="417" w:right="2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right="200" w:firstLine="431"/>
        <w:spacing w:after="0" w:line="291" w:lineRule="auto"/>
        <w:tabs>
          <w:tab w:leader="none" w:pos="1115" w:val="left"/>
        </w:tabs>
        <w:numPr>
          <w:ilvl w:val="0"/>
          <w:numId w:val="67"/>
        </w:numPr>
        <w:rPr>
          <w:rFonts w:ascii="Arial" w:cs="Arial" w:eastAsia="Arial" w:hAnsi="Arial"/>
          <w:sz w:val="15"/>
          <w:szCs w:val="15"/>
          <w:color w:val="auto"/>
        </w:rPr>
      </w:pPr>
      <w:r>
        <w:rPr>
          <w:rFonts w:ascii="Arial" w:cs="Arial" w:eastAsia="Arial" w:hAnsi="Arial"/>
          <w:sz w:val="15"/>
          <w:szCs w:val="15"/>
          <w:color w:val="auto"/>
        </w:rPr>
        <w:t>Liens securing Indebtedness otherwise permitted to be incurred pursuant to the provisions of the covenant described above under the caption “ —Liens” that limit the right of the Company or any of its Restricted Subsidiaries to dispose of the assets subject to such Lien;</w:t>
      </w:r>
    </w:p>
    <w:p>
      <w:pPr>
        <w:spacing w:after="0" w:line="16" w:lineRule="exact"/>
        <w:rPr>
          <w:rFonts w:ascii="Arial" w:cs="Arial" w:eastAsia="Arial" w:hAnsi="Arial"/>
          <w:sz w:val="15"/>
          <w:szCs w:val="15"/>
          <w:color w:val="auto"/>
        </w:rPr>
      </w:pPr>
    </w:p>
    <w:p>
      <w:pPr>
        <w:ind w:left="460" w:right="320" w:firstLine="431"/>
        <w:spacing w:after="0" w:line="291" w:lineRule="auto"/>
        <w:tabs>
          <w:tab w:leader="none" w:pos="1192"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provisions with respect to the disposition or distribution of assets or property in joint venture agreements and other similar agreements entered into in the ordinary course of business;</w:t>
      </w:r>
    </w:p>
    <w:p>
      <w:pPr>
        <w:spacing w:after="0" w:line="16" w:lineRule="exact"/>
        <w:rPr>
          <w:rFonts w:ascii="Arial" w:cs="Arial" w:eastAsia="Arial" w:hAnsi="Arial"/>
          <w:sz w:val="15"/>
          <w:szCs w:val="15"/>
          <w:color w:val="auto"/>
        </w:rPr>
      </w:pPr>
    </w:p>
    <w:p>
      <w:pPr>
        <w:ind w:left="1180" w:hanging="289"/>
        <w:spacing w:after="0"/>
        <w:tabs>
          <w:tab w:leader="none" w:pos="11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customary provisions under Indebtedness of any Foreign Subsidiary permitted to be incurred under the Indenture;</w:t>
      </w:r>
    </w:p>
    <w:p>
      <w:pPr>
        <w:spacing w:after="0" w:line="74" w:lineRule="exact"/>
        <w:rPr>
          <w:rFonts w:ascii="Arial" w:cs="Arial" w:eastAsia="Arial" w:hAnsi="Arial"/>
          <w:sz w:val="15"/>
          <w:szCs w:val="15"/>
          <w:color w:val="auto"/>
        </w:rPr>
      </w:pPr>
    </w:p>
    <w:p>
      <w:pPr>
        <w:ind w:left="1180" w:hanging="289"/>
        <w:spacing w:after="0"/>
        <w:tabs>
          <w:tab w:leader="none" w:pos="11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restrictions on cash or other deposits or net worth imposed by customers under contracts entered into in the ordinary course of business; and</w:t>
      </w:r>
    </w:p>
    <w:p>
      <w:pPr>
        <w:spacing w:after="0" w:line="74" w:lineRule="exact"/>
        <w:rPr>
          <w:rFonts w:ascii="Arial" w:cs="Arial" w:eastAsia="Arial" w:hAnsi="Arial"/>
          <w:sz w:val="15"/>
          <w:szCs w:val="15"/>
          <w:color w:val="auto"/>
        </w:rPr>
      </w:pPr>
    </w:p>
    <w:p>
      <w:pPr>
        <w:ind w:left="1180" w:hanging="289"/>
        <w:spacing w:after="0"/>
        <w:tabs>
          <w:tab w:leader="none" w:pos="11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restrictions created in connection with a Qualified Securitization Transaction.</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Merger, Consolidation or Sale of Assets</w:t>
      </w:r>
    </w:p>
    <w:p>
      <w:pPr>
        <w:spacing w:after="0" w:line="74"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The Company may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16" w:lineRule="exact"/>
        <w:rPr>
          <w:sz w:val="20"/>
          <w:szCs w:val="20"/>
          <w:color w:val="auto"/>
        </w:rPr>
      </w:pPr>
    </w:p>
    <w:p>
      <w:pPr>
        <w:jc w:val="both"/>
        <w:ind w:left="460" w:firstLine="431"/>
        <w:spacing w:after="0" w:line="276" w:lineRule="auto"/>
        <w:tabs>
          <w:tab w:leader="none" w:pos="1115" w:val="left"/>
        </w:tabs>
        <w:numPr>
          <w:ilvl w:val="0"/>
          <w:numId w:val="68"/>
        </w:numPr>
        <w:rPr>
          <w:rFonts w:ascii="Arial" w:cs="Arial" w:eastAsia="Arial" w:hAnsi="Arial"/>
          <w:sz w:val="15"/>
          <w:szCs w:val="15"/>
          <w:color w:val="auto"/>
        </w:rPr>
      </w:pPr>
      <w:r>
        <w:rPr>
          <w:rFonts w:ascii="Arial" w:cs="Arial" w:eastAsia="Arial" w:hAnsi="Arial"/>
          <w:sz w:val="15"/>
          <w:szCs w:val="15"/>
          <w:color w:val="auto"/>
        </w:rPr>
        <w:t>either: (a) the Company is the surviving corporation; or (b) the Person formed by or surviving any such consolidation or merger (if other than the Company) or to which such sale, assignment, transfer, conveyance or other disposition shall have been made is a corporation organized or existing under the laws of the United States, any state thereof or the District of Columbia;</w:t>
      </w:r>
    </w:p>
    <w:p>
      <w:pPr>
        <w:spacing w:after="0" w:line="27" w:lineRule="exact"/>
        <w:rPr>
          <w:rFonts w:ascii="Arial" w:cs="Arial" w:eastAsia="Arial" w:hAnsi="Arial"/>
          <w:sz w:val="15"/>
          <w:szCs w:val="15"/>
          <w:color w:val="auto"/>
        </w:rPr>
      </w:pPr>
    </w:p>
    <w:p>
      <w:pPr>
        <w:jc w:val="both"/>
        <w:ind w:left="460" w:right="120" w:firstLine="431"/>
        <w:spacing w:after="0" w:line="276" w:lineRule="auto"/>
        <w:tabs>
          <w:tab w:leader="none" w:pos="1115"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the Indenture and the Registration Rights Agreement pursuant to agreements reasonably satisfactory to the Trustee;</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immediately after such transaction no Default or Event of Default exists; and</w:t>
      </w:r>
    </w:p>
    <w:p>
      <w:pPr>
        <w:spacing w:after="0" w:line="74" w:lineRule="exact"/>
        <w:rPr>
          <w:rFonts w:ascii="Arial" w:cs="Arial" w:eastAsia="Arial" w:hAnsi="Arial"/>
          <w:sz w:val="15"/>
          <w:szCs w:val="15"/>
          <w:color w:val="auto"/>
        </w:rPr>
      </w:pPr>
    </w:p>
    <w:p>
      <w:pPr>
        <w:ind w:left="460" w:right="100" w:firstLine="431"/>
        <w:spacing w:after="0" w:line="268" w:lineRule="auto"/>
        <w:tabs>
          <w:tab w:leader="none" w:pos="1115"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except in the case of a merger entered into solely for the purpose of reincorporating the Company or any Restricted Subsidiary in another jurisdiction, the Company or the Person formed by or surviving any such consolidation or merger (if other than the Company)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Stock.”</w:t>
      </w:r>
    </w:p>
    <w:p>
      <w:pPr>
        <w:spacing w:after="0" w:line="106" w:lineRule="exact"/>
        <w:rPr>
          <w:sz w:val="20"/>
          <w:szCs w:val="20"/>
          <w:color w:val="auto"/>
        </w:rPr>
      </w:pPr>
    </w:p>
    <w:p>
      <w:pPr>
        <w:jc w:val="both"/>
        <w:ind w:right="300"/>
        <w:spacing w:after="0" w:line="373" w:lineRule="auto"/>
        <w:rPr>
          <w:sz w:val="20"/>
          <w:szCs w:val="20"/>
          <w:color w:val="auto"/>
        </w:rPr>
      </w:pPr>
      <w:r>
        <w:rPr>
          <w:rFonts w:ascii="Arial" w:cs="Arial" w:eastAsia="Arial" w:hAnsi="Arial"/>
          <w:sz w:val="13"/>
          <w:szCs w:val="13"/>
          <w:color w:val="auto"/>
        </w:rPr>
        <w:t>In addition, the Company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the Company and any Guarantor.</w:t>
      </w:r>
    </w:p>
    <w:p>
      <w:pPr>
        <w:spacing w:after="0" w:line="40" w:lineRule="exact"/>
        <w:rPr>
          <w:sz w:val="20"/>
          <w:szCs w:val="20"/>
          <w:color w:val="auto"/>
        </w:rPr>
      </w:pPr>
    </w:p>
    <w:p>
      <w:pPr>
        <w:jc w:val="both"/>
        <w:ind w:right="120" w:firstLine="457"/>
        <w:spacing w:after="0" w:line="276" w:lineRule="auto"/>
        <w:rPr>
          <w:sz w:val="20"/>
          <w:szCs w:val="20"/>
          <w:color w:val="auto"/>
        </w:rPr>
      </w:pPr>
      <w:r>
        <w:rPr>
          <w:rFonts w:ascii="Arial" w:cs="Arial" w:eastAsia="Arial" w:hAnsi="Arial"/>
          <w:sz w:val="15"/>
          <w:szCs w:val="15"/>
          <w:color w:val="auto"/>
        </w:rPr>
        <w:t>On and after the date that the exchange offer has been consummated, the Company will be permitted to effect a reorganization whereby the Common Stock of the Company shall become owned by a corporation organized or existing under the laws of the United States, any state thereof or the District of Columbia (“Holdco”); provided that immediately after such transaction no Default or Event of Default exists and; provided further that:</w:t>
      </w:r>
    </w:p>
    <w:p>
      <w:pPr>
        <w:spacing w:after="0" w:line="27" w:lineRule="exact"/>
        <w:rPr>
          <w:sz w:val="20"/>
          <w:szCs w:val="20"/>
          <w:color w:val="auto"/>
        </w:rPr>
      </w:pPr>
    </w:p>
    <w:p>
      <w:pPr>
        <w:ind w:left="880" w:right="40" w:hanging="440"/>
        <w:spacing w:after="0" w:line="337" w:lineRule="auto"/>
        <w:tabs>
          <w:tab w:leader="none" w:pos="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if the obligations of the Company under the Notes and the Indenture remain those of the Company, then (A) Holdco shall, within 10 Business Days of the date on which Holdco becomes the owner of the Common Stock of the Company, execute a supplemental indenture or other instrument evidencing its Guarantee of the Company’s obligations under the Notes and the Indenture, in either case in form satisfactory to the Trustee, and deliver an Opinion of Counsel to the Trustee, (B) Holdco, the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417"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900" w:right="20"/>
        <w:spacing w:after="0" w:line="268" w:lineRule="auto"/>
        <w:rPr>
          <w:sz w:val="20"/>
          <w:szCs w:val="20"/>
          <w:color w:val="auto"/>
        </w:rPr>
      </w:pPr>
      <w:r>
        <w:rPr>
          <w:rFonts w:ascii="Arial" w:cs="Arial" w:eastAsia="Arial" w:hAnsi="Arial"/>
          <w:sz w:val="15"/>
          <w:szCs w:val="15"/>
          <w:color w:val="auto"/>
        </w:rPr>
        <w:t>and each of Holdco’s Restricted Subsidiaries shall be subject to all of the covenants under “—Repurchase at the Option of the Holders—Offer to Repurchase Upon Change of Control” and “—Repurchase at the Option of Holders—Offer to Repurchase by Application of Excess Proceeds of Asset Sales” and all of the provisions of the Indenture described under the caption “—Certain Covenants,” and (C) all of the Subsidiaries of Holdco shall be Restricted Subsidiaries, except for its Unrestricted Subsidiaries, and all of the existing and future Domestic Restricted Subsidiaries of Holdco shall be Guarantors, except for the Company, Custom, Sanford and future Domestic Restricted Subsidiaries which fall below a materiality threshold. See “—Additional Subsidiary Guarantees”; or</w:t>
      </w:r>
    </w:p>
    <w:p>
      <w:pPr>
        <w:spacing w:after="0" w:line="35" w:lineRule="exact"/>
        <w:rPr>
          <w:sz w:val="20"/>
          <w:szCs w:val="20"/>
          <w:color w:val="auto"/>
        </w:rPr>
      </w:pPr>
    </w:p>
    <w:p>
      <w:pPr>
        <w:ind w:left="880" w:right="20" w:hanging="440"/>
        <w:spacing w:after="0" w:line="286" w:lineRule="auto"/>
        <w:tabs>
          <w:tab w:leader="none" w:pos="8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if the obligations of the Company under the Notes and the Indenture are transferred and assigned to Holdco, then (A) Holdco shall assume all the obligations and covenants of the Company under the Notes and the Indenture, pursuant to agreements reasonably satisfactory to the Trustee, (B) each of Holdco and its Restricted Subsidiaries, including the Company, shall be subject to all of the covenants under “—Repurchase at the Option of the Holders—Offer to Repurchase Upon Change of Control” and “— Repurchase at the Option of Holders—Offer to Repurchase by Application of Excess Proceeds of Asset Sales” and all of the provisions of the Indenture described under the caption “—Certain Covenants,” (C) the Company shall, within 10 Business Days of the date on which Holdco assumes the obligations of the Company under the Notes and the Indenture, execute a supplemental indenture or other instrument evidencing its Guarantee of Holdco’s obligations under the Notes and the Indenture, in either case in form satisfactory to the Trustee, and deliver an Opinion of Counsel to the Trustee, and (D) all of the Subsidiaries of Holdco shall be Restricted Subsidiaries, except for its Unrestricted Subsidiaries, and all of the existing and future Domestic Restricted Subsidiaries of Holdco shall be Guarantors, except for Custom, Sanford and future Domestic Restricted Subsidiaries which fall below a materiality threshold. See “—Additional Subsidiary Guarantees.”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Transactions with Affiliates</w:t>
      </w:r>
    </w:p>
    <w:p>
      <w:pPr>
        <w:spacing w:after="0" w:line="74" w:lineRule="exact"/>
        <w:rPr>
          <w:sz w:val="20"/>
          <w:szCs w:val="20"/>
          <w:color w:val="auto"/>
        </w:rPr>
      </w:pPr>
    </w:p>
    <w:p>
      <w:pPr>
        <w:jc w:val="both"/>
        <w:ind w:right="60" w:firstLine="457"/>
        <w:spacing w:after="0" w:line="276" w:lineRule="auto"/>
        <w:rPr>
          <w:sz w:val="20"/>
          <w:szCs w:val="20"/>
          <w:color w:val="auto"/>
        </w:rPr>
      </w:pPr>
      <w:r>
        <w:rPr>
          <w:rFonts w:ascii="Arial" w:cs="Arial" w:eastAsia="Arial" w:hAnsi="Arial"/>
          <w:sz w:val="15"/>
          <w:szCs w:val="15"/>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27" w:lineRule="exact"/>
        <w:rPr>
          <w:sz w:val="20"/>
          <w:szCs w:val="20"/>
          <w:color w:val="auto"/>
        </w:rPr>
      </w:pPr>
    </w:p>
    <w:p>
      <w:pPr>
        <w:ind w:left="460" w:right="340" w:firstLine="431"/>
        <w:spacing w:after="0" w:line="291" w:lineRule="auto"/>
        <w:tabs>
          <w:tab w:leader="none" w:pos="1115" w:val="left"/>
        </w:tabs>
        <w:numPr>
          <w:ilvl w:val="0"/>
          <w:numId w:val="71"/>
        </w:numPr>
        <w:rPr>
          <w:rFonts w:ascii="Arial" w:cs="Arial" w:eastAsia="Arial" w:hAnsi="Arial"/>
          <w:sz w:val="15"/>
          <w:szCs w:val="15"/>
          <w:color w:val="auto"/>
        </w:rPr>
      </w:pPr>
      <w:r>
        <w:rPr>
          <w:rFonts w:ascii="Arial" w:cs="Arial" w:eastAsia="Arial" w:hAnsi="Arial"/>
          <w:sz w:val="15"/>
          <w:szCs w:val="15"/>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Company delivers to the Trustee:</w:t>
      </w:r>
    </w:p>
    <w:p>
      <w:pPr>
        <w:spacing w:after="0" w:line="74" w:lineRule="exact"/>
        <w:rPr>
          <w:rFonts w:ascii="Arial" w:cs="Arial" w:eastAsia="Arial" w:hAnsi="Arial"/>
          <w:sz w:val="15"/>
          <w:szCs w:val="15"/>
          <w:color w:val="auto"/>
        </w:rPr>
      </w:pPr>
    </w:p>
    <w:p>
      <w:pPr>
        <w:ind w:left="900" w:firstLine="430"/>
        <w:spacing w:after="0" w:line="276" w:lineRule="auto"/>
        <w:tabs>
          <w:tab w:leader="none" w:pos="1529" w:val="left"/>
        </w:tabs>
        <w:numPr>
          <w:ilvl w:val="1"/>
          <w:numId w:val="71"/>
        </w:numPr>
        <w:rPr>
          <w:rFonts w:ascii="Arial" w:cs="Arial" w:eastAsia="Arial" w:hAnsi="Arial"/>
          <w:sz w:val="15"/>
          <w:szCs w:val="15"/>
          <w:color w:val="auto"/>
        </w:rPr>
      </w:pPr>
      <w:r>
        <w:rPr>
          <w:rFonts w:ascii="Arial" w:cs="Arial" w:eastAsia="Arial" w:hAnsi="Arial"/>
          <w:sz w:val="15"/>
          <w:szCs w:val="15"/>
          <w:color w:val="auto"/>
        </w:rPr>
        <w:t>with respect to any Affiliate Transaction or series of related Affiliate Transactions involving aggregate consideration in excess of $10.0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7" w:lineRule="exact"/>
        <w:rPr>
          <w:rFonts w:ascii="Arial" w:cs="Arial" w:eastAsia="Arial" w:hAnsi="Arial"/>
          <w:sz w:val="15"/>
          <w:szCs w:val="15"/>
          <w:color w:val="auto"/>
        </w:rPr>
      </w:pPr>
    </w:p>
    <w:p>
      <w:pPr>
        <w:jc w:val="both"/>
        <w:ind w:left="900" w:right="100" w:firstLine="430"/>
        <w:spacing w:after="0" w:line="329" w:lineRule="auto"/>
        <w:tabs>
          <w:tab w:leader="none" w:pos="1537" w:val="left"/>
        </w:tabs>
        <w:numPr>
          <w:ilvl w:val="1"/>
          <w:numId w:val="71"/>
        </w:numPr>
        <w:rPr>
          <w:rFonts w:ascii="Arial" w:cs="Arial" w:eastAsia="Arial" w:hAnsi="Arial"/>
          <w:sz w:val="14"/>
          <w:szCs w:val="14"/>
          <w:color w:val="auto"/>
        </w:rPr>
      </w:pPr>
      <w:r>
        <w:rPr>
          <w:rFonts w:ascii="Arial" w:cs="Arial" w:eastAsia="Arial" w:hAnsi="Arial"/>
          <w:sz w:val="14"/>
          <w:szCs w:val="14"/>
          <w:color w:val="auto"/>
        </w:rPr>
        <w:t>with respect to any Affiliate Transaction or series of related Affiliate Transactions involving aggregate consideration in excess of $25.0 million, an opinion as to the fairness to the Holders of such Affiliate Transaction from a financial point of view issued by an accounting, appraisal or investment banking firm of national standing.</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items shall not be deemed to be Affiliate Transactions and, therefore, will not be subject to the provisions of the prior paragraph:</w:t>
      </w:r>
    </w:p>
    <w:p>
      <w:pPr>
        <w:spacing w:after="0" w:line="74" w:lineRule="exact"/>
        <w:rPr>
          <w:sz w:val="20"/>
          <w:szCs w:val="20"/>
          <w:color w:val="auto"/>
        </w:rPr>
      </w:pPr>
    </w:p>
    <w:p>
      <w:pPr>
        <w:ind w:left="460" w:firstLine="431"/>
        <w:spacing w:after="0" w:line="291" w:lineRule="auto"/>
        <w:tabs>
          <w:tab w:leader="none" w:pos="1115"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employment, consulting or similar agreement (including any loan, but not any forgiveness thereof) entered into by the Company or any of its Restricted Subsidiaries in the ordinary course of business or any payment of directors’ and officers’ insurance premiums;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transactions between or among the Company and/or its Restricted Subsidiaries;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417"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1100" w:hanging="209"/>
        <w:spacing w:after="0"/>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payment of reasonable directors fees to Persons who are not otherwise Affiliates of the Company;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dividends on or any repurchases of any shares of any series or class of equity securities of the Company;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Restricted Payments that are permitted by the provisions of the Indenture described above under the caption “—Restricted Payments”;</w:t>
      </w:r>
    </w:p>
    <w:p>
      <w:pPr>
        <w:spacing w:after="0" w:line="74" w:lineRule="exact"/>
        <w:rPr>
          <w:rFonts w:ascii="Arial" w:cs="Arial" w:eastAsia="Arial" w:hAnsi="Arial"/>
          <w:sz w:val="15"/>
          <w:szCs w:val="15"/>
          <w:color w:val="auto"/>
        </w:rPr>
      </w:pPr>
    </w:p>
    <w:p>
      <w:pPr>
        <w:ind w:left="460" w:right="40" w:firstLine="431"/>
        <w:spacing w:after="0" w:line="291" w:lineRule="auto"/>
        <w:tabs>
          <w:tab w:leader="none" w:pos="1115"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merger between or among the Company or any of its Restricted Subsidiaries solely for the purpose of reincorporating the Company or such Restricted Subsidiary in another jurisdiction for tax purposes; and</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transactions in connection with a Qualified Securitization Transaction or an industrial revenue bond financing.</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Additional Subsidiary Guarantees</w:t>
      </w:r>
    </w:p>
    <w:p>
      <w:pPr>
        <w:spacing w:after="0" w:line="74" w:lineRule="exact"/>
        <w:rPr>
          <w:sz w:val="20"/>
          <w:szCs w:val="20"/>
          <w:color w:val="auto"/>
        </w:rPr>
      </w:pPr>
    </w:p>
    <w:p>
      <w:pPr>
        <w:ind w:right="20" w:firstLine="457"/>
        <w:spacing w:after="0" w:line="267" w:lineRule="auto"/>
        <w:rPr>
          <w:sz w:val="20"/>
          <w:szCs w:val="20"/>
          <w:color w:val="auto"/>
        </w:rPr>
      </w:pPr>
      <w:r>
        <w:rPr>
          <w:rFonts w:ascii="Arial" w:cs="Arial" w:eastAsia="Arial" w:hAnsi="Arial"/>
          <w:sz w:val="15"/>
          <w:szCs w:val="15"/>
          <w:color w:val="auto"/>
        </w:rPr>
        <w:t>If, after the date of the Indenture, the Company, Holdco or any of their Domestic Restricted Subsidiaries (other than Custom and Sanford) acquires or creates another Domestic Restricted Subsidiary, then that newly acquired or created Domestic Restricted Subsidiary will, within 10 Business Days of the date on which it was acquired or created, execute a supplemental indenture or other instrument evidencing its Subsidiary Guarantee, in either case in form satisfactory to the Trustee, and deliver an Opinion of Counsel to the Trustee; provided that, if the initial investment in or purchase price of such new Domestic Restricted Subsidiary is less than $1.0 million, such Domestic Restricted Subsidiary shall not be required to be a Guarantor unless and until the financial statements delivered to the Trustee for each fiscal year of the Company pursuant to “—Reports” show the tangible net worth of such new Domestic Restricted Subsidiary to be more than $1.0 million.</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Payments for Consent</w:t>
      </w:r>
    </w:p>
    <w:p>
      <w:pPr>
        <w:spacing w:after="0" w:line="74"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Reports</w:t>
      </w:r>
    </w:p>
    <w:p>
      <w:pPr>
        <w:spacing w:after="0" w:line="74"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Whether or not required by the SEC, so long as any Notes are outstanding, the Company will furnish to the Holders of Notes, within the time periods specified in the SEC’s rules and regulations:</w:t>
      </w:r>
    </w:p>
    <w:p>
      <w:pPr>
        <w:spacing w:after="0" w:line="16" w:lineRule="exact"/>
        <w:rPr>
          <w:sz w:val="20"/>
          <w:szCs w:val="20"/>
          <w:color w:val="auto"/>
        </w:rPr>
      </w:pPr>
    </w:p>
    <w:p>
      <w:pPr>
        <w:ind w:left="1340" w:right="100" w:hanging="442"/>
        <w:spacing w:after="0" w:line="276" w:lineRule="auto"/>
        <w:tabs>
          <w:tab w:leader="none" w:pos="1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7" w:lineRule="exact"/>
        <w:rPr>
          <w:rFonts w:ascii="Arial" w:cs="Arial" w:eastAsia="Arial" w:hAnsi="Arial"/>
          <w:sz w:val="15"/>
          <w:szCs w:val="15"/>
          <w:color w:val="auto"/>
        </w:rPr>
      </w:pPr>
    </w:p>
    <w:p>
      <w:pPr>
        <w:ind w:left="1340" w:hanging="442"/>
        <w:spacing w:after="0"/>
        <w:tabs>
          <w:tab w:leader="none" w:pos="1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all current reports that would be required to be filed with the SEC on Form 8-K if the Company were required to file such reports.</w:t>
      </w:r>
    </w:p>
    <w:p>
      <w:pPr>
        <w:spacing w:after="0" w:line="145" w:lineRule="exact"/>
        <w:rPr>
          <w:sz w:val="20"/>
          <w:szCs w:val="20"/>
          <w:color w:val="auto"/>
        </w:rPr>
      </w:pPr>
    </w:p>
    <w:p>
      <w:pPr>
        <w:ind w:right="80" w:firstLine="457"/>
        <w:spacing w:after="0" w:line="276" w:lineRule="auto"/>
        <w:rPr>
          <w:sz w:val="20"/>
          <w:szCs w:val="20"/>
          <w:color w:val="auto"/>
        </w:rPr>
      </w:pPr>
      <w:r>
        <w:rPr>
          <w:rFonts w:ascii="Arial" w:cs="Arial" w:eastAsia="Arial" w:hAnsi="Arial"/>
          <w:sz w:val="15"/>
          <w:szCs w:val="15"/>
          <w:color w:val="auto"/>
        </w:rPr>
        <w:t>In addition, whether or not required by the SEC, the Company will file a copy of all of the information and reports referred to in clauses (1) and (2) above with the SEC for public availability within the time periods specified in the SEC’s rules and regulations (unless the SEC will not accept such a filing) and make such information available to securities analysts and prospective investors upon request.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0"/>
          </w:cols>
          <w:pgMar w:left="240" w:top="417"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Events of Default and Remedies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of the following is an Event of Default:</w:t>
      </w:r>
    </w:p>
    <w:p>
      <w:pPr>
        <w:spacing w:after="0" w:line="74" w:lineRule="exact"/>
        <w:rPr>
          <w:sz w:val="20"/>
          <w:szCs w:val="20"/>
          <w:color w:val="auto"/>
        </w:rPr>
      </w:pPr>
    </w:p>
    <w:p>
      <w:pPr>
        <w:ind w:left="460" w:firstLine="431"/>
        <w:spacing w:after="0" w:line="291" w:lineRule="auto"/>
        <w:tabs>
          <w:tab w:leader="none" w:pos="1115"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default for 30 days in the payment when due of interest on, or Additional Interest with respect to, the Notes, whether or not prohibited by the subordination provisions of the Indenture;</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default in payment when due of the principal of or premium, if any, on the Notes, whether or not prohibited by the subordination provisions of the Indenture;</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failure by the Company to comply with its obligations under “Certain Covenants—Merger, Consolidation or Sale of Assets”;</w:t>
      </w:r>
    </w:p>
    <w:p>
      <w:pPr>
        <w:spacing w:after="0" w:line="74" w:lineRule="exact"/>
        <w:rPr>
          <w:rFonts w:ascii="Arial" w:cs="Arial" w:eastAsia="Arial" w:hAnsi="Arial"/>
          <w:sz w:val="15"/>
          <w:szCs w:val="15"/>
          <w:color w:val="auto"/>
        </w:rPr>
      </w:pPr>
    </w:p>
    <w:p>
      <w:pPr>
        <w:ind w:left="460" w:right="400" w:firstLine="431"/>
        <w:spacing w:after="0" w:line="276" w:lineRule="auto"/>
        <w:tabs>
          <w:tab w:leader="none" w:pos="1115" w:val="left"/>
        </w:tabs>
        <w:numPr>
          <w:ilvl w:val="0"/>
          <w:numId w:val="75"/>
        </w:numPr>
        <w:rPr>
          <w:rFonts w:ascii="Arial" w:cs="Arial" w:eastAsia="Arial" w:hAnsi="Arial"/>
          <w:sz w:val="15"/>
          <w:szCs w:val="15"/>
          <w:color w:val="auto"/>
        </w:rPr>
      </w:pPr>
      <w:r>
        <w:rPr>
          <w:rFonts w:ascii="Arial" w:cs="Arial" w:eastAsia="Arial" w:hAnsi="Arial"/>
          <w:sz w:val="15"/>
          <w:szCs w:val="15"/>
          <w:color w:val="auto"/>
        </w:rPr>
        <w:t>failure by the Company or any of its Subsidiaries for 30 days after notice to comply with the provisions described under the captions “Repurchase at the Option of Holders—Offer to Repurchase Upon Change of Control,” “Repurchase at the Option of Holders—Offer to Repurchase by Application of Excess Proceeds of Asset Sales,” “Certain Covenants—Restricted Payments” or “Certain Covenants—Incurrence of Indebtedness and Issuance of Preferred Stock”;</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failure by the Company or any of its Subsidiaries for 60 days after notice to comply with any of the other agreements in the Indenture;</w:t>
      </w:r>
    </w:p>
    <w:p>
      <w:pPr>
        <w:spacing w:after="0" w:line="74" w:lineRule="exact"/>
        <w:rPr>
          <w:rFonts w:ascii="Arial" w:cs="Arial" w:eastAsia="Arial" w:hAnsi="Arial"/>
          <w:sz w:val="15"/>
          <w:szCs w:val="15"/>
          <w:color w:val="auto"/>
        </w:rPr>
      </w:pPr>
    </w:p>
    <w:p>
      <w:pPr>
        <w:ind w:left="460" w:right="400" w:firstLine="431"/>
        <w:spacing w:after="0" w:line="276" w:lineRule="auto"/>
        <w:tabs>
          <w:tab w:leader="none" w:pos="1115"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w:t>
      </w:r>
    </w:p>
    <w:p>
      <w:pPr>
        <w:spacing w:after="0" w:line="27" w:lineRule="exact"/>
        <w:rPr>
          <w:rFonts w:ascii="Arial" w:cs="Arial" w:eastAsia="Arial" w:hAnsi="Arial"/>
          <w:sz w:val="15"/>
          <w:szCs w:val="15"/>
          <w:color w:val="auto"/>
        </w:rPr>
      </w:pPr>
    </w:p>
    <w:p>
      <w:pPr>
        <w:ind w:left="900" w:right="600" w:firstLine="430"/>
        <w:spacing w:after="0" w:line="291" w:lineRule="auto"/>
        <w:tabs>
          <w:tab w:leader="none" w:pos="1529" w:val="left"/>
        </w:tabs>
        <w:numPr>
          <w:ilvl w:val="1"/>
          <w:numId w:val="75"/>
        </w:numPr>
        <w:rPr>
          <w:rFonts w:ascii="Arial" w:cs="Arial" w:eastAsia="Arial" w:hAnsi="Arial"/>
          <w:sz w:val="15"/>
          <w:szCs w:val="15"/>
          <w:color w:val="auto"/>
        </w:rPr>
      </w:pPr>
      <w:r>
        <w:rPr>
          <w:rFonts w:ascii="Arial" w:cs="Arial" w:eastAsia="Arial" w:hAnsi="Arial"/>
          <w:sz w:val="15"/>
          <w:szCs w:val="15"/>
          <w:color w:val="auto"/>
        </w:rPr>
        <w:t>is caused by a failure to pay principal of or premium, if any, or interest on such Indebtedness prior to the expiration of the grace period provided in such Indebtedness on the date of such default (a “Payment Default”); or</w:t>
      </w:r>
    </w:p>
    <w:p>
      <w:pPr>
        <w:spacing w:after="0" w:line="16" w:lineRule="exact"/>
        <w:rPr>
          <w:rFonts w:ascii="Arial" w:cs="Arial" w:eastAsia="Arial" w:hAnsi="Arial"/>
          <w:sz w:val="15"/>
          <w:szCs w:val="15"/>
          <w:color w:val="auto"/>
        </w:rPr>
      </w:pPr>
    </w:p>
    <w:p>
      <w:pPr>
        <w:ind w:left="900" w:right="80" w:firstLine="430"/>
        <w:spacing w:after="0" w:line="276" w:lineRule="auto"/>
        <w:tabs>
          <w:tab w:leader="none" w:pos="1537" w:val="left"/>
        </w:tabs>
        <w:numPr>
          <w:ilvl w:val="1"/>
          <w:numId w:val="75"/>
        </w:numPr>
        <w:rPr>
          <w:rFonts w:ascii="Arial" w:cs="Arial" w:eastAsia="Arial" w:hAnsi="Arial"/>
          <w:sz w:val="15"/>
          <w:szCs w:val="15"/>
          <w:color w:val="auto"/>
        </w:rPr>
      </w:pPr>
      <w:r>
        <w:rPr>
          <w:rFonts w:ascii="Arial" w:cs="Arial" w:eastAsia="Arial" w:hAnsi="Arial"/>
          <w:sz w:val="15"/>
          <w:szCs w:val="15"/>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27"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75"/>
        </w:numPr>
        <w:rPr>
          <w:rFonts w:ascii="Arial" w:cs="Arial" w:eastAsia="Arial" w:hAnsi="Arial"/>
          <w:sz w:val="15"/>
          <w:szCs w:val="15"/>
          <w:color w:val="auto"/>
        </w:rPr>
      </w:pPr>
      <w:r>
        <w:rPr>
          <w:rFonts w:ascii="Arial" w:cs="Arial" w:eastAsia="Arial" w:hAnsi="Arial"/>
          <w:sz w:val="15"/>
          <w:szCs w:val="15"/>
          <w:color w:val="auto"/>
        </w:rPr>
        <w:t>failure by the Company or any of its Subsidiaries to pay final judgments aggregating in excess of $20.0 million, which judgments are not paid, discharged or stayed for a period of 60 days;</w:t>
      </w:r>
    </w:p>
    <w:p>
      <w:pPr>
        <w:spacing w:after="0" w:line="16" w:lineRule="exact"/>
        <w:rPr>
          <w:rFonts w:ascii="Arial" w:cs="Arial" w:eastAsia="Arial" w:hAnsi="Arial"/>
          <w:sz w:val="15"/>
          <w:szCs w:val="15"/>
          <w:color w:val="auto"/>
        </w:rPr>
      </w:pPr>
    </w:p>
    <w:p>
      <w:pPr>
        <w:ind w:left="460" w:right="200" w:firstLine="431"/>
        <w:spacing w:after="0" w:line="296" w:lineRule="auto"/>
        <w:tabs>
          <w:tab w:leader="none" w:pos="1115"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except as permitted by the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16" w:lineRule="exact"/>
        <w:rPr>
          <w:rFonts w:ascii="Arial" w:cs="Arial" w:eastAsia="Arial" w:hAnsi="Arial"/>
          <w:sz w:val="14"/>
          <w:szCs w:val="14"/>
          <w:color w:val="auto"/>
        </w:rPr>
      </w:pPr>
    </w:p>
    <w:p>
      <w:pPr>
        <w:ind w:left="1100" w:hanging="209"/>
        <w:spacing w:after="0"/>
        <w:tabs>
          <w:tab w:leader="none" w:pos="11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certain events of bankruptcy or insolvency with respect to the Company or any of its Significant Subsidiaries.</w:t>
      </w:r>
    </w:p>
    <w:p>
      <w:pPr>
        <w:spacing w:after="0" w:line="145" w:lineRule="exact"/>
        <w:rPr>
          <w:sz w:val="20"/>
          <w:szCs w:val="20"/>
          <w:color w:val="auto"/>
        </w:rPr>
      </w:pPr>
    </w:p>
    <w:p>
      <w:pPr>
        <w:ind w:right="140" w:firstLine="457"/>
        <w:spacing w:after="0" w:line="271" w:lineRule="auto"/>
        <w:rPr>
          <w:sz w:val="20"/>
          <w:szCs w:val="20"/>
          <w:color w:val="auto"/>
        </w:rPr>
      </w:pPr>
      <w:r>
        <w:rPr>
          <w:rFonts w:ascii="Arial" w:cs="Arial" w:eastAsia="Arial" w:hAnsi="Arial"/>
          <w:sz w:val="15"/>
          <w:szCs w:val="15"/>
          <w:color w:val="auto"/>
        </w:rPr>
        <w:t>In the case of an Event of Default arising from certain events of bankruptcy or insolvency, with respect to the Company, any Subsidiary that is a Significant Subsidiary or any group of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0"/>
          </w:cols>
          <w:pgMar w:left="240" w:top="417"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81" w:lineRule="exact"/>
        <w:rPr>
          <w:sz w:val="20"/>
          <w:szCs w:val="20"/>
          <w:color w:val="auto"/>
        </w:rPr>
      </w:pPr>
    </w:p>
    <w:p>
      <w:pPr>
        <w:ind w:right="60" w:firstLine="457"/>
        <w:spacing w:after="0" w:line="276" w:lineRule="auto"/>
        <w:rPr>
          <w:sz w:val="20"/>
          <w:szCs w:val="20"/>
          <w:color w:val="auto"/>
        </w:rPr>
      </w:pPr>
      <w:r>
        <w:rPr>
          <w:rFonts w:ascii="Arial" w:cs="Arial" w:eastAsia="Arial" w:hAnsi="Arial"/>
          <w:sz w:val="15"/>
          <w:szCs w:val="15"/>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the principal of, premium and Additional Interest, if any, on the Notes.</w:t>
      </w:r>
    </w:p>
    <w:p>
      <w:pPr>
        <w:spacing w:after="0" w:line="98" w:lineRule="exact"/>
        <w:rPr>
          <w:sz w:val="20"/>
          <w:szCs w:val="20"/>
          <w:color w:val="auto"/>
        </w:rPr>
      </w:pPr>
    </w:p>
    <w:p>
      <w:pPr>
        <w:ind w:right="20" w:firstLine="457"/>
        <w:spacing w:after="0" w:line="267" w:lineRule="auto"/>
        <w:rPr>
          <w:sz w:val="20"/>
          <w:szCs w:val="20"/>
          <w:color w:val="auto"/>
        </w:rPr>
      </w:pPr>
      <w:r>
        <w:rPr>
          <w:rFonts w:ascii="Arial" w:cs="Arial" w:eastAsia="Arial" w:hAnsi="Arial"/>
          <w:sz w:val="15"/>
          <w:szCs w:val="15"/>
          <w:color w:val="auto"/>
        </w:rPr>
        <w:t>In the case of any Event of Default occurring by reason of any willful action or inaction taken or not taken by or on behalf of the Company with the intention of avoiding payment of the premium that the Company would have had to pay if the Company then had elected to redeem the Notes pursuant to the optional redemption provisions of the Indenture, an equivalent premium shall also become and be immediately due and payable to the extent permitted by law upon the acceleration of the Notes. If an Event of Default occurs prior to November 15, 2008, by reason of any willful action (or inaction) taken (or not taken) by or on behalf of the Company with the intention of avoiding the prohibition on redemption of the Notes prior to November 15, 2008, then the premium specified in the Indenture shall also become immediately due and payable to the extent permitted by law upon the acceleration of the Notes.</w:t>
      </w:r>
    </w:p>
    <w:p>
      <w:pPr>
        <w:spacing w:after="0" w:line="105"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The Company is required to deliver to the Trustee annually a statement regarding compliance with the Indenture. Upon becoming aware of any Default or Event of Default, the Company is required to deliver to the Trustee a statement specifying such Default or Event of Default.</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Personal Liability of Directors, Officers, Employees and Stockholders</w:t>
      </w:r>
    </w:p>
    <w:p>
      <w:pPr>
        <w:spacing w:after="0" w:line="78"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No director, officer, employee, incorporator or stockholder of the Company or any Guarantor, as such, shall have any liability for any obligations of the Company or the Guarantors under the Notes, the Indenture, the Subsidiary Guarantees,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Defeasance and Covenant Defeasance</w:t>
      </w:r>
    </w:p>
    <w:p>
      <w:pPr>
        <w:spacing w:after="0" w:line="78" w:lineRule="exact"/>
        <w:rPr>
          <w:sz w:val="20"/>
          <w:szCs w:val="20"/>
          <w:color w:val="auto"/>
        </w:rPr>
      </w:pPr>
    </w:p>
    <w:p>
      <w:pPr>
        <w:ind w:right="660" w:firstLine="457"/>
        <w:spacing w:after="0" w:line="291" w:lineRule="auto"/>
        <w:rPr>
          <w:sz w:val="20"/>
          <w:szCs w:val="20"/>
          <w:color w:val="auto"/>
        </w:rPr>
      </w:pPr>
      <w:r>
        <w:rPr>
          <w:rFonts w:ascii="Arial" w:cs="Arial" w:eastAsia="Arial" w:hAnsi="Arial"/>
          <w:sz w:val="15"/>
          <w:szCs w:val="15"/>
          <w:color w:val="auto"/>
        </w:rPr>
        <w:t>The Company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16" w:lineRule="exact"/>
        <w:rPr>
          <w:sz w:val="20"/>
          <w:szCs w:val="20"/>
          <w:color w:val="auto"/>
        </w:rPr>
      </w:pPr>
    </w:p>
    <w:p>
      <w:pPr>
        <w:ind w:left="460" w:right="80" w:firstLine="431"/>
        <w:spacing w:after="0" w:line="291" w:lineRule="auto"/>
        <w:tabs>
          <w:tab w:leader="none" w:pos="1115"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rights of Holders of outstanding Notes to receive payments in respect of the principal of, premium, if any, and interest and Additional Interest, if any, on such Notes when such payments are due from the trust referred to below;</w:t>
      </w:r>
    </w:p>
    <w:p>
      <w:pPr>
        <w:spacing w:after="0" w:line="16" w:lineRule="exact"/>
        <w:rPr>
          <w:rFonts w:ascii="Arial" w:cs="Arial" w:eastAsia="Arial" w:hAnsi="Arial"/>
          <w:sz w:val="15"/>
          <w:szCs w:val="15"/>
          <w:color w:val="auto"/>
        </w:rPr>
      </w:pPr>
    </w:p>
    <w:p>
      <w:pPr>
        <w:ind w:left="460" w:right="480" w:firstLine="431"/>
        <w:spacing w:after="0" w:line="291" w:lineRule="auto"/>
        <w:tabs>
          <w:tab w:leader="none" w:pos="1115"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rights, powers, trusts, duties and immunities of the Trustee, and the Company’s obligations in connection therewith;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Legal Defeasance provisions of the Indenture.</w:t>
      </w:r>
    </w:p>
    <w:p>
      <w:pPr>
        <w:spacing w:after="0" w:line="145"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 addition, the Company may, at its option and at any time, elect to have the obligations of the Company and the Guarantors released with respect to certain covenants that are described in the Indenture (“Covenant Defeasance”) and thereafter any omission to comply with those covenants shall not constitute a Default or Event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417"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order to exercise either Legal Defeasance or Covenant Defeasance:</w:t>
      </w:r>
    </w:p>
    <w:p>
      <w:pPr>
        <w:spacing w:after="0" w:line="74" w:lineRule="exact"/>
        <w:rPr>
          <w:sz w:val="20"/>
          <w:szCs w:val="20"/>
          <w:color w:val="auto"/>
        </w:rPr>
      </w:pPr>
    </w:p>
    <w:p>
      <w:pPr>
        <w:ind w:left="460" w:right="60" w:firstLine="431"/>
        <w:spacing w:after="0" w:line="271"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must irrevocably deposit with the Trustee, in trust, for the benefit of the Holders of the Notes, cash in U.S. dollars, non-callable Government Securities, or a combination thereof, in such amounts as will be sufficient, in the opinion of a nationally recognized firm of independent public accountants, to pay the principal of, premium, if any, and interest and Additional Interest, if any, on the outstanding Notes on the stated maturity or on the applicable redemption date, as the case may be, and the Company must specify whether the Notes are being defeased to maturity or to a particular redemption date;</w:t>
      </w:r>
    </w:p>
    <w:p>
      <w:pPr>
        <w:spacing w:after="0" w:line="31" w:lineRule="exact"/>
        <w:rPr>
          <w:rFonts w:ascii="Arial" w:cs="Arial" w:eastAsia="Arial" w:hAnsi="Arial"/>
          <w:sz w:val="15"/>
          <w:szCs w:val="15"/>
          <w:color w:val="auto"/>
        </w:rPr>
      </w:pPr>
    </w:p>
    <w:p>
      <w:pPr>
        <w:ind w:left="460" w:firstLine="431"/>
        <w:spacing w:after="0" w:line="268"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35" w:lineRule="exact"/>
        <w:rPr>
          <w:rFonts w:ascii="Arial" w:cs="Arial" w:eastAsia="Arial" w:hAnsi="Arial"/>
          <w:sz w:val="15"/>
          <w:szCs w:val="15"/>
          <w:color w:val="auto"/>
        </w:rPr>
      </w:pPr>
    </w:p>
    <w:p>
      <w:pPr>
        <w:jc w:val="both"/>
        <w:ind w:left="460" w:right="240" w:firstLine="431"/>
        <w:spacing w:after="0" w:line="304" w:lineRule="auto"/>
        <w:tabs>
          <w:tab w:leader="none" w:pos="1115"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0" w:lineRule="exact"/>
        <w:rPr>
          <w:rFonts w:ascii="Arial" w:cs="Arial" w:eastAsia="Arial" w:hAnsi="Arial"/>
          <w:sz w:val="14"/>
          <w:szCs w:val="14"/>
          <w:color w:val="auto"/>
        </w:rPr>
      </w:pPr>
    </w:p>
    <w:p>
      <w:pPr>
        <w:jc w:val="both"/>
        <w:ind w:left="460" w:right="140" w:firstLine="431"/>
        <w:spacing w:after="0" w:line="276"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27" w:lineRule="exact"/>
        <w:rPr>
          <w:rFonts w:ascii="Arial" w:cs="Arial" w:eastAsia="Arial" w:hAnsi="Arial"/>
          <w:sz w:val="15"/>
          <w:szCs w:val="15"/>
          <w:color w:val="auto"/>
        </w:rPr>
      </w:pPr>
    </w:p>
    <w:p>
      <w:pPr>
        <w:ind w:left="460" w:right="60" w:firstLine="431"/>
        <w:spacing w:after="0" w:line="291"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such Legal Defeasance or Covenant Defeasance will not result in a breach or violation of, or constitute a default under any material agreement or instrument (other than the Indenture) to which the Company or any of its Subsidiaries is a party or by which the Company or any of its Subsidiaries is bound;</w:t>
      </w:r>
    </w:p>
    <w:p>
      <w:pPr>
        <w:spacing w:after="0" w:line="16" w:lineRule="exact"/>
        <w:rPr>
          <w:rFonts w:ascii="Arial" w:cs="Arial" w:eastAsia="Arial" w:hAnsi="Arial"/>
          <w:sz w:val="15"/>
          <w:szCs w:val="15"/>
          <w:color w:val="auto"/>
        </w:rPr>
      </w:pPr>
    </w:p>
    <w:p>
      <w:pPr>
        <w:ind w:left="460" w:right="220" w:firstLine="431"/>
        <w:spacing w:after="0" w:line="291"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16" w:lineRule="exact"/>
        <w:rPr>
          <w:rFonts w:ascii="Arial" w:cs="Arial" w:eastAsia="Arial" w:hAnsi="Arial"/>
          <w:sz w:val="15"/>
          <w:szCs w:val="15"/>
          <w:color w:val="auto"/>
        </w:rPr>
      </w:pPr>
    </w:p>
    <w:p>
      <w:pPr>
        <w:ind w:left="460" w:right="20" w:firstLine="431"/>
        <w:spacing w:after="0" w:line="291"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16" w:lineRule="exact"/>
        <w:rPr>
          <w:rFonts w:ascii="Arial" w:cs="Arial" w:eastAsia="Arial" w:hAnsi="Arial"/>
          <w:sz w:val="15"/>
          <w:szCs w:val="15"/>
          <w:color w:val="auto"/>
        </w:rPr>
      </w:pPr>
    </w:p>
    <w:p>
      <w:pPr>
        <w:ind w:left="460" w:right="140" w:firstLine="431"/>
        <w:spacing w:after="0" w:line="291" w:lineRule="auto"/>
        <w:tabs>
          <w:tab w:leader="none" w:pos="1115"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must deliver to the Trustee an Officers’ Certificate and an Opinion of Counsel, each stating that all conditions precedent relating to the Legal Defeasance or the Covenant Defeasance have been complied with.</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Supplement and Waiver</w:t>
      </w:r>
    </w:p>
    <w:p>
      <w:pPr>
        <w:spacing w:after="0" w:line="78" w:lineRule="exact"/>
        <w:rPr>
          <w:sz w:val="20"/>
          <w:szCs w:val="20"/>
          <w:color w:val="auto"/>
        </w:rPr>
      </w:pPr>
    </w:p>
    <w:p>
      <w:pPr>
        <w:ind w:right="60" w:firstLine="457"/>
        <w:spacing w:after="0" w:line="276" w:lineRule="auto"/>
        <w:rPr>
          <w:sz w:val="20"/>
          <w:szCs w:val="20"/>
          <w:color w:val="auto"/>
        </w:rPr>
      </w:pPr>
      <w:r>
        <w:rPr>
          <w:rFonts w:ascii="Arial" w:cs="Arial" w:eastAsia="Arial" w:hAnsi="Arial"/>
          <w:sz w:val="15"/>
          <w:szCs w:val="15"/>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40"/>
          </w:cols>
          <w:pgMar w:left="240" w:top="417" w:right="21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Without the consent of each Holder affected, an amendment or waiver may not (with respect to any Notes held by a non-consenting Holder):</w:t>
      </w:r>
    </w:p>
    <w:p>
      <w:pPr>
        <w:spacing w:after="0" w:line="74" w:lineRule="exact"/>
        <w:rPr>
          <w:sz w:val="20"/>
          <w:szCs w:val="20"/>
          <w:color w:val="auto"/>
        </w:rPr>
      </w:pPr>
    </w:p>
    <w:p>
      <w:pPr>
        <w:ind w:left="1100" w:hanging="209"/>
        <w:spacing w:after="0"/>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reduce the principal amount of Notes whose Holders must consent to an amendment, supplement or waiver;</w:t>
      </w:r>
    </w:p>
    <w:p>
      <w:pPr>
        <w:spacing w:after="0" w:line="74" w:lineRule="exact"/>
        <w:rPr>
          <w:rFonts w:ascii="Arial" w:cs="Arial" w:eastAsia="Arial" w:hAnsi="Arial"/>
          <w:sz w:val="15"/>
          <w:szCs w:val="15"/>
          <w:color w:val="auto"/>
        </w:rPr>
      </w:pPr>
    </w:p>
    <w:p>
      <w:pPr>
        <w:ind w:left="460" w:right="60" w:firstLine="431"/>
        <w:spacing w:after="0" w:line="291" w:lineRule="auto"/>
        <w:tabs>
          <w:tab w:leader="none" w:pos="1115"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reduce the rate of or change the time for payment of interest on any Note;</w:t>
      </w:r>
    </w:p>
    <w:p>
      <w:pPr>
        <w:spacing w:after="0" w:line="74" w:lineRule="exact"/>
        <w:rPr>
          <w:rFonts w:ascii="Arial" w:cs="Arial" w:eastAsia="Arial" w:hAnsi="Arial"/>
          <w:sz w:val="15"/>
          <w:szCs w:val="15"/>
          <w:color w:val="auto"/>
        </w:rPr>
      </w:pPr>
    </w:p>
    <w:p>
      <w:pPr>
        <w:ind w:left="460" w:right="200" w:firstLine="431"/>
        <w:spacing w:after="0" w:line="291" w:lineRule="auto"/>
        <w:tabs>
          <w:tab w:leader="none" w:pos="1115" w:val="left"/>
        </w:tabs>
        <w:numPr>
          <w:ilvl w:val="0"/>
          <w:numId w:val="78"/>
        </w:numPr>
        <w:rPr>
          <w:rFonts w:ascii="Arial" w:cs="Arial" w:eastAsia="Arial" w:hAnsi="Arial"/>
          <w:sz w:val="15"/>
          <w:szCs w:val="15"/>
          <w:color w:val="auto"/>
        </w:rPr>
      </w:pPr>
      <w:r>
        <w:rPr>
          <w:rFonts w:ascii="Arial" w:cs="Arial" w:eastAsia="Arial" w:hAnsi="Arial"/>
          <w:sz w:val="15"/>
          <w:szCs w:val="15"/>
          <w:color w:val="auto"/>
        </w:rPr>
        <w:t>waive a Default or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make any Note payable in money other than that stated in the Notes;</w:t>
      </w:r>
    </w:p>
    <w:p>
      <w:pPr>
        <w:spacing w:after="0" w:line="74"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make any change in the provisions of the Indenture relating to waivers of past Defaults or the rights of Holders of Notes to receive payments of principal of or premium, if any, or interest on the Notes;</w:t>
      </w:r>
    </w:p>
    <w:p>
      <w:pPr>
        <w:spacing w:after="0" w:line="16" w:lineRule="exact"/>
        <w:rPr>
          <w:rFonts w:ascii="Arial" w:cs="Arial" w:eastAsia="Arial" w:hAnsi="Arial"/>
          <w:sz w:val="15"/>
          <w:szCs w:val="15"/>
          <w:color w:val="auto"/>
        </w:rPr>
      </w:pPr>
    </w:p>
    <w:p>
      <w:pPr>
        <w:ind w:left="460" w:right="260" w:firstLine="431"/>
        <w:spacing w:after="0" w:line="291" w:lineRule="auto"/>
        <w:tabs>
          <w:tab w:leader="none" w:pos="1115" w:val="left"/>
        </w:tabs>
        <w:numPr>
          <w:ilvl w:val="0"/>
          <w:numId w:val="78"/>
        </w:numPr>
        <w:rPr>
          <w:rFonts w:ascii="Arial" w:cs="Arial" w:eastAsia="Arial" w:hAnsi="Arial"/>
          <w:sz w:val="15"/>
          <w:szCs w:val="15"/>
          <w:color w:val="auto"/>
        </w:rPr>
      </w:pPr>
      <w:r>
        <w:rPr>
          <w:rFonts w:ascii="Arial" w:cs="Arial" w:eastAsia="Arial" w:hAnsi="Arial"/>
          <w:sz w:val="15"/>
          <w:szCs w:val="15"/>
          <w:color w:val="auto"/>
        </w:rPr>
        <w:t>waive a redemption payment with respect to any Note (other than a payment required by one of the covenants described above under the caption “Repurchase at the Option of Holders”);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make any change in the preceding amendment and waiver provisions, except as set forth below;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modify the Subsidiary Guarantees in any manner adverse to the Holders of the Notes.</w:t>
      </w:r>
    </w:p>
    <w:p>
      <w:pPr>
        <w:spacing w:after="0" w:line="145"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addition, any amendment to, or waiver of, the provisions of the Indenture relating to subordination that adversely affect the rights of the Holders of the Notes will require the consent of the Holders of at least 75% in aggregate principal amount of Notes then outstanding.</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Notwithstanding the preceding, without the consent of any Holder of Notes, the Company and the Trustee may amend or supplement the Indenture or the Notes:</w:t>
      </w:r>
    </w:p>
    <w:p>
      <w:pPr>
        <w:spacing w:after="0" w:line="74" w:lineRule="exact"/>
        <w:rPr>
          <w:sz w:val="20"/>
          <w:szCs w:val="20"/>
          <w:color w:val="auto"/>
        </w:rPr>
      </w:pPr>
    </w:p>
    <w:p>
      <w:pPr>
        <w:ind w:left="1100" w:hanging="209"/>
        <w:spacing w:after="0"/>
        <w:tabs>
          <w:tab w:leader="none" w:pos="11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cure any ambiguity, defect or inconsistency;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74" w:lineRule="exact"/>
        <w:rPr>
          <w:rFonts w:ascii="Arial" w:cs="Arial" w:eastAsia="Arial" w:hAnsi="Arial"/>
          <w:sz w:val="15"/>
          <w:szCs w:val="15"/>
          <w:color w:val="auto"/>
        </w:rPr>
      </w:pPr>
    </w:p>
    <w:p>
      <w:pPr>
        <w:ind w:left="460" w:right="620" w:firstLine="431"/>
        <w:spacing w:after="0" w:line="291" w:lineRule="auto"/>
        <w:tabs>
          <w:tab w:leader="none" w:pos="1115"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provide for the assumption of the Company’s obligations to Holders of Notes in the case of a merger or consolidation or sale of all or substantially all of the Company’s assets;</w:t>
      </w:r>
    </w:p>
    <w:p>
      <w:pPr>
        <w:spacing w:after="0" w:line="16" w:lineRule="exact"/>
        <w:rPr>
          <w:rFonts w:ascii="Arial" w:cs="Arial" w:eastAsia="Arial" w:hAnsi="Arial"/>
          <w:sz w:val="15"/>
          <w:szCs w:val="15"/>
          <w:color w:val="auto"/>
        </w:rPr>
      </w:pPr>
    </w:p>
    <w:p>
      <w:pPr>
        <w:ind w:left="460" w:right="100" w:firstLine="431"/>
        <w:spacing w:after="0" w:line="291" w:lineRule="auto"/>
        <w:tabs>
          <w:tab w:leader="none" w:pos="1115"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make any change that would provide any additional rights or benefits to the Holders of Notes or that does not adversely affect the legal rights under the Indenture of any such Holder;</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add any Person as a Guarantor;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comply with requirements of the SEC in order to effect or maintain the qualification of the Indenture under the Trust Indenture Act.</w:t>
      </w:r>
    </w:p>
    <w:p>
      <w:pPr>
        <w:spacing w:after="0" w:line="145" w:lineRule="exact"/>
        <w:rPr>
          <w:sz w:val="20"/>
          <w:szCs w:val="20"/>
          <w:color w:val="auto"/>
        </w:rPr>
      </w:pPr>
    </w:p>
    <w:p>
      <w:pPr>
        <w:ind w:right="80" w:firstLine="457"/>
        <w:spacing w:after="0" w:line="296" w:lineRule="auto"/>
        <w:rPr>
          <w:sz w:val="20"/>
          <w:szCs w:val="20"/>
          <w:color w:val="auto"/>
        </w:rPr>
      </w:pPr>
      <w:r>
        <w:rPr>
          <w:rFonts w:ascii="Arial" w:cs="Arial" w:eastAsia="Arial" w:hAnsi="Arial"/>
          <w:sz w:val="14"/>
          <w:szCs w:val="14"/>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00"/>
          </w:cols>
          <w:pgMar w:left="240" w:top="417"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Concerning the Trustee</w:t>
      </w:r>
    </w:p>
    <w:p>
      <w:pPr>
        <w:spacing w:after="0" w:line="78" w:lineRule="exact"/>
        <w:rPr>
          <w:sz w:val="20"/>
          <w:szCs w:val="20"/>
          <w:color w:val="auto"/>
        </w:rPr>
      </w:pPr>
    </w:p>
    <w:p>
      <w:pPr>
        <w:ind w:right="380" w:firstLine="457"/>
        <w:spacing w:after="0" w:line="276" w:lineRule="auto"/>
        <w:rPr>
          <w:sz w:val="20"/>
          <w:szCs w:val="20"/>
          <w:color w:val="auto"/>
        </w:rPr>
      </w:pPr>
      <w:r>
        <w:rPr>
          <w:rFonts w:ascii="Arial" w:cs="Arial" w:eastAsia="Arial" w:hAnsi="Arial"/>
          <w:sz w:val="15"/>
          <w:szCs w:val="15"/>
          <w:color w:val="auto"/>
        </w:rPr>
        <w:t>If the Trustee becomes a creditor of the Company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98" w:lineRule="exact"/>
        <w:rPr>
          <w:sz w:val="20"/>
          <w:szCs w:val="20"/>
          <w:color w:val="auto"/>
        </w:rPr>
      </w:pPr>
    </w:p>
    <w:p>
      <w:pPr>
        <w:ind w:right="60" w:firstLine="457"/>
        <w:spacing w:after="0" w:line="268" w:lineRule="auto"/>
        <w:rPr>
          <w:sz w:val="20"/>
          <w:szCs w:val="20"/>
          <w:color w:val="auto"/>
        </w:rPr>
      </w:pPr>
      <w:r>
        <w:rPr>
          <w:rFonts w:ascii="Arial" w:cs="Arial" w:eastAsia="Arial" w:hAnsi="Arial"/>
          <w:sz w:val="15"/>
          <w:szCs w:val="15"/>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shall occur and be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Definitions</w:t>
      </w:r>
    </w:p>
    <w:p>
      <w:pPr>
        <w:spacing w:after="0" w:line="78"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Acquired Debt</w:t>
      </w:r>
      <w:r>
        <w:rPr>
          <w:rFonts w:ascii="Arial" w:cs="Arial" w:eastAsia="Arial" w:hAnsi="Arial"/>
          <w:sz w:val="15"/>
          <w:szCs w:val="15"/>
          <w:color w:val="auto"/>
        </w:rPr>
        <w:t>” means, with respect to any specified Person:</w:t>
      </w:r>
    </w:p>
    <w:p>
      <w:pPr>
        <w:spacing w:after="0" w:line="74" w:lineRule="exact"/>
        <w:rPr>
          <w:sz w:val="20"/>
          <w:szCs w:val="20"/>
          <w:color w:val="auto"/>
        </w:rPr>
      </w:pPr>
    </w:p>
    <w:p>
      <w:pPr>
        <w:ind w:left="460" w:right="320" w:firstLine="431"/>
        <w:spacing w:after="0" w:line="323" w:lineRule="auto"/>
        <w:tabs>
          <w:tab w:leader="none" w:pos="1115"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 w:lineRule="exact"/>
        <w:rPr>
          <w:rFonts w:ascii="Arial" w:cs="Arial" w:eastAsia="Arial" w:hAnsi="Arial"/>
          <w:sz w:val="14"/>
          <w:szCs w:val="14"/>
          <w:color w:val="auto"/>
        </w:rPr>
      </w:pPr>
    </w:p>
    <w:p>
      <w:pPr>
        <w:ind w:left="1100" w:hanging="209"/>
        <w:spacing w:after="0"/>
        <w:tabs>
          <w:tab w:leader="none" w:pos="11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Indebtedness secured by a Lien encumbering any asset acquired by such specified Person.</w:t>
      </w:r>
    </w:p>
    <w:p>
      <w:pPr>
        <w:spacing w:after="0" w:line="145" w:lineRule="exact"/>
        <w:rPr>
          <w:sz w:val="20"/>
          <w:szCs w:val="20"/>
          <w:color w:val="auto"/>
        </w:rPr>
      </w:pPr>
    </w:p>
    <w:p>
      <w:pPr>
        <w:ind w:right="20" w:firstLine="457"/>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shall have correlative meanings.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Asset Sale</w:t>
      </w:r>
      <w:r>
        <w:rPr>
          <w:rFonts w:ascii="Arial" w:cs="Arial" w:eastAsia="Arial" w:hAnsi="Arial"/>
          <w:sz w:val="15"/>
          <w:szCs w:val="15"/>
          <w:color w:val="auto"/>
        </w:rPr>
        <w:t>” means:</w:t>
      </w:r>
    </w:p>
    <w:p>
      <w:pPr>
        <w:spacing w:after="0" w:line="74" w:lineRule="exact"/>
        <w:rPr>
          <w:sz w:val="20"/>
          <w:szCs w:val="20"/>
          <w:color w:val="auto"/>
        </w:rPr>
      </w:pPr>
    </w:p>
    <w:p>
      <w:pPr>
        <w:ind w:left="460" w:right="140" w:firstLine="431"/>
        <w:spacing w:after="0" w:line="296" w:lineRule="auto"/>
        <w:tabs>
          <w:tab w:leader="none" w:pos="1115"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Offer to Repurchase Upon Application of Excess Proceeds of Asset Sales covenant; and</w:t>
      </w:r>
    </w:p>
    <w:p>
      <w:pPr>
        <w:spacing w:after="0" w:line="16" w:lineRule="exact"/>
        <w:rPr>
          <w:rFonts w:ascii="Arial" w:cs="Arial" w:eastAsia="Arial" w:hAnsi="Arial"/>
          <w:sz w:val="14"/>
          <w:szCs w:val="14"/>
          <w:color w:val="auto"/>
        </w:rPr>
      </w:pPr>
    </w:p>
    <w:p>
      <w:pPr>
        <w:ind w:left="1100" w:hanging="209"/>
        <w:spacing w:after="0"/>
        <w:tabs>
          <w:tab w:leader="none" w:pos="11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issuance of Equity Interests by any of the Company’s Restricted Subsidiaries or the sale of Equity Interests in any of its Subsidiaries.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Notwithstanding the preceding, the following items shall not be deemed to be Asset Sales:</w:t>
      </w:r>
    </w:p>
    <w:p>
      <w:pPr>
        <w:spacing w:after="0" w:line="74" w:lineRule="exact"/>
        <w:rPr>
          <w:sz w:val="20"/>
          <w:szCs w:val="20"/>
          <w:color w:val="auto"/>
        </w:rPr>
      </w:pPr>
    </w:p>
    <w:p>
      <w:pPr>
        <w:ind w:left="460" w:right="240" w:firstLine="431"/>
        <w:spacing w:after="0" w:line="291" w:lineRule="auto"/>
        <w:tabs>
          <w:tab w:leader="none" w:pos="1115"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single transaction or series of related transactions that: (a) involves assets having a fair market value of less than $5.0 million; or (b) results in net proceeds to the Company and its Subsidiaries of less than $5.0 million;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40"/>
          </w:cols>
          <w:pgMar w:left="240" w:top="417" w:right="21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both"/>
        <w:ind w:left="460" w:right="380" w:firstLine="431"/>
        <w:spacing w:after="0" w:line="296" w:lineRule="auto"/>
        <w:tabs>
          <w:tab w:leader="none" w:pos="1115"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16" w:lineRule="exact"/>
        <w:rPr>
          <w:rFonts w:ascii="Arial" w:cs="Arial" w:eastAsia="Arial" w:hAnsi="Arial"/>
          <w:sz w:val="14"/>
          <w:szCs w:val="14"/>
          <w:color w:val="auto"/>
        </w:rPr>
      </w:pPr>
    </w:p>
    <w:p>
      <w:pPr>
        <w:ind w:left="1100" w:hanging="209"/>
        <w:spacing w:after="0"/>
        <w:tabs>
          <w:tab w:leader="none" w:pos="11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issuance of Equity Interests by a Restricted Subsidiary to the Company or to a Wholly Owned Restricted Subsidiary;</w:t>
      </w:r>
    </w:p>
    <w:p>
      <w:pPr>
        <w:spacing w:after="0" w:line="74"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sale, transfer or discount of any receivables to lenders under any Credit Facilities or to special purpose entities formed to borrow from lenders under Credit Facilities against such receivables;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Restricted Payment that is permitted by the covenant described above under the caption “Certain Covenants—Restricted Payments”; and</w:t>
      </w:r>
    </w:p>
    <w:p>
      <w:pPr>
        <w:spacing w:after="0" w:line="74" w:lineRule="exact"/>
        <w:rPr>
          <w:rFonts w:ascii="Arial" w:cs="Arial" w:eastAsia="Arial" w:hAnsi="Arial"/>
          <w:sz w:val="15"/>
          <w:szCs w:val="15"/>
          <w:color w:val="auto"/>
        </w:rPr>
      </w:pPr>
    </w:p>
    <w:p>
      <w:pPr>
        <w:ind w:left="460" w:right="120" w:firstLine="431"/>
        <w:spacing w:after="0" w:line="291" w:lineRule="auto"/>
        <w:tabs>
          <w:tab w:leader="none" w:pos="1115"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87" w:lineRule="exact"/>
        <w:rPr>
          <w:sz w:val="20"/>
          <w:szCs w:val="20"/>
          <w:color w:val="auto"/>
        </w:rPr>
      </w:pPr>
    </w:p>
    <w:p>
      <w:pPr>
        <w:ind w:right="2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Beneficial Owner</w:t>
      </w:r>
      <w:r>
        <w:rPr>
          <w:rFonts w:ascii="Arial" w:cs="Arial" w:eastAsia="Arial" w:hAnsi="Arial"/>
          <w:sz w:val="15"/>
          <w:szCs w:val="15"/>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98"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Lease Obligation</w:t>
      </w:r>
      <w:r>
        <w:rPr>
          <w:rFonts w:ascii="Arial" w:cs="Arial" w:eastAsia="Arial" w:hAnsi="Arial"/>
          <w:sz w:val="15"/>
          <w:szCs w:val="15"/>
          <w:color w:val="auto"/>
        </w:rPr>
        <w:t>” means, at the time any determination thereof is to be made, the amount of the liability in respect of a capital lease that would at that time be required to be capitalized on a balance sheet in accordance with GAAP.</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Capital Stock</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the case of a corporation, corporate stock;</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 case of an association or business entity, any and all shares, interests, participations, rights or other equivalents (however designated) of corporate stock;</w:t>
      </w:r>
    </w:p>
    <w:p>
      <w:pPr>
        <w:spacing w:after="0" w:line="85" w:lineRule="exact"/>
        <w:rPr>
          <w:rFonts w:ascii="Arial" w:cs="Arial" w:eastAsia="Arial" w:hAnsi="Arial"/>
          <w:sz w:val="14"/>
          <w:szCs w:val="14"/>
          <w:color w:val="auto"/>
        </w:rPr>
      </w:pPr>
    </w:p>
    <w:p>
      <w:pPr>
        <w:ind w:left="1100" w:hanging="209"/>
        <w:spacing w:after="0"/>
        <w:tabs>
          <w:tab w:leader="none" w:pos="11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the case of a partnership or limited liability company, partnership or membership interests (whether general or limited);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other interest or participation that confers on a Person the right to receive a share of the profits and losses of, or distributions of assets of, the issuing Person.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Cash Equivalents</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United States dollars;</w:t>
      </w:r>
    </w:p>
    <w:p>
      <w:pPr>
        <w:spacing w:after="0" w:line="74" w:lineRule="exact"/>
        <w:rPr>
          <w:rFonts w:ascii="Arial" w:cs="Arial" w:eastAsia="Arial" w:hAnsi="Arial"/>
          <w:sz w:val="15"/>
          <w:szCs w:val="15"/>
          <w:color w:val="auto"/>
        </w:rPr>
      </w:pPr>
    </w:p>
    <w:p>
      <w:pPr>
        <w:ind w:left="460" w:right="200" w:firstLine="431"/>
        <w:spacing w:after="0" w:line="291" w:lineRule="auto"/>
        <w:tabs>
          <w:tab w:leader="none" w:pos="1115" w:val="left"/>
        </w:tabs>
        <w:numPr>
          <w:ilvl w:val="0"/>
          <w:numId w:val="85"/>
        </w:numPr>
        <w:rPr>
          <w:rFonts w:ascii="Arial" w:cs="Arial" w:eastAsia="Arial" w:hAnsi="Arial"/>
          <w:sz w:val="15"/>
          <w:szCs w:val="15"/>
          <w:color w:val="auto"/>
        </w:rPr>
      </w:pPr>
      <w:r>
        <w:rPr>
          <w:rFonts w:ascii="Arial" w:cs="Arial" w:eastAsia="Arial" w:hAnsi="Arial"/>
          <w:sz w:val="15"/>
          <w:szCs w:val="15"/>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one year from the date of acquisition;</w:t>
      </w:r>
    </w:p>
    <w:p>
      <w:pPr>
        <w:spacing w:after="0" w:line="16" w:lineRule="exact"/>
        <w:rPr>
          <w:rFonts w:ascii="Arial" w:cs="Arial" w:eastAsia="Arial" w:hAnsi="Arial"/>
          <w:sz w:val="15"/>
          <w:szCs w:val="15"/>
          <w:color w:val="auto"/>
        </w:rPr>
      </w:pPr>
    </w:p>
    <w:p>
      <w:pPr>
        <w:ind w:left="460" w:right="20" w:firstLine="431"/>
        <w:spacing w:after="0" w:line="276" w:lineRule="auto"/>
        <w:tabs>
          <w:tab w:leader="none" w:pos="1115" w:val="left"/>
        </w:tabs>
        <w:numPr>
          <w:ilvl w:val="0"/>
          <w:numId w:val="85"/>
        </w:numPr>
        <w:rPr>
          <w:rFonts w:ascii="Arial" w:cs="Arial" w:eastAsia="Arial" w:hAnsi="Arial"/>
          <w:sz w:val="15"/>
          <w:szCs w:val="15"/>
          <w:color w:val="auto"/>
        </w:rPr>
      </w:pPr>
      <w:r>
        <w:rPr>
          <w:rFonts w:ascii="Arial" w:cs="Arial" w:eastAsia="Arial" w:hAnsi="Arial"/>
          <w:sz w:val="15"/>
          <w:szCs w:val="15"/>
          <w:color w:val="auto"/>
        </w:rPr>
        <w:t>certificates of deposit and eurodollar time deposits with maturities of one year or less from the date of acquisition, bankers’ acceptances with maturities not exceeding one year and overnight bank deposits, in each case, with any lender party to the Credit Facility or with any domestic commercial bank having capital and surplus in excess of $500 million and a Thompson Bank Watch Rating of “B” or better;</w:t>
      </w:r>
    </w:p>
    <w:p>
      <w:pPr>
        <w:spacing w:after="0" w:line="27" w:lineRule="exact"/>
        <w:rPr>
          <w:rFonts w:ascii="Arial" w:cs="Arial" w:eastAsia="Arial" w:hAnsi="Arial"/>
          <w:sz w:val="15"/>
          <w:szCs w:val="15"/>
          <w:color w:val="auto"/>
        </w:rPr>
      </w:pPr>
    </w:p>
    <w:p>
      <w:pPr>
        <w:ind w:left="460" w:right="460" w:firstLine="431"/>
        <w:spacing w:after="0" w:line="291" w:lineRule="auto"/>
        <w:tabs>
          <w:tab w:leader="none" w:pos="1115"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00"/>
          </w:cols>
          <w:pgMar w:left="240" w:top="417" w:right="2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right="220" w:firstLine="431"/>
        <w:spacing w:after="0" w:line="291" w:lineRule="auto"/>
        <w:tabs>
          <w:tab w:leader="none" w:pos="1115"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commercial paper having the highest rating obtainable from Moody’s Investors Service, Inc. or Standard &amp; Poor’s Corporation and in each case maturing within one year after the date of acquisition; and</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money market funds at least 95% of the assets of which constitute Cash Equivalents of the kinds described in clauses (1) through (5) of this definition.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 of Control</w:t>
      </w:r>
      <w:r>
        <w:rPr>
          <w:rFonts w:ascii="Arial" w:cs="Arial" w:eastAsia="Arial" w:hAnsi="Arial"/>
          <w:sz w:val="15"/>
          <w:szCs w:val="15"/>
          <w:color w:val="auto"/>
        </w:rPr>
        <w:t>” means the occurrence of any of the following:</w:t>
      </w:r>
    </w:p>
    <w:p>
      <w:pPr>
        <w:spacing w:after="0" w:line="74" w:lineRule="exact"/>
        <w:rPr>
          <w:sz w:val="20"/>
          <w:szCs w:val="20"/>
          <w:color w:val="auto"/>
        </w:rPr>
      </w:pPr>
    </w:p>
    <w:p>
      <w:pPr>
        <w:ind w:left="460" w:right="120" w:firstLine="431"/>
        <w:spacing w:after="0" w:line="276" w:lineRule="auto"/>
        <w:tabs>
          <w:tab w:leader="none" w:pos="1115"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adoption of a plan relating to the liquidation or dissolution of the Company;</w:t>
      </w:r>
    </w:p>
    <w:p>
      <w:pPr>
        <w:spacing w:after="0" w:line="74" w:lineRule="exact"/>
        <w:rPr>
          <w:rFonts w:ascii="Arial" w:cs="Arial" w:eastAsia="Arial" w:hAnsi="Arial"/>
          <w:sz w:val="15"/>
          <w:szCs w:val="15"/>
          <w:color w:val="auto"/>
        </w:rPr>
      </w:pPr>
    </w:p>
    <w:p>
      <w:pPr>
        <w:ind w:left="460" w:right="80" w:firstLine="431"/>
        <w:spacing w:after="0" w:line="276" w:lineRule="auto"/>
        <w:tabs>
          <w:tab w:leader="none" w:pos="1115"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the Company, measured by voting power rather than number of shares;</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first day on which a majority of the members of the Board of Directors of the Company are not Continuing Directors; or</w:t>
      </w:r>
    </w:p>
    <w:p>
      <w:pPr>
        <w:spacing w:after="0" w:line="74" w:lineRule="exact"/>
        <w:rPr>
          <w:rFonts w:ascii="Arial" w:cs="Arial" w:eastAsia="Arial" w:hAnsi="Arial"/>
          <w:sz w:val="15"/>
          <w:szCs w:val="15"/>
          <w:color w:val="auto"/>
        </w:rPr>
      </w:pPr>
    </w:p>
    <w:p>
      <w:pPr>
        <w:ind w:left="460" w:firstLine="431"/>
        <w:spacing w:after="0" w:line="268" w:lineRule="auto"/>
        <w:tabs>
          <w:tab w:leader="none" w:pos="1115"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6" w:lineRule="exact"/>
        <w:rPr>
          <w:sz w:val="20"/>
          <w:szCs w:val="20"/>
          <w:color w:val="auto"/>
        </w:rPr>
      </w:pPr>
    </w:p>
    <w:p>
      <w:pPr>
        <w:ind w:right="44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Common Stock</w:t>
      </w:r>
      <w:r>
        <w:rPr>
          <w:rFonts w:ascii="Arial" w:cs="Arial" w:eastAsia="Arial" w:hAnsi="Arial"/>
          <w:sz w:val="14"/>
          <w:szCs w:val="14"/>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Cash Flow</w:t>
      </w:r>
      <w:r>
        <w:rPr>
          <w:rFonts w:ascii="Arial" w:cs="Arial" w:eastAsia="Arial" w:hAnsi="Arial"/>
          <w:sz w:val="15"/>
          <w:szCs w:val="15"/>
          <w:color w:val="auto"/>
        </w:rPr>
        <w:t>” means, with respect to any Person for any period, the Consolidated Net Income of such Person for such period plus, without duplication:</w:t>
      </w:r>
    </w:p>
    <w:p>
      <w:pPr>
        <w:spacing w:after="0" w:line="74" w:lineRule="exact"/>
        <w:rPr>
          <w:sz w:val="20"/>
          <w:szCs w:val="20"/>
          <w:color w:val="auto"/>
        </w:rPr>
      </w:pPr>
    </w:p>
    <w:p>
      <w:pPr>
        <w:ind w:left="460" w:right="80" w:firstLine="431"/>
        <w:spacing w:after="0" w:line="291" w:lineRule="auto"/>
        <w:tabs>
          <w:tab w:leader="none" w:pos="1115"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5"/>
          <w:szCs w:val="15"/>
          <w:i w:val="1"/>
          <w:iCs w:val="1"/>
          <w:color w:val="auto"/>
        </w:rPr>
        <w:t>plus</w:t>
      </w:r>
    </w:p>
    <w:p>
      <w:pPr>
        <w:spacing w:after="0" w:line="16" w:lineRule="exact"/>
        <w:rPr>
          <w:rFonts w:ascii="Arial" w:cs="Arial" w:eastAsia="Arial" w:hAnsi="Arial"/>
          <w:sz w:val="15"/>
          <w:szCs w:val="15"/>
          <w:color w:val="auto"/>
        </w:rPr>
      </w:pPr>
    </w:p>
    <w:p>
      <w:pPr>
        <w:ind w:left="460" w:right="60" w:firstLine="431"/>
        <w:spacing w:after="0" w:line="268" w:lineRule="auto"/>
        <w:tabs>
          <w:tab w:leader="none" w:pos="1115"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w:t>
      </w:r>
      <w:r>
        <w:rPr>
          <w:rFonts w:ascii="Arial" w:cs="Arial" w:eastAsia="Arial" w:hAnsi="Arial"/>
          <w:sz w:val="15"/>
          <w:szCs w:val="15"/>
          <w:i w:val="1"/>
          <w:iCs w:val="1"/>
          <w:color w:val="auto"/>
        </w:rPr>
        <w:t>plus</w:t>
      </w:r>
    </w:p>
    <w:p>
      <w:pPr>
        <w:spacing w:after="0" w:line="35" w:lineRule="exact"/>
        <w:rPr>
          <w:rFonts w:ascii="Arial" w:cs="Arial" w:eastAsia="Arial" w:hAnsi="Arial"/>
          <w:sz w:val="15"/>
          <w:szCs w:val="15"/>
          <w:color w:val="auto"/>
        </w:rPr>
      </w:pPr>
    </w:p>
    <w:p>
      <w:pPr>
        <w:ind w:left="460" w:right="400" w:firstLine="431"/>
        <w:spacing w:after="0" w:line="271" w:lineRule="auto"/>
        <w:tabs>
          <w:tab w:leader="none" w:pos="1115"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depreciation, amortization (including 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5"/>
          <w:szCs w:val="15"/>
          <w:i w:val="1"/>
          <w:iCs w:val="1"/>
          <w:color w:val="auto"/>
        </w:rPr>
        <w:t>minus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00"/>
          </w:cols>
          <w:pgMar w:left="240" w:top="417" w:right="2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right="420" w:firstLine="431"/>
        <w:spacing w:after="0" w:line="291" w:lineRule="auto"/>
        <w:tabs>
          <w:tab w:leader="none" w:pos="1115" w:val="left"/>
        </w:tabs>
        <w:numPr>
          <w:ilvl w:val="0"/>
          <w:numId w:val="89"/>
        </w:numPr>
        <w:rPr>
          <w:rFonts w:ascii="Arial" w:cs="Arial" w:eastAsia="Arial" w:hAnsi="Arial"/>
          <w:sz w:val="15"/>
          <w:szCs w:val="15"/>
          <w:color w:val="auto"/>
        </w:rPr>
      </w:pPr>
      <w:r>
        <w:rPr>
          <w:rFonts w:ascii="Arial" w:cs="Arial" w:eastAsia="Arial" w:hAnsi="Arial"/>
          <w:sz w:val="15"/>
          <w:szCs w:val="15"/>
          <w:color w:val="auto"/>
        </w:rPr>
        <w:t>non-cash items increasing such Consolidated Net Income for such period, other than items that were accrued in the ordinary course of business, in each case, on a consolidated basis and determined in accordance with GAAP.</w:t>
      </w:r>
    </w:p>
    <w:p>
      <w:pPr>
        <w:spacing w:after="0" w:line="87" w:lineRule="exact"/>
        <w:rPr>
          <w:sz w:val="20"/>
          <w:szCs w:val="20"/>
          <w:color w:val="auto"/>
        </w:rPr>
      </w:pPr>
    </w:p>
    <w:p>
      <w:pPr>
        <w:ind w:right="40" w:firstLine="457"/>
        <w:spacing w:after="0" w:line="267" w:lineRule="auto"/>
        <w:rPr>
          <w:sz w:val="20"/>
          <w:szCs w:val="20"/>
          <w:color w:val="auto"/>
        </w:rPr>
      </w:pPr>
      <w:r>
        <w:rPr>
          <w:rFonts w:ascii="Arial" w:cs="Arial" w:eastAsia="Arial" w:hAnsi="Arial"/>
          <w:sz w:val="15"/>
          <w:szCs w:val="15"/>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the covenant under the caption “—Certain Covenants—Dividend and Other Payment Restrictions Affecting Subsidiaries”).</w:t>
      </w:r>
    </w:p>
    <w:p>
      <w:pPr>
        <w:spacing w:after="0" w:line="105" w:lineRule="exact"/>
        <w:rPr>
          <w:sz w:val="20"/>
          <w:szCs w:val="20"/>
          <w:color w:val="auto"/>
        </w:rPr>
      </w:pPr>
    </w:p>
    <w:p>
      <w:pPr>
        <w:ind w:right="28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Income</w:t>
      </w:r>
      <w:r>
        <w:rPr>
          <w:rFonts w:ascii="Arial" w:cs="Arial" w:eastAsia="Arial" w:hAnsi="Arial"/>
          <w:sz w:val="15"/>
          <w:szCs w:val="15"/>
          <w:color w:val="auto"/>
        </w:rPr>
        <w:t>” means, with respect to any specified Person for any period, the aggregate of the Net Income of such Person and its Restricted Subsidiaries for such period, on a consolidated basis, determined in accordance with GAAP; provided that:</w:t>
      </w:r>
    </w:p>
    <w:p>
      <w:pPr>
        <w:spacing w:after="0" w:line="16" w:lineRule="exact"/>
        <w:rPr>
          <w:sz w:val="20"/>
          <w:szCs w:val="20"/>
          <w:color w:val="auto"/>
        </w:rPr>
      </w:pPr>
    </w:p>
    <w:p>
      <w:pPr>
        <w:ind w:left="460" w:right="140" w:firstLine="431"/>
        <w:spacing w:after="0" w:line="291" w:lineRule="auto"/>
        <w:tabs>
          <w:tab w:leader="none" w:pos="1115"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accounted for by the equity method of accounting shall be included only to the extent of the amount of dividends or distributions paid in cash to the specified Person or a Restricted Subsidiary thereof;</w:t>
      </w:r>
    </w:p>
    <w:p>
      <w:pPr>
        <w:spacing w:after="0" w:line="16" w:lineRule="exact"/>
        <w:rPr>
          <w:rFonts w:ascii="Arial" w:cs="Arial" w:eastAsia="Arial" w:hAnsi="Arial"/>
          <w:sz w:val="15"/>
          <w:szCs w:val="15"/>
          <w:color w:val="auto"/>
        </w:rPr>
      </w:pPr>
    </w:p>
    <w:p>
      <w:pPr>
        <w:jc w:val="both"/>
        <w:ind w:left="460" w:right="200" w:firstLine="431"/>
        <w:spacing w:after="0" w:line="268" w:lineRule="auto"/>
        <w:tabs>
          <w:tab w:leader="none" w:pos="1115"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Issue Date and other than restrictions that are created or exist in compliance with the covenant under the caption “Dividends and other payment restrictions affecting subsidiaries”);</w:t>
      </w:r>
    </w:p>
    <w:p>
      <w:pPr>
        <w:spacing w:after="0" w:line="35" w:lineRule="exact"/>
        <w:rPr>
          <w:rFonts w:ascii="Arial" w:cs="Arial" w:eastAsia="Arial" w:hAnsi="Arial"/>
          <w:sz w:val="15"/>
          <w:szCs w:val="15"/>
          <w:color w:val="auto"/>
        </w:rPr>
      </w:pPr>
    </w:p>
    <w:p>
      <w:pPr>
        <w:ind w:left="1100" w:hanging="209"/>
        <w:spacing w:after="0"/>
        <w:tabs>
          <w:tab w:leader="none" w:pos="11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Net Income (but not loss) of any Unrestricted Subsidiary shall be excluded, whether or not distributed to the specified Person or one of its Subsidiaries; and</w:t>
      </w:r>
    </w:p>
    <w:p>
      <w:pPr>
        <w:spacing w:after="0" w:line="85" w:lineRule="exact"/>
        <w:rPr>
          <w:rFonts w:ascii="Arial" w:cs="Arial" w:eastAsia="Arial" w:hAnsi="Arial"/>
          <w:sz w:val="14"/>
          <w:szCs w:val="14"/>
          <w:color w:val="auto"/>
        </w:rPr>
      </w:pPr>
    </w:p>
    <w:p>
      <w:pPr>
        <w:ind w:left="1100" w:hanging="209"/>
        <w:spacing w:after="0"/>
        <w:tabs>
          <w:tab w:leader="none" w:pos="11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cumulative effect of a change in accounting principles shall be excluded.</w:t>
      </w:r>
    </w:p>
    <w:p>
      <w:pPr>
        <w:spacing w:after="0" w:line="145" w:lineRule="exact"/>
        <w:rPr>
          <w:sz w:val="20"/>
          <w:szCs w:val="20"/>
          <w:color w:val="auto"/>
        </w:rPr>
      </w:pPr>
    </w:p>
    <w:p>
      <w:pPr>
        <w:ind w:right="8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Net Tangible Assets</w:t>
      </w:r>
      <w:r>
        <w:rPr>
          <w:rFonts w:ascii="Arial" w:cs="Arial" w:eastAsia="Arial" w:hAnsi="Arial"/>
          <w:sz w:val="14"/>
          <w:szCs w:val="14"/>
          <w:color w:val="auto"/>
        </w:rPr>
        <w:t>” of the Company as of any date means the total amount of assets of the Company and its Restricted Subsidiaries (less applicable reserves) on a consolidated basis at the end of the fiscal quarter immediately preceding such date, as determined in accordance with GAAP, less Intangible Assets.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Continuing Directors</w:t>
      </w:r>
      <w:r>
        <w:rPr>
          <w:rFonts w:ascii="Arial" w:cs="Arial" w:eastAsia="Arial" w:hAnsi="Arial"/>
          <w:sz w:val="15"/>
          <w:szCs w:val="15"/>
          <w:color w:val="auto"/>
        </w:rPr>
        <w:t>” means, as of any date of determination, any member of the Board of Directors of the Company who:</w:t>
      </w:r>
    </w:p>
    <w:p>
      <w:pPr>
        <w:spacing w:after="0" w:line="74" w:lineRule="exact"/>
        <w:rPr>
          <w:sz w:val="20"/>
          <w:szCs w:val="20"/>
          <w:color w:val="auto"/>
        </w:rPr>
      </w:pPr>
    </w:p>
    <w:p>
      <w:pPr>
        <w:ind w:left="1100" w:hanging="209"/>
        <w:spacing w:after="0"/>
        <w:tabs>
          <w:tab w:leader="none" w:pos="11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was a member of such Board of Directors on the date of the Indenture; or</w:t>
      </w:r>
    </w:p>
    <w:p>
      <w:pPr>
        <w:spacing w:after="0" w:line="74"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91"/>
        </w:numPr>
        <w:rPr>
          <w:rFonts w:ascii="Arial" w:cs="Arial" w:eastAsia="Arial" w:hAnsi="Arial"/>
          <w:sz w:val="15"/>
          <w:szCs w:val="15"/>
          <w:color w:val="auto"/>
        </w:rPr>
      </w:pPr>
      <w:r>
        <w:rPr>
          <w:rFonts w:ascii="Arial" w:cs="Arial" w:eastAsia="Arial" w:hAnsi="Arial"/>
          <w:sz w:val="15"/>
          <w:szCs w:val="15"/>
          <w:color w:val="auto"/>
        </w:rPr>
        <w:t>nominated for election or elected to such Board of Directors with the approval of a majority of the Continuing Directors who were members of such Board at the time of such nomination or election.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Credit Facility</w:t>
      </w:r>
      <w:r>
        <w:rPr>
          <w:rFonts w:ascii="Arial" w:cs="Arial" w:eastAsia="Arial" w:hAnsi="Arial"/>
          <w:sz w:val="15"/>
          <w:szCs w:val="15"/>
          <w:color w:val="auto"/>
        </w:rPr>
        <w:t>” means, with respect to the Company or any of its Restricted Subsidiaries:</w:t>
      </w:r>
    </w:p>
    <w:p>
      <w:pPr>
        <w:spacing w:after="0" w:line="74" w:lineRule="exact"/>
        <w:rPr>
          <w:sz w:val="20"/>
          <w:szCs w:val="20"/>
          <w:color w:val="auto"/>
        </w:rPr>
      </w:pPr>
    </w:p>
    <w:p>
      <w:pPr>
        <w:ind w:left="460" w:firstLine="431"/>
        <w:spacing w:after="0" w:line="271" w:lineRule="auto"/>
        <w:tabs>
          <w:tab w:leader="none" w:pos="1115"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that certain Credit Facility, dated as of December 4, 1998 by and among the Company, certain of the Company’s Subsidiaries, the lenders party thereto, JPMorgan Chase Bank (as successor to The Chase Manhattan Bank), as Administrative Agent, Citicorp USA, Inc. (as successor to Salomon Smith Barney Inc.), as Syndication Agent, Credit Lyonnais New York Branch (as successor to Credit Lyonnais Chicago Branch), as Co-Documentation Agent, and Bank One, NA (as successor to NBD Bank), as Co-Documentation Agent, providing for up to $575.0 million of revolving credit borrowings and $525.0 million in term loans, in each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417"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line="291" w:lineRule="auto"/>
        <w:rPr>
          <w:sz w:val="20"/>
          <w:szCs w:val="20"/>
          <w:color w:val="auto"/>
        </w:rPr>
      </w:pPr>
      <w:r>
        <w:rPr>
          <w:rFonts w:ascii="Arial" w:cs="Arial" w:eastAsia="Arial" w:hAnsi="Arial"/>
          <w:sz w:val="15"/>
          <w:szCs w:val="15"/>
          <w:color w:val="auto"/>
        </w:rPr>
        <w:t>case including any related notes, guarantees, collateral documents, instruments and agreements executed in connection therewith, and in each case as amended, modified, renewed, refunded, replaced or refinanced from time to time; and</w:t>
      </w:r>
    </w:p>
    <w:p>
      <w:pPr>
        <w:spacing w:after="0" w:line="16" w:lineRule="exact"/>
        <w:rPr>
          <w:sz w:val="20"/>
          <w:szCs w:val="20"/>
          <w:color w:val="auto"/>
        </w:rPr>
      </w:pPr>
    </w:p>
    <w:p>
      <w:pPr>
        <w:ind w:left="460" w:right="360" w:firstLine="431"/>
        <w:spacing w:after="0" w:line="304" w:lineRule="auto"/>
        <w:tabs>
          <w:tab w:leader="none" w:pos="1115" w:val="left"/>
        </w:tabs>
        <w:numPr>
          <w:ilvl w:val="0"/>
          <w:numId w:val="93"/>
        </w:numPr>
        <w:rPr>
          <w:rFonts w:ascii="Arial" w:cs="Arial" w:eastAsia="Arial" w:hAnsi="Arial"/>
          <w:sz w:val="14"/>
          <w:szCs w:val="14"/>
          <w:color w:val="auto"/>
        </w:rPr>
      </w:pPr>
      <w:r>
        <w:rPr>
          <w:rFonts w:ascii="Arial" w:cs="Arial" w:eastAsia="Arial" w:hAnsi="Arial"/>
          <w:sz w:val="14"/>
          <w:szCs w:val="14"/>
          <w:color w:val="auto"/>
        </w:rPr>
        <w:t>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Custom</w:t>
      </w:r>
      <w:r>
        <w:rPr>
          <w:rFonts w:ascii="Arial" w:cs="Arial" w:eastAsia="Arial" w:hAnsi="Arial"/>
          <w:sz w:val="15"/>
          <w:szCs w:val="15"/>
          <w:color w:val="auto"/>
        </w:rPr>
        <w:t>” means Custom Lawn Care Service, Inc., a Subsidiary of the Company.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Default</w:t>
      </w:r>
      <w:r>
        <w:rPr>
          <w:rFonts w:ascii="Arial" w:cs="Arial" w:eastAsia="Arial" w:hAnsi="Arial"/>
          <w:sz w:val="15"/>
          <w:szCs w:val="15"/>
          <w:color w:val="auto"/>
        </w:rPr>
        <w:t>” means any event that is, or with the passage of time or the giving of notice or both would be, an Event of Default.</w:t>
      </w:r>
    </w:p>
    <w:p>
      <w:pPr>
        <w:spacing w:after="0" w:line="145" w:lineRule="exact"/>
        <w:rPr>
          <w:sz w:val="20"/>
          <w:szCs w:val="20"/>
          <w:color w:val="auto"/>
        </w:rPr>
      </w:pPr>
    </w:p>
    <w:p>
      <w:pPr>
        <w:ind w:right="20" w:firstLine="457"/>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Designated Noncash Consideration</w:t>
      </w:r>
      <w:r>
        <w:rPr>
          <w:rFonts w:ascii="Arial" w:cs="Arial" w:eastAsia="Arial" w:hAnsi="Arial"/>
          <w:sz w:val="14"/>
          <w:szCs w:val="14"/>
          <w:color w:val="auto"/>
        </w:rPr>
        <w:t>” means the fair market value of noncash consideration received by the Company or one of its Restricted Subsidiaries in connection with an Asset Sale that is designated as Designated Noncash Consideration pursuant to an Officers’ Certificate setting forth the basis of such valuation, executed by the principal executive officer and the principal financial officer of the Company, less the amount of cash or Cash Equivalents received in connection with a sale of such Designated Noncash Consideration.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Designated Senior Debt</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Indebtedness outstanding under the Credit Facility; and</w:t>
      </w:r>
    </w:p>
    <w:p>
      <w:pPr>
        <w:spacing w:after="0" w:line="74" w:lineRule="exact"/>
        <w:rPr>
          <w:rFonts w:ascii="Arial" w:cs="Arial" w:eastAsia="Arial" w:hAnsi="Arial"/>
          <w:sz w:val="15"/>
          <w:szCs w:val="15"/>
          <w:color w:val="auto"/>
        </w:rPr>
      </w:pPr>
    </w:p>
    <w:p>
      <w:pPr>
        <w:ind w:left="460" w:right="700" w:firstLine="431"/>
        <w:spacing w:after="0" w:line="291" w:lineRule="auto"/>
        <w:tabs>
          <w:tab w:leader="none" w:pos="1115"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other Senior Debt permitted under the Indenture the principal amount of which is $10.0 million or more and that has been designated by the Company as “Designated Senior Debt.”</w:t>
      </w:r>
    </w:p>
    <w:p>
      <w:pPr>
        <w:spacing w:after="0" w:line="87" w:lineRule="exact"/>
        <w:rPr>
          <w:sz w:val="20"/>
          <w:szCs w:val="20"/>
          <w:color w:val="auto"/>
        </w:rPr>
      </w:pPr>
    </w:p>
    <w:p>
      <w:pPr>
        <w:ind w:right="20" w:firstLine="457"/>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Disqualified Stock</w:t>
      </w:r>
      <w:r>
        <w:rPr>
          <w:rFonts w:ascii="Arial" w:cs="Arial" w:eastAsia="Arial" w:hAnsi="Arial"/>
          <w:sz w:val="15"/>
          <w:szCs w:val="15"/>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06"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Domestic Restricted Subsidiary</w:t>
      </w:r>
      <w:r>
        <w:rPr>
          <w:rFonts w:ascii="Arial" w:cs="Arial" w:eastAsia="Arial" w:hAnsi="Arial"/>
          <w:sz w:val="15"/>
          <w:szCs w:val="15"/>
          <w:color w:val="auto"/>
        </w:rPr>
        <w:t>” means, with respect to the Company, any Restricted Subsidiary that was formed under the laws of the United States of America or any State thereof.</w:t>
      </w:r>
    </w:p>
    <w:p>
      <w:pPr>
        <w:spacing w:after="0" w:line="87"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Equity Interests</w:t>
      </w:r>
      <w:r>
        <w:rPr>
          <w:rFonts w:ascii="Arial" w:cs="Arial" w:eastAsia="Arial" w:hAnsi="Arial"/>
          <w:sz w:val="15"/>
          <w:szCs w:val="15"/>
          <w:color w:val="auto"/>
        </w:rPr>
        <w:t>” means Capital Stock and all warrants, options or other rights to acquire Capital Stock (but excluding any debt security that is convertible into, or exchangeable for, Capital Stock).</w:t>
      </w:r>
    </w:p>
    <w:p>
      <w:pPr>
        <w:spacing w:after="0" w:line="87"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Equity Offering</w:t>
      </w:r>
      <w:r>
        <w:rPr>
          <w:rFonts w:ascii="Arial" w:cs="Arial" w:eastAsia="Arial" w:hAnsi="Arial"/>
          <w:sz w:val="15"/>
          <w:szCs w:val="15"/>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87" w:lineRule="exact"/>
        <w:rPr>
          <w:sz w:val="20"/>
          <w:szCs w:val="20"/>
          <w:color w:val="auto"/>
        </w:rPr>
      </w:pPr>
    </w:p>
    <w:p>
      <w:pPr>
        <w:ind w:right="6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Exclusive Agency and Marketing Agreement</w:t>
      </w:r>
      <w:r>
        <w:rPr>
          <w:rFonts w:ascii="Arial" w:cs="Arial" w:eastAsia="Arial" w:hAnsi="Arial"/>
          <w:sz w:val="14"/>
          <w:szCs w:val="14"/>
          <w:color w:val="auto"/>
        </w:rPr>
        <w: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64"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Existing Indebtedness</w:t>
      </w:r>
      <w:r>
        <w:rPr>
          <w:rFonts w:ascii="Arial" w:cs="Arial" w:eastAsia="Arial" w:hAnsi="Arial"/>
          <w:sz w:val="15"/>
          <w:szCs w:val="15"/>
          <w:color w:val="auto"/>
        </w:rPr>
        <w:t>” means Indebtedness of the Company and its Restricted Subsidiaries (in addition to Indebtedness under the Credit Facility) in existence on the date of the Indenture, until such amounts are repaid.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00"/>
          </w:cols>
          <w:pgMar w:left="240" w:top="417" w:right="2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Fixed Charges</w:t>
      </w:r>
      <w:r>
        <w:rPr>
          <w:rFonts w:ascii="Arial" w:cs="Arial" w:eastAsia="Arial" w:hAnsi="Arial"/>
          <w:sz w:val="15"/>
          <w:szCs w:val="15"/>
          <w:color w:val="auto"/>
        </w:rPr>
        <w:t>” means, with respect to any Person for any period, the sum, without duplication, of:</w:t>
      </w:r>
    </w:p>
    <w:p>
      <w:pPr>
        <w:spacing w:after="0" w:line="74" w:lineRule="exact"/>
        <w:rPr>
          <w:sz w:val="20"/>
          <w:szCs w:val="20"/>
          <w:color w:val="auto"/>
        </w:rPr>
      </w:pPr>
    </w:p>
    <w:p>
      <w:pPr>
        <w:jc w:val="both"/>
        <w:ind w:left="460" w:firstLine="431"/>
        <w:spacing w:after="0" w:line="296" w:lineRule="auto"/>
        <w:tabs>
          <w:tab w:leader="none" w:pos="1115"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4"/>
          <w:szCs w:val="14"/>
          <w:i w:val="1"/>
          <w:iCs w:val="1"/>
          <w:color w:val="auto"/>
        </w:rPr>
        <w:t>plus</w:t>
      </w:r>
    </w:p>
    <w:p>
      <w:pPr>
        <w:spacing w:after="0" w:line="16" w:lineRule="exact"/>
        <w:rPr>
          <w:rFonts w:ascii="Arial" w:cs="Arial" w:eastAsia="Arial" w:hAnsi="Arial"/>
          <w:sz w:val="14"/>
          <w:szCs w:val="14"/>
          <w:color w:val="auto"/>
        </w:rPr>
      </w:pPr>
    </w:p>
    <w:p>
      <w:pPr>
        <w:ind w:left="1100" w:hanging="209"/>
        <w:spacing w:after="0"/>
        <w:tabs>
          <w:tab w:leader="none" w:pos="11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the consolidated interest of such Person and its Restricted Subsidiaries that was capitalized during such period; </w:t>
      </w:r>
      <w:r>
        <w:rPr>
          <w:rFonts w:ascii="Arial" w:cs="Arial" w:eastAsia="Arial" w:hAnsi="Arial"/>
          <w:sz w:val="15"/>
          <w:szCs w:val="15"/>
          <w:i w:val="1"/>
          <w:iCs w:val="1"/>
          <w:color w:val="auto"/>
        </w:rPr>
        <w:t>plus</w:t>
      </w:r>
    </w:p>
    <w:p>
      <w:pPr>
        <w:spacing w:after="0" w:line="74" w:lineRule="exact"/>
        <w:rPr>
          <w:rFonts w:ascii="Arial" w:cs="Arial" w:eastAsia="Arial" w:hAnsi="Arial"/>
          <w:sz w:val="15"/>
          <w:szCs w:val="15"/>
          <w:color w:val="auto"/>
        </w:rPr>
      </w:pPr>
    </w:p>
    <w:p>
      <w:pPr>
        <w:ind w:left="460" w:right="260" w:firstLine="431"/>
        <w:spacing w:after="0" w:line="291" w:lineRule="auto"/>
        <w:tabs>
          <w:tab w:leader="none" w:pos="1115"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5"/>
          <w:szCs w:val="15"/>
          <w:i w:val="1"/>
          <w:iCs w:val="1"/>
          <w:color w:val="auto"/>
        </w:rPr>
        <w:t>plus</w:t>
      </w:r>
    </w:p>
    <w:p>
      <w:pPr>
        <w:spacing w:after="0" w:line="16" w:lineRule="exact"/>
        <w:rPr>
          <w:rFonts w:ascii="Arial" w:cs="Arial" w:eastAsia="Arial" w:hAnsi="Arial"/>
          <w:sz w:val="15"/>
          <w:szCs w:val="15"/>
          <w:color w:val="auto"/>
        </w:rPr>
      </w:pPr>
    </w:p>
    <w:p>
      <w:pPr>
        <w:ind w:left="460" w:right="20" w:firstLine="431"/>
        <w:spacing w:after="0" w:line="271" w:lineRule="auto"/>
        <w:tabs>
          <w:tab w:leader="none" w:pos="1115"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02" w:lineRule="exact"/>
        <w:rPr>
          <w:sz w:val="20"/>
          <w:szCs w:val="20"/>
          <w:color w:val="auto"/>
        </w:rPr>
      </w:pPr>
    </w:p>
    <w:p>
      <w:pPr>
        <w:ind w:right="20" w:firstLine="457"/>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Fixed Charge Coverage Ratio</w:t>
      </w:r>
      <w:r>
        <w:rPr>
          <w:rFonts w:ascii="Arial" w:cs="Arial" w:eastAsia="Arial" w:hAnsi="Arial"/>
          <w:sz w:val="14"/>
          <w:szCs w:val="14"/>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for purposes of calculating the Fixed Charge Coverage Ratio:</w:t>
      </w:r>
    </w:p>
    <w:p>
      <w:pPr>
        <w:spacing w:after="0" w:line="74" w:lineRule="exact"/>
        <w:rPr>
          <w:sz w:val="20"/>
          <w:szCs w:val="20"/>
          <w:color w:val="auto"/>
        </w:rPr>
      </w:pPr>
    </w:p>
    <w:p>
      <w:pPr>
        <w:ind w:left="460" w:right="60" w:firstLine="431"/>
        <w:spacing w:after="0" w:line="271" w:lineRule="auto"/>
        <w:tabs>
          <w:tab w:leader="none" w:pos="1115" w:val="left"/>
        </w:tabs>
        <w:numPr>
          <w:ilvl w:val="0"/>
          <w:numId w:val="96"/>
        </w:numPr>
        <w:rPr>
          <w:rFonts w:ascii="Arial" w:cs="Arial" w:eastAsia="Arial" w:hAnsi="Arial"/>
          <w:sz w:val="15"/>
          <w:szCs w:val="15"/>
          <w:color w:val="auto"/>
        </w:rPr>
      </w:pPr>
      <w:r>
        <w:rPr>
          <w:rFonts w:ascii="Arial" w:cs="Arial" w:eastAsia="Arial" w:hAnsi="Arial"/>
          <w:sz w:val="15"/>
          <w:szCs w:val="15"/>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31" w:lineRule="exact"/>
        <w:rPr>
          <w:rFonts w:ascii="Arial" w:cs="Arial" w:eastAsia="Arial" w:hAnsi="Arial"/>
          <w:sz w:val="15"/>
          <w:szCs w:val="15"/>
          <w:color w:val="auto"/>
        </w:rPr>
      </w:pPr>
    </w:p>
    <w:p>
      <w:pPr>
        <w:ind w:left="460" w:right="380" w:firstLine="431"/>
        <w:spacing w:after="0" w:line="291" w:lineRule="auto"/>
        <w:tabs>
          <w:tab w:leader="none" w:pos="1115"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Consolidated Cash Flow attributable to discontinued operations, as determined in accordance with GAAP, and operations or businesses disposed of prior to the Calculation Date, shall be excluded; and</w:t>
      </w:r>
    </w:p>
    <w:p>
      <w:pPr>
        <w:spacing w:after="0" w:line="16" w:lineRule="exact"/>
        <w:rPr>
          <w:rFonts w:ascii="Arial" w:cs="Arial" w:eastAsia="Arial" w:hAnsi="Arial"/>
          <w:sz w:val="15"/>
          <w:szCs w:val="15"/>
          <w:color w:val="auto"/>
        </w:rPr>
      </w:pPr>
    </w:p>
    <w:p>
      <w:pPr>
        <w:ind w:left="460" w:right="240" w:firstLine="431"/>
        <w:spacing w:after="0" w:line="276" w:lineRule="auto"/>
        <w:tabs>
          <w:tab w:leader="none" w:pos="1115"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Foreign Subsidiary</w:t>
      </w:r>
      <w:r>
        <w:rPr>
          <w:rFonts w:ascii="Arial" w:cs="Arial" w:eastAsia="Arial" w:hAnsi="Arial"/>
          <w:sz w:val="15"/>
          <w:szCs w:val="15"/>
          <w:color w:val="auto"/>
        </w:rPr>
        <w:t>” means, with respect to the Company, any Subsidiary that was not formed under the laws of the United States of America or any state thereof.</w:t>
      </w:r>
    </w:p>
    <w:p>
      <w:pPr>
        <w:spacing w:after="0" w:line="145" w:lineRule="exact"/>
        <w:rPr>
          <w:sz w:val="20"/>
          <w:szCs w:val="20"/>
          <w:color w:val="auto"/>
        </w:rPr>
      </w:pPr>
    </w:p>
    <w:p>
      <w:pPr>
        <w:ind w:right="18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20"/>
          </w:cols>
          <w:pgMar w:left="240" w:top="417"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6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Guarantee</w:t>
      </w:r>
      <w:r>
        <w:rPr>
          <w:rFonts w:ascii="Arial" w:cs="Arial" w:eastAsia="Arial" w:hAnsi="Arial"/>
          <w:sz w:val="14"/>
          <w:szCs w:val="14"/>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Guarantors</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each Domestic Restricted Subsidiary of the Company on the date of the Indenture, except for Custom and Sanford;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any other Subsidiary of the Company that executes a Subsidiary Guarantee in accordance with the provisions of the Indenture;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and their respective successors and assigns.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Hedging Obligations</w:t>
      </w:r>
      <w:r>
        <w:rPr>
          <w:rFonts w:ascii="Arial" w:cs="Arial" w:eastAsia="Arial" w:hAnsi="Arial"/>
          <w:sz w:val="15"/>
          <w:szCs w:val="15"/>
          <w:color w:val="auto"/>
        </w:rPr>
        <w:t>” means, with respect to any Person, the obligations of such Person under:</w:t>
      </w:r>
    </w:p>
    <w:p>
      <w:pPr>
        <w:spacing w:after="0" w:line="74" w:lineRule="exact"/>
        <w:rPr>
          <w:sz w:val="20"/>
          <w:szCs w:val="20"/>
          <w:color w:val="auto"/>
        </w:rPr>
      </w:pPr>
    </w:p>
    <w:p>
      <w:pPr>
        <w:ind w:left="1100" w:hanging="209"/>
        <w:spacing w:after="0"/>
        <w:tabs>
          <w:tab w:leader="none" w:pos="11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interest rate swap agreements, interest rate cap agreements and interest rate collar agreements or exchange rate or raw materials price risk agreements; and</w:t>
      </w:r>
    </w:p>
    <w:p>
      <w:pPr>
        <w:spacing w:after="0" w:line="85" w:lineRule="exact"/>
        <w:rPr>
          <w:rFonts w:ascii="Arial" w:cs="Arial" w:eastAsia="Arial" w:hAnsi="Arial"/>
          <w:sz w:val="14"/>
          <w:szCs w:val="14"/>
          <w:color w:val="auto"/>
        </w:rPr>
      </w:pPr>
    </w:p>
    <w:p>
      <w:pPr>
        <w:ind w:left="460" w:firstLine="431"/>
        <w:spacing w:after="0" w:line="291" w:lineRule="auto"/>
        <w:tabs>
          <w:tab w:leader="none" w:pos="1115" w:val="left"/>
        </w:tabs>
        <w:numPr>
          <w:ilvl w:val="0"/>
          <w:numId w:val="98"/>
        </w:numPr>
        <w:rPr>
          <w:rFonts w:ascii="Arial" w:cs="Arial" w:eastAsia="Arial" w:hAnsi="Arial"/>
          <w:sz w:val="15"/>
          <w:szCs w:val="15"/>
          <w:color w:val="auto"/>
        </w:rPr>
      </w:pPr>
      <w:r>
        <w:rPr>
          <w:rFonts w:ascii="Arial" w:cs="Arial" w:eastAsia="Arial" w:hAnsi="Arial"/>
          <w:sz w:val="15"/>
          <w:szCs w:val="15"/>
          <w:color w:val="auto"/>
        </w:rPr>
        <w:t>other agreements or arrangements designed to protect such Person against fluctuations in interest rates, in each case pursuant to any Credit Facilities permitted pursuant to the covenant under the caption “Certain Covenants—Incurrence of Indebtedness and Issuance of Preferred Stock.”</w:t>
      </w:r>
    </w:p>
    <w:p>
      <w:pPr>
        <w:spacing w:after="0" w:line="87" w:lineRule="exact"/>
        <w:rPr>
          <w:sz w:val="20"/>
          <w:szCs w:val="20"/>
          <w:color w:val="auto"/>
        </w:rPr>
      </w:pPr>
    </w:p>
    <w:p>
      <w:pPr>
        <w:ind w:right="14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Incur</w:t>
      </w:r>
      <w:r>
        <w:rPr>
          <w:rFonts w:ascii="Arial" w:cs="Arial" w:eastAsia="Arial" w:hAnsi="Arial"/>
          <w:sz w:val="15"/>
          <w:szCs w:val="15"/>
          <w:color w:val="auto"/>
        </w:rPr>
        <w:t xml:space="preserve">” means issue, create, assume, Guarantee, incur or otherwise become liable for;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Indebtedness</w:t>
      </w:r>
      <w:r>
        <w:rPr>
          <w:rFonts w:ascii="Arial" w:cs="Arial" w:eastAsia="Arial" w:hAnsi="Arial"/>
          <w:sz w:val="15"/>
          <w:szCs w:val="15"/>
          <w:color w:val="auto"/>
        </w:rPr>
        <w:t>” means, with respect to any specified Person, without duplication, any indebtedness of such Person, whether or not contingent, in respect of:</w:t>
      </w:r>
    </w:p>
    <w:p>
      <w:pPr>
        <w:spacing w:after="0" w:line="74" w:lineRule="exact"/>
        <w:rPr>
          <w:sz w:val="20"/>
          <w:szCs w:val="20"/>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borrowed money;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evidenced by bonds, notes, debentures or similar instruments or letters of credit (or reimbursement agreements in respect thereof);</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banker’s acceptances;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representing Capital Lease Obligations;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balance deferred and unpaid of the purchase price of any property, except any such balance that constitutes an accrued expense or trade payable;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representing any Hedging Obligations,</w:t>
      </w:r>
    </w:p>
    <w:p>
      <w:pPr>
        <w:spacing w:after="0" w:line="145" w:lineRule="exact"/>
        <w:rPr>
          <w:sz w:val="20"/>
          <w:szCs w:val="20"/>
          <w:color w:val="auto"/>
        </w:rPr>
      </w:pPr>
    </w:p>
    <w:p>
      <w:pPr>
        <w:jc w:val="both"/>
        <w:ind w:right="100"/>
        <w:spacing w:after="0" w:line="337" w:lineRule="auto"/>
        <w:rPr>
          <w:sz w:val="20"/>
          <w:szCs w:val="20"/>
          <w:color w:val="auto"/>
        </w:rPr>
      </w:pPr>
      <w:r>
        <w:rPr>
          <w:rFonts w:ascii="Arial" w:cs="Arial" w:eastAsia="Arial" w:hAnsi="Arial"/>
          <w:sz w:val="13"/>
          <w:szCs w:val="13"/>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amount of any Indebtedness outstanding as of any date shall be:</w:t>
      </w:r>
    </w:p>
    <w:p>
      <w:pPr>
        <w:spacing w:after="0" w:line="74" w:lineRule="exact"/>
        <w:rPr>
          <w:sz w:val="20"/>
          <w:szCs w:val="20"/>
          <w:color w:val="auto"/>
        </w:rPr>
      </w:pPr>
    </w:p>
    <w:p>
      <w:pPr>
        <w:ind w:left="1100" w:hanging="209"/>
        <w:spacing w:after="0"/>
        <w:tabs>
          <w:tab w:leader="none" w:pos="11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accreted value thereof, in the case of any Indebtedness issued with original issue discount;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principal amount thereof, together with any interest thereon that is more than 30 days past due, in the case of any other Indebtedness.</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360"/>
          </w:cols>
          <w:pgMar w:left="240" w:top="417" w:right="29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Intangible Assets</w:t>
      </w:r>
      <w:r>
        <w:rPr>
          <w:rFonts w:ascii="Arial" w:cs="Arial" w:eastAsia="Arial" w:hAnsi="Arial"/>
          <w:sz w:val="15"/>
          <w:szCs w:val="15"/>
          <w:color w:val="auto"/>
        </w:rPr>
        <w:t>” means all unamortized debt discount and expense, unamortized deferred charges, goodwill, patents, trademarks, service marks, trade names, copyrights, write-ups of assets over their carrying value at the date of the Indenture or the date of acquisition, if acquired subsequent thereto, and all other items which would be treated as intangibles on the consolidated balance sheets of such Person prepared in accordance with GAAP.</w:t>
      </w:r>
    </w:p>
    <w:p>
      <w:pPr>
        <w:spacing w:after="0" w:line="98" w:lineRule="exact"/>
        <w:rPr>
          <w:sz w:val="20"/>
          <w:szCs w:val="20"/>
          <w:color w:val="auto"/>
        </w:rPr>
      </w:pPr>
    </w:p>
    <w:p>
      <w:pPr>
        <w:ind w:right="4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 Grade Rating</w:t>
      </w:r>
      <w:r>
        <w:rPr>
          <w:rFonts w:ascii="Arial" w:cs="Arial" w:eastAsia="Arial" w:hAnsi="Arial"/>
          <w:sz w:val="14"/>
          <w:szCs w:val="14"/>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64" w:lineRule="exact"/>
        <w:rPr>
          <w:sz w:val="20"/>
          <w:szCs w:val="20"/>
          <w:color w:val="auto"/>
        </w:rPr>
      </w:pPr>
    </w:p>
    <w:p>
      <w:pPr>
        <w:ind w:right="100" w:firstLine="45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Investments</w:t>
      </w:r>
      <w:r>
        <w:rPr>
          <w:rFonts w:ascii="Arial" w:cs="Arial" w:eastAsia="Arial" w:hAnsi="Arial"/>
          <w:sz w:val="14"/>
          <w:szCs w:val="14"/>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Covenants—Restricted Payments.”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Issue Date</w:t>
      </w:r>
      <w:r>
        <w:rPr>
          <w:rFonts w:ascii="Arial" w:cs="Arial" w:eastAsia="Arial" w:hAnsi="Arial"/>
          <w:sz w:val="15"/>
          <w:szCs w:val="15"/>
          <w:color w:val="auto"/>
        </w:rPr>
        <w:t>” means the date of first issuance of the Notes under the Indenture.</w:t>
      </w:r>
    </w:p>
    <w:p>
      <w:pPr>
        <w:spacing w:after="0" w:line="145" w:lineRule="exact"/>
        <w:rPr>
          <w:sz w:val="20"/>
          <w:szCs w:val="20"/>
          <w:color w:val="auto"/>
        </w:rPr>
      </w:pPr>
    </w:p>
    <w:p>
      <w:pPr>
        <w:jc w:val="both"/>
        <w:ind w:right="80" w:firstLine="457"/>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Lien</w:t>
      </w:r>
      <w:r>
        <w:rPr>
          <w:rFonts w:ascii="Arial" w:cs="Arial" w:eastAsia="Arial" w:hAnsi="Arial"/>
          <w:sz w:val="14"/>
          <w:szCs w:val="14"/>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Moody’s</w:t>
      </w:r>
      <w:r>
        <w:rPr>
          <w:rFonts w:ascii="Arial" w:cs="Arial" w:eastAsia="Arial" w:hAnsi="Arial"/>
          <w:sz w:val="15"/>
          <w:szCs w:val="15"/>
          <w:color w:val="auto"/>
        </w:rPr>
        <w:t>” means Moody’s Investors Service, Inc. or any successor rating agency.</w:t>
      </w:r>
    </w:p>
    <w:p>
      <w:pPr>
        <w:spacing w:after="0" w:line="145" w:lineRule="exact"/>
        <w:rPr>
          <w:sz w:val="20"/>
          <w:szCs w:val="20"/>
          <w:color w:val="auto"/>
        </w:rPr>
      </w:pPr>
    </w:p>
    <w:p>
      <w:pPr>
        <w:jc w:val="both"/>
        <w:ind w:firstLine="457"/>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Net Cash Proceeds</w:t>
      </w:r>
      <w:r>
        <w:rPr>
          <w:rFonts w:ascii="Arial" w:cs="Arial" w:eastAsia="Arial" w:hAnsi="Arial"/>
          <w:sz w:val="14"/>
          <w:szCs w:val="14"/>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8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Income</w:t>
      </w:r>
      <w:r>
        <w:rPr>
          <w:rFonts w:ascii="Arial" w:cs="Arial" w:eastAsia="Arial" w:hAnsi="Arial"/>
          <w:sz w:val="15"/>
          <w:szCs w:val="15"/>
          <w:color w:val="auto"/>
        </w:rPr>
        <w:t>” means, with respect to any Person, the net income (loss) of such Person and its Restricted Subsidiaries, determined in accordance with GAAP and before any reduction in respect of preferred stock dividends, excluding, however:</w:t>
      </w:r>
    </w:p>
    <w:p>
      <w:pPr>
        <w:spacing w:after="0" w:line="16" w:lineRule="exact"/>
        <w:rPr>
          <w:sz w:val="20"/>
          <w:szCs w:val="20"/>
          <w:color w:val="auto"/>
        </w:rPr>
      </w:pPr>
    </w:p>
    <w:p>
      <w:pPr>
        <w:ind w:left="1100" w:hanging="209"/>
        <w:spacing w:after="0"/>
        <w:tabs>
          <w:tab w:leader="none" w:pos="11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extraordinary gain or loss, together with any related provision for taxes on such extraordinary gain or loss; and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non-cash expenses attributable to grants or exercises of employee stock options.</w:t>
      </w:r>
    </w:p>
    <w:p>
      <w:pPr>
        <w:spacing w:after="0" w:line="145" w:lineRule="exact"/>
        <w:rPr>
          <w:sz w:val="20"/>
          <w:szCs w:val="20"/>
          <w:color w:val="auto"/>
        </w:rPr>
      </w:pPr>
    </w:p>
    <w:p>
      <w:pPr>
        <w:ind w:right="4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20"/>
          </w:cols>
          <w:pgMar w:left="240" w:top="417"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Non-Recourse Debt</w:t>
      </w:r>
      <w:r>
        <w:rPr>
          <w:rFonts w:ascii="Arial" w:cs="Arial" w:eastAsia="Arial" w:hAnsi="Arial"/>
          <w:sz w:val="15"/>
          <w:szCs w:val="15"/>
          <w:color w:val="auto"/>
        </w:rPr>
        <w:t>” means Indebtedness:</w:t>
      </w:r>
    </w:p>
    <w:p>
      <w:pPr>
        <w:spacing w:after="0" w:line="74" w:lineRule="exact"/>
        <w:rPr>
          <w:sz w:val="20"/>
          <w:szCs w:val="20"/>
          <w:color w:val="auto"/>
        </w:rPr>
      </w:pPr>
    </w:p>
    <w:p>
      <w:pPr>
        <w:ind w:left="460" w:right="20" w:firstLine="431"/>
        <w:spacing w:after="0" w:line="291" w:lineRule="auto"/>
        <w:tabs>
          <w:tab w:leader="none" w:pos="1115"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6" w:lineRule="exact"/>
        <w:rPr>
          <w:rFonts w:ascii="Arial" w:cs="Arial" w:eastAsia="Arial" w:hAnsi="Arial"/>
          <w:sz w:val="15"/>
          <w:szCs w:val="15"/>
          <w:color w:val="auto"/>
        </w:rPr>
      </w:pPr>
    </w:p>
    <w:p>
      <w:pPr>
        <w:jc w:val="both"/>
        <w:ind w:left="460" w:right="180" w:firstLine="431"/>
        <w:spacing w:after="0" w:line="276" w:lineRule="auto"/>
        <w:tabs>
          <w:tab w:leader="none" w:pos="1115" w:val="left"/>
        </w:tabs>
        <w:numPr>
          <w:ilvl w:val="0"/>
          <w:numId w:val="102"/>
        </w:numPr>
        <w:rPr>
          <w:rFonts w:ascii="Arial" w:cs="Arial" w:eastAsia="Arial" w:hAnsi="Arial"/>
          <w:sz w:val="15"/>
          <w:szCs w:val="15"/>
          <w:color w:val="auto"/>
        </w:rPr>
      </w:pPr>
      <w:r>
        <w:rPr>
          <w:rFonts w:ascii="Arial" w:cs="Arial" w:eastAsia="Arial" w:hAnsi="Arial"/>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as to which the lenders have been notified in writing that they will not have any recourse to the stock or assets of the Company or any of its Restricted Subsidiaries.</w:t>
      </w:r>
    </w:p>
    <w:p>
      <w:pPr>
        <w:spacing w:after="0" w:line="156" w:lineRule="exact"/>
        <w:rPr>
          <w:sz w:val="20"/>
          <w:szCs w:val="20"/>
          <w:color w:val="auto"/>
        </w:rPr>
      </w:pPr>
    </w:p>
    <w:p>
      <w:pPr>
        <w:ind w:right="32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Obligations</w:t>
      </w:r>
      <w:r>
        <w:rPr>
          <w:rFonts w:ascii="Arial" w:cs="Arial" w:eastAsia="Arial" w:hAnsi="Arial"/>
          <w:sz w:val="15"/>
          <w:szCs w:val="15"/>
          <w:color w:val="auto"/>
        </w:rPr>
        <w:t>” means any principal, interest, penalties, fees, indemnifications, reimbursements, damages and other liabilities payable under the documentation governing any Indebtedness.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Investments</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Investment in the Company or in a Restricted Subsidiary of the Company;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Investment in Cash Equivalents;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Investment by the Company or any Restricted Subsidiary of the Company in a Person, if as a result of such Investment:</w:t>
      </w:r>
    </w:p>
    <w:p>
      <w:pPr>
        <w:spacing w:after="0" w:line="74" w:lineRule="exact"/>
        <w:rPr>
          <w:rFonts w:ascii="Arial" w:cs="Arial" w:eastAsia="Arial" w:hAnsi="Arial"/>
          <w:sz w:val="15"/>
          <w:szCs w:val="15"/>
          <w:color w:val="auto"/>
        </w:rPr>
      </w:pPr>
    </w:p>
    <w:p>
      <w:pPr>
        <w:ind w:left="1540" w:hanging="210"/>
        <w:spacing w:after="0"/>
        <w:tabs>
          <w:tab w:leader="none" w:pos="154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such Person becomes a Restricted Subsidiary of the Company; or</w:t>
      </w:r>
    </w:p>
    <w:p>
      <w:pPr>
        <w:spacing w:after="0" w:line="74" w:lineRule="exact"/>
        <w:rPr>
          <w:rFonts w:ascii="Arial" w:cs="Arial" w:eastAsia="Arial" w:hAnsi="Arial"/>
          <w:sz w:val="15"/>
          <w:szCs w:val="15"/>
          <w:color w:val="auto"/>
        </w:rPr>
      </w:pPr>
    </w:p>
    <w:p>
      <w:pPr>
        <w:ind w:left="900" w:firstLine="430"/>
        <w:spacing w:after="0" w:line="291" w:lineRule="auto"/>
        <w:tabs>
          <w:tab w:leader="none" w:pos="153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such Person is merged, consolidated or amalgamated with or into, or transfers or conveys substantially all of its assets to, or is liquidated into, the Company or a Restricted Subsidiary of the Company;</w:t>
      </w:r>
    </w:p>
    <w:p>
      <w:pPr>
        <w:spacing w:after="0" w:line="16" w:lineRule="exact"/>
        <w:rPr>
          <w:rFonts w:ascii="Arial" w:cs="Arial" w:eastAsia="Arial" w:hAnsi="Arial"/>
          <w:sz w:val="15"/>
          <w:szCs w:val="15"/>
          <w:color w:val="auto"/>
        </w:rPr>
      </w:pPr>
    </w:p>
    <w:p>
      <w:pPr>
        <w:ind w:left="460" w:right="80" w:firstLine="431"/>
        <w:spacing w:after="0" w:line="291" w:lineRule="auto"/>
        <w:tabs>
          <w:tab w:leader="none" w:pos="111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Investment made as a result of the receipt of non-cash consideration from an Asset Sale that was made pursuant to and in compliance with the covenant described above under the caption “Repurchase at the Option of Holders—Offer to Repurchase Upon Application of Excess Proceeds of Asset Sales”;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acquisition of assets solely in exchange for the issuance of Equity Interests (other than Disqualified Stock) of the Company;</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investments in accounts or notes receivable acquired in the ordinary course of business;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designation of one or more Subsidiaries of the Company whose assets and operations are exclusively related to the professional business segment of the Company;</w:t>
      </w:r>
    </w:p>
    <w:p>
      <w:pPr>
        <w:spacing w:after="0" w:line="97" w:lineRule="exact"/>
        <w:rPr>
          <w:rFonts w:ascii="Arial" w:cs="Arial" w:eastAsia="Arial" w:hAnsi="Arial"/>
          <w:sz w:val="13"/>
          <w:szCs w:val="13"/>
          <w:color w:val="auto"/>
        </w:rPr>
      </w:pPr>
    </w:p>
    <w:p>
      <w:pPr>
        <w:ind w:left="1100" w:hanging="209"/>
        <w:spacing w:after="0"/>
        <w:tabs>
          <w:tab w:leader="none" w:pos="11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payment by the Company or any of its Restricted Subsidiaries pursuant to the Exclusive Agency and Marketing Agreement; and</w:t>
      </w:r>
    </w:p>
    <w:p>
      <w:pPr>
        <w:spacing w:after="0" w:line="74" w:lineRule="exact"/>
        <w:rPr>
          <w:rFonts w:ascii="Arial" w:cs="Arial" w:eastAsia="Arial" w:hAnsi="Arial"/>
          <w:sz w:val="15"/>
          <w:szCs w:val="15"/>
          <w:color w:val="auto"/>
        </w:rPr>
      </w:pPr>
    </w:p>
    <w:p>
      <w:pPr>
        <w:jc w:val="both"/>
        <w:ind w:left="460" w:right="100" w:firstLine="431"/>
        <w:spacing w:after="0" w:line="276" w:lineRule="auto"/>
        <w:tabs>
          <w:tab w:leader="none" w:pos="111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other Investments in any Person having an aggregate fair market value (measured on the date each such Investment was made and without giving effect to subsequent changes in value), when taken together with all other Investments made pursuant to this clause (9) that are at any time outstanding, not to exceed the greater of (x) $75.0 million and (y) 5% of Consolidated Net Tangible Assets.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340"/>
          </w:cols>
          <w:pgMar w:left="240" w:top="417" w:right="31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right="22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Junior Securities</w:t>
      </w:r>
      <w:r>
        <w:rPr>
          <w:rFonts w:ascii="Arial" w:cs="Arial" w:eastAsia="Arial" w:hAnsi="Arial"/>
          <w:sz w:val="15"/>
          <w:szCs w:val="15"/>
          <w:color w:val="auto"/>
        </w:rPr>
        <w:t>”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of the Indenture.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Permitted Liens</w:t>
      </w:r>
      <w:r>
        <w:rPr>
          <w:rFonts w:ascii="Arial" w:cs="Arial" w:eastAsia="Arial" w:hAnsi="Arial"/>
          <w:sz w:val="15"/>
          <w:szCs w:val="15"/>
          <w:color w:val="auto"/>
        </w:rPr>
        <w:t>” means:</w:t>
      </w:r>
    </w:p>
    <w:p>
      <w:pPr>
        <w:spacing w:after="0" w:line="74" w:lineRule="exact"/>
        <w:rPr>
          <w:sz w:val="20"/>
          <w:szCs w:val="20"/>
          <w:color w:val="auto"/>
        </w:rPr>
      </w:pPr>
    </w:p>
    <w:p>
      <w:pPr>
        <w:ind w:left="1100" w:hanging="209"/>
        <w:spacing w:after="0"/>
        <w:tabs>
          <w:tab w:leader="none" w:pos="11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securing Senior Debt that was permitted by the terms of the Indenture to be incurred;</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in favor of the Company or the Guarantors;</w:t>
      </w:r>
    </w:p>
    <w:p>
      <w:pPr>
        <w:spacing w:after="0" w:line="74" w:lineRule="exact"/>
        <w:rPr>
          <w:rFonts w:ascii="Arial" w:cs="Arial" w:eastAsia="Arial" w:hAnsi="Arial"/>
          <w:sz w:val="15"/>
          <w:szCs w:val="15"/>
          <w:color w:val="auto"/>
        </w:rPr>
      </w:pPr>
    </w:p>
    <w:p>
      <w:pPr>
        <w:ind w:left="460" w:right="80" w:firstLine="431"/>
        <w:spacing w:after="0" w:line="276" w:lineRule="auto"/>
        <w:tabs>
          <w:tab w:leader="none" w:pos="111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on property of a Person existing at the 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27" w:lineRule="exact"/>
        <w:rPr>
          <w:rFonts w:ascii="Arial" w:cs="Arial" w:eastAsia="Arial" w:hAnsi="Arial"/>
          <w:sz w:val="15"/>
          <w:szCs w:val="15"/>
          <w:color w:val="auto"/>
        </w:rPr>
      </w:pPr>
    </w:p>
    <w:p>
      <w:pPr>
        <w:ind w:left="460" w:right="400" w:firstLine="431"/>
        <w:spacing w:after="0" w:line="291" w:lineRule="auto"/>
        <w:tabs>
          <w:tab w:leader="none" w:pos="111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on property existing at the time of acquisition thereof by the Company or any Subsidiary of the Company, provided that such Liens were not entered into in contemplation of such acquisition;</w:t>
      </w:r>
    </w:p>
    <w:p>
      <w:pPr>
        <w:spacing w:after="0" w:line="16" w:lineRule="exact"/>
        <w:rPr>
          <w:rFonts w:ascii="Arial" w:cs="Arial" w:eastAsia="Arial" w:hAnsi="Arial"/>
          <w:sz w:val="15"/>
          <w:szCs w:val="15"/>
          <w:color w:val="auto"/>
        </w:rPr>
      </w:pPr>
    </w:p>
    <w:p>
      <w:pPr>
        <w:ind w:left="460" w:right="40" w:firstLine="431"/>
        <w:spacing w:after="0" w:line="291" w:lineRule="auto"/>
        <w:tabs>
          <w:tab w:leader="none" w:pos="111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to secure the performance of statutory obligations, surety or appeal bonds, performance bonds or other obligations of a like nature incurred in the ordinary course of business;</w:t>
      </w:r>
    </w:p>
    <w:p>
      <w:pPr>
        <w:spacing w:after="0" w:line="16" w:lineRule="exact"/>
        <w:rPr>
          <w:rFonts w:ascii="Arial" w:cs="Arial" w:eastAsia="Arial" w:hAnsi="Arial"/>
          <w:sz w:val="15"/>
          <w:szCs w:val="15"/>
          <w:color w:val="auto"/>
        </w:rPr>
      </w:pPr>
    </w:p>
    <w:p>
      <w:pPr>
        <w:ind w:left="460" w:right="200" w:firstLine="431"/>
        <w:spacing w:after="0" w:line="291" w:lineRule="auto"/>
        <w:tabs>
          <w:tab w:leader="none" w:pos="111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(4) of the second paragraph of the covenant entitled “—Certain Covenants— Incurrence of Indebtedness and Issuance of Preferred Stock” covering only the assets acquired with such Indebtedness;</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existing on the date of the Indenture;</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on Assets of Guarantors to secure Senior Debt of such Guarantor that was permitted by the Indenture to be incurred;</w:t>
      </w:r>
    </w:p>
    <w:p>
      <w:pPr>
        <w:spacing w:after="0" w:line="74" w:lineRule="exact"/>
        <w:rPr>
          <w:rFonts w:ascii="Arial" w:cs="Arial" w:eastAsia="Arial" w:hAnsi="Arial"/>
          <w:sz w:val="15"/>
          <w:szCs w:val="15"/>
          <w:color w:val="auto"/>
        </w:rPr>
      </w:pPr>
    </w:p>
    <w:p>
      <w:pPr>
        <w:ind w:left="460" w:firstLine="431"/>
        <w:spacing w:after="0" w:line="348" w:lineRule="auto"/>
        <w:tabs>
          <w:tab w:leader="none" w:pos="111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1" w:lineRule="exact"/>
        <w:rPr>
          <w:rFonts w:ascii="Arial" w:cs="Arial" w:eastAsia="Arial" w:hAnsi="Arial"/>
          <w:sz w:val="13"/>
          <w:szCs w:val="13"/>
          <w:color w:val="auto"/>
        </w:rPr>
      </w:pPr>
    </w:p>
    <w:p>
      <w:pPr>
        <w:ind w:left="460" w:right="60" w:firstLine="431"/>
        <w:spacing w:after="0" w:line="291" w:lineRule="auto"/>
        <w:tabs>
          <w:tab w:leader="none" w:pos="119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incurred in the ordinary course of business of the Company or any Subsidiary of the Company with respect to obligations that do not exceed $5.0 million at any one time outstanding; and</w:t>
      </w:r>
    </w:p>
    <w:p>
      <w:pPr>
        <w:spacing w:after="0" w:line="16" w:lineRule="exact"/>
        <w:rPr>
          <w:rFonts w:ascii="Arial" w:cs="Arial" w:eastAsia="Arial" w:hAnsi="Arial"/>
          <w:sz w:val="15"/>
          <w:szCs w:val="15"/>
          <w:color w:val="auto"/>
        </w:rPr>
      </w:pPr>
    </w:p>
    <w:p>
      <w:pPr>
        <w:ind w:left="1180" w:hanging="289"/>
        <w:spacing w:after="0"/>
        <w:tabs>
          <w:tab w:leader="none" w:pos="11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Liens on assets of Unrestricted Subsidiaries that secure Non Recourse Debt of Unrestricted Subsidiaries.</w:t>
      </w:r>
    </w:p>
    <w:p>
      <w:pPr>
        <w:spacing w:after="0" w:line="145" w:lineRule="exact"/>
        <w:rPr>
          <w:sz w:val="20"/>
          <w:szCs w:val="20"/>
          <w:color w:val="auto"/>
        </w:rPr>
      </w:pPr>
    </w:p>
    <w:p>
      <w:pPr>
        <w:ind w:right="60" w:firstLine="457"/>
        <w:spacing w:after="0" w:line="348"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Refinancing Indebtedness</w:t>
      </w:r>
      <w:r>
        <w:rPr>
          <w:rFonts w:ascii="Arial" w:cs="Arial" w:eastAsia="Arial" w:hAnsi="Arial"/>
          <w:sz w:val="13"/>
          <w:szCs w:val="13"/>
          <w:color w:val="auto"/>
        </w:rPr>
        <w:t xml:space="preserve">”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w:t>
      </w:r>
    </w:p>
    <w:p>
      <w:pPr>
        <w:spacing w:after="0" w:line="1" w:lineRule="exact"/>
        <w:rPr>
          <w:sz w:val="20"/>
          <w:szCs w:val="20"/>
          <w:color w:val="auto"/>
        </w:rPr>
      </w:pPr>
    </w:p>
    <w:p>
      <w:pPr>
        <w:ind w:left="460" w:right="380" w:firstLine="431"/>
        <w:spacing w:after="0" w:line="276" w:lineRule="auto"/>
        <w:tabs>
          <w:tab w:leader="none" w:pos="111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principal amount (or accreted value, if applicable) of such 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27" w:lineRule="exact"/>
        <w:rPr>
          <w:rFonts w:ascii="Arial" w:cs="Arial" w:eastAsia="Arial" w:hAnsi="Arial"/>
          <w:sz w:val="15"/>
          <w:szCs w:val="15"/>
          <w:color w:val="auto"/>
        </w:rPr>
      </w:pPr>
    </w:p>
    <w:p>
      <w:pPr>
        <w:ind w:left="460" w:right="80" w:firstLine="431"/>
        <w:spacing w:after="0" w:line="291" w:lineRule="auto"/>
        <w:tabs>
          <w:tab w:leader="none" w:pos="111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6" w:lineRule="exact"/>
        <w:rPr>
          <w:rFonts w:ascii="Arial" w:cs="Arial" w:eastAsia="Arial" w:hAnsi="Arial"/>
          <w:sz w:val="15"/>
          <w:szCs w:val="15"/>
          <w:color w:val="auto"/>
        </w:rPr>
      </w:pPr>
    </w:p>
    <w:p>
      <w:pPr>
        <w:ind w:left="460" w:right="160" w:firstLine="431"/>
        <w:spacing w:after="0" w:line="291" w:lineRule="auto"/>
        <w:tabs>
          <w:tab w:leader="none" w:pos="111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if the Indebtedness being extended, refinanced, renewed, replaced, defeased or refunded is subordinated in right of payment to the Notes, such Permitted Refinancing Indebtedness has a final maturity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380"/>
          </w:cols>
          <w:pgMar w:left="240" w:top="417" w:right="27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right="440"/>
        <w:spacing w:after="0" w:line="291" w:lineRule="auto"/>
        <w:rPr>
          <w:sz w:val="20"/>
          <w:szCs w:val="20"/>
          <w:color w:val="auto"/>
        </w:rPr>
      </w:pPr>
      <w:r>
        <w:rPr>
          <w:rFonts w:ascii="Arial" w:cs="Arial" w:eastAsia="Arial" w:hAnsi="Arial"/>
          <w:sz w:val="15"/>
          <w:szCs w:val="15"/>
          <w:color w:val="auto"/>
        </w:rPr>
        <w:t>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(4) such Indebtedness shall not be incurred by a Restricted Subsidiary that is not a Guarantor to refinance debt of the Company or a Guarantor.</w:t>
      </w:r>
    </w:p>
    <w:p>
      <w:pPr>
        <w:spacing w:after="0" w:line="145"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Principals</w:t>
      </w:r>
      <w:r>
        <w:rPr>
          <w:rFonts w:ascii="Arial" w:cs="Arial" w:eastAsia="Arial" w:hAnsi="Arial"/>
          <w:sz w:val="15"/>
          <w:szCs w:val="15"/>
          <w:color w:val="auto"/>
        </w:rPr>
        <w:t>” means the Hagedorn Partnership, L.P., and any Partner or Affiliate thereof or of such Partner.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A </w:t>
      </w:r>
      <w:r>
        <w:rPr>
          <w:rFonts w:ascii="Arial" w:cs="Arial" w:eastAsia="Arial" w:hAnsi="Arial"/>
          <w:sz w:val="15"/>
          <w:szCs w:val="15"/>
          <w:color w:val="auto"/>
        </w:rPr>
        <w:t>“</w:t>
      </w:r>
      <w:r>
        <w:rPr>
          <w:rFonts w:ascii="Arial" w:cs="Arial" w:eastAsia="Arial" w:hAnsi="Arial"/>
          <w:sz w:val="15"/>
          <w:szCs w:val="15"/>
          <w:i w:val="1"/>
          <w:iCs w:val="1"/>
          <w:color w:val="auto"/>
        </w:rPr>
        <w:t>Public Market</w:t>
      </w:r>
      <w:r>
        <w:rPr>
          <w:rFonts w:ascii="Arial" w:cs="Arial" w:eastAsia="Arial" w:hAnsi="Arial"/>
          <w:sz w:val="15"/>
          <w:szCs w:val="15"/>
          <w:color w:val="auto"/>
        </w:rPr>
        <w:t>” exists at any time with respect to the Common Stock of the Company if:</w:t>
      </w:r>
    </w:p>
    <w:p>
      <w:pPr>
        <w:spacing w:after="0" w:line="74" w:lineRule="exact"/>
        <w:rPr>
          <w:sz w:val="20"/>
          <w:szCs w:val="20"/>
          <w:color w:val="auto"/>
        </w:rPr>
      </w:pPr>
    </w:p>
    <w:p>
      <w:pPr>
        <w:ind w:left="460" w:right="260" w:firstLine="431"/>
        <w:spacing w:after="0" w:line="291" w:lineRule="auto"/>
        <w:tabs>
          <w:tab w:leader="none" w:pos="111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Common Stock of the Company is then registered with the SEC pursuant to Section 12(b) or 12(g) of the Exchange Act and traded either on a national securities exchange or in the National Association of Securities Dealers Automated Quotation System; and</w:t>
      </w:r>
    </w:p>
    <w:p>
      <w:pPr>
        <w:spacing w:after="0" w:line="16" w:lineRule="exact"/>
        <w:rPr>
          <w:rFonts w:ascii="Arial" w:cs="Arial" w:eastAsia="Arial" w:hAnsi="Arial"/>
          <w:sz w:val="15"/>
          <w:szCs w:val="15"/>
          <w:color w:val="auto"/>
        </w:rPr>
      </w:pPr>
    </w:p>
    <w:p>
      <w:pPr>
        <w:ind w:left="460" w:right="160" w:firstLine="431"/>
        <w:spacing w:after="0" w:line="291" w:lineRule="auto"/>
        <w:tabs>
          <w:tab w:leader="none" w:pos="111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at least 15% of the total issued and outstanding Common Stock of the Company has been distributed prior to such time by means of an effective registration statement under the Securities Act of 1933, as amended.</w:t>
      </w:r>
    </w:p>
    <w:p>
      <w:pPr>
        <w:spacing w:after="0" w:line="87" w:lineRule="exact"/>
        <w:rPr>
          <w:sz w:val="20"/>
          <w:szCs w:val="20"/>
          <w:color w:val="auto"/>
        </w:rPr>
      </w:pPr>
    </w:p>
    <w:p>
      <w:pPr>
        <w:ind w:right="40" w:firstLine="457"/>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Qualified Securitization Transaction</w:t>
      </w:r>
      <w:r>
        <w:rPr>
          <w:rFonts w:ascii="Arial" w:cs="Arial" w:eastAsia="Arial" w:hAnsi="Arial"/>
          <w:sz w:val="15"/>
          <w:szCs w:val="15"/>
          <w:color w:val="auto"/>
        </w:rPr>
        <w:t>”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 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 securitization transactions involving accounts receivable and equipment.</w:t>
      </w:r>
    </w:p>
    <w:p>
      <w:pPr>
        <w:spacing w:after="0" w:line="107" w:lineRule="exact"/>
        <w:rPr>
          <w:sz w:val="20"/>
          <w:szCs w:val="20"/>
          <w:color w:val="auto"/>
        </w:rPr>
      </w:pPr>
    </w:p>
    <w:p>
      <w:pPr>
        <w:ind w:right="6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Rating Agency</w:t>
      </w:r>
      <w:r>
        <w:rPr>
          <w:rFonts w:ascii="Arial" w:cs="Arial" w:eastAsia="Arial" w:hAnsi="Arial"/>
          <w:sz w:val="15"/>
          <w:szCs w:val="15"/>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98"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Related Business</w:t>
      </w:r>
      <w:r>
        <w:rPr>
          <w:rFonts w:ascii="Arial" w:cs="Arial" w:eastAsia="Arial" w:hAnsi="Arial"/>
          <w:sz w:val="15"/>
          <w:szCs w:val="15"/>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Related Party</w:t>
      </w:r>
      <w:r>
        <w:rPr>
          <w:rFonts w:ascii="Arial" w:cs="Arial" w:eastAsia="Arial" w:hAnsi="Arial"/>
          <w:sz w:val="15"/>
          <w:szCs w:val="15"/>
          <w:color w:val="auto"/>
        </w:rPr>
        <w:t>” with respect to any Principal means:</w:t>
      </w:r>
    </w:p>
    <w:p>
      <w:pPr>
        <w:spacing w:after="0" w:line="74" w:lineRule="exact"/>
        <w:rPr>
          <w:sz w:val="20"/>
          <w:szCs w:val="20"/>
          <w:color w:val="auto"/>
        </w:rPr>
      </w:pPr>
    </w:p>
    <w:p>
      <w:pPr>
        <w:ind w:left="1100" w:hanging="209"/>
        <w:spacing w:after="0"/>
        <w:tabs>
          <w:tab w:leader="none" w:pos="11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controlling stockholder, 80% or more owned Subsidiary, or spouse or immediate family member (in the case of an individual) of such Principal; or</w:t>
      </w:r>
    </w:p>
    <w:p>
      <w:pPr>
        <w:spacing w:after="0" w:line="74" w:lineRule="exact"/>
        <w:rPr>
          <w:rFonts w:ascii="Arial" w:cs="Arial" w:eastAsia="Arial" w:hAnsi="Arial"/>
          <w:sz w:val="15"/>
          <w:szCs w:val="15"/>
          <w:color w:val="auto"/>
        </w:rPr>
      </w:pPr>
    </w:p>
    <w:p>
      <w:pPr>
        <w:ind w:left="460" w:firstLine="431"/>
        <w:spacing w:after="0" w:line="291" w:lineRule="auto"/>
        <w:tabs>
          <w:tab w:leader="none" w:pos="111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any trust, corporation, partnership or other entity, the beneficiaries, stockholders, partners, owners or Persons beneficially holding an 80% or more controlling interest of which consist of such Principal and/or such other Persons referred to in the immediately preceding clause (1).</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Restricted Investment</w:t>
      </w:r>
      <w:r>
        <w:rPr>
          <w:rFonts w:ascii="Arial" w:cs="Arial" w:eastAsia="Arial" w:hAnsi="Arial"/>
          <w:sz w:val="15"/>
          <w:szCs w:val="15"/>
          <w:color w:val="auto"/>
        </w:rPr>
        <w:t>” means an Investment other than a Permitted Investment.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Subsidiary</w:t>
      </w:r>
      <w:r>
        <w:rPr>
          <w:rFonts w:ascii="Arial" w:cs="Arial" w:eastAsia="Arial" w:hAnsi="Arial"/>
          <w:sz w:val="15"/>
          <w:szCs w:val="15"/>
          <w:color w:val="auto"/>
        </w:rPr>
        <w:t>” of a Person means any Subsidiary of the referent Person that is not an Unrestricted Subsidiary.</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40" w:top="417"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Sanford</w:t>
      </w:r>
      <w:r>
        <w:rPr>
          <w:rFonts w:ascii="Arial" w:cs="Arial" w:eastAsia="Arial" w:hAnsi="Arial"/>
          <w:sz w:val="15"/>
          <w:szCs w:val="15"/>
          <w:color w:val="auto"/>
        </w:rPr>
        <w:t>” means Sanford Scientific, Inc., a Subsidiary of the Company.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S&amp;P</w:t>
      </w:r>
      <w:r>
        <w:rPr>
          <w:rFonts w:ascii="Arial" w:cs="Arial" w:eastAsia="Arial" w:hAnsi="Arial"/>
          <w:sz w:val="15"/>
          <w:szCs w:val="15"/>
          <w:color w:val="auto"/>
        </w:rPr>
        <w:t>” means Standard &amp; Poor’s Rating Services, a division of McGraw Hill, Inc., a New York corporation, or any successor rating agency.</w:t>
      </w:r>
    </w:p>
    <w:p>
      <w:pPr>
        <w:spacing w:after="0" w:line="145" w:lineRule="exact"/>
        <w:rPr>
          <w:sz w:val="20"/>
          <w:szCs w:val="20"/>
          <w:color w:val="auto"/>
        </w:rPr>
      </w:pPr>
    </w:p>
    <w:p>
      <w:pPr>
        <w:ind w:firstLine="457"/>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Securitization Entity</w:t>
      </w:r>
      <w:r>
        <w:rPr>
          <w:rFonts w:ascii="Arial" w:cs="Arial" w:eastAsia="Arial" w:hAnsi="Arial"/>
          <w:sz w:val="15"/>
          <w:szCs w:val="15"/>
          <w:color w:val="auto"/>
        </w:rPr>
        <w:t>”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 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 (ii) 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 (c) to which neither the Company nor any Restricted Subsidiary of the Company has any obligation to maintain or preserve such entity’s financial condition or cause such entity to achieve certain levels of operating results.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Senior Debt</w:t>
      </w:r>
      <w:r>
        <w:rPr>
          <w:rFonts w:ascii="Arial" w:cs="Arial" w:eastAsia="Arial" w:hAnsi="Arial"/>
          <w:sz w:val="15"/>
          <w:szCs w:val="15"/>
          <w:color w:val="auto"/>
        </w:rPr>
        <w:t>” means:</w:t>
      </w:r>
    </w:p>
    <w:p>
      <w:pPr>
        <w:spacing w:after="0" w:line="74" w:lineRule="exact"/>
        <w:rPr>
          <w:sz w:val="20"/>
          <w:szCs w:val="20"/>
          <w:color w:val="auto"/>
        </w:rPr>
      </w:pPr>
    </w:p>
    <w:p>
      <w:pPr>
        <w:ind w:left="1340" w:hanging="442"/>
        <w:spacing w:after="0"/>
        <w:tabs>
          <w:tab w:leader="none" w:pos="1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 Indebtedness outstanding under the Credit Facility and all Hedging Obligations with respect thereto;</w:t>
      </w:r>
    </w:p>
    <w:p>
      <w:pPr>
        <w:spacing w:after="0" w:line="74" w:lineRule="exact"/>
        <w:rPr>
          <w:rFonts w:ascii="Arial" w:cs="Arial" w:eastAsia="Arial" w:hAnsi="Arial"/>
          <w:sz w:val="15"/>
          <w:szCs w:val="15"/>
          <w:color w:val="auto"/>
        </w:rPr>
      </w:pPr>
    </w:p>
    <w:p>
      <w:pPr>
        <w:ind w:left="1340" w:right="60" w:hanging="442"/>
        <w:spacing w:after="0" w:line="323" w:lineRule="auto"/>
        <w:tabs>
          <w:tab w:leader="none" w:pos="1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any other Indebtedness permitted to be incurred by the Company under the terms of the Indenture, unless the instrument under which such Indebtedness is incurred expressly provides that it is on a parity with or subordinated in right of payment to the Notes or the Subsidiary Guarantees; and</w:t>
      </w:r>
    </w:p>
    <w:p>
      <w:pPr>
        <w:spacing w:after="0" w:line="1" w:lineRule="exact"/>
        <w:rPr>
          <w:rFonts w:ascii="Arial" w:cs="Arial" w:eastAsia="Arial" w:hAnsi="Arial"/>
          <w:sz w:val="14"/>
          <w:szCs w:val="14"/>
          <w:color w:val="auto"/>
        </w:rPr>
      </w:pPr>
    </w:p>
    <w:p>
      <w:pPr>
        <w:ind w:left="1340" w:hanging="442"/>
        <w:spacing w:after="0"/>
        <w:tabs>
          <w:tab w:leader="none" w:pos="13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 Obligations with respect to the items listed in the preceding clauses (1) and (2).</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anything to the contrary in the preceding, Senior Debt will not include:</w:t>
      </w:r>
    </w:p>
    <w:p>
      <w:pPr>
        <w:spacing w:after="0" w:line="74" w:lineRule="exact"/>
        <w:rPr>
          <w:sz w:val="20"/>
          <w:szCs w:val="20"/>
          <w:color w:val="auto"/>
        </w:rPr>
      </w:pPr>
    </w:p>
    <w:p>
      <w:pPr>
        <w:ind w:left="1340" w:hanging="442"/>
        <w:spacing w:after="0"/>
        <w:tabs>
          <w:tab w:leader="none" w:pos="13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liability for federal, state, local or other taxes owed or owing by the Company;</w:t>
      </w:r>
    </w:p>
    <w:p>
      <w:pPr>
        <w:spacing w:after="0" w:line="74" w:lineRule="exact"/>
        <w:rPr>
          <w:rFonts w:ascii="Arial" w:cs="Arial" w:eastAsia="Arial" w:hAnsi="Arial"/>
          <w:sz w:val="15"/>
          <w:szCs w:val="15"/>
          <w:color w:val="auto"/>
        </w:rPr>
      </w:pPr>
    </w:p>
    <w:p>
      <w:pPr>
        <w:ind w:left="1340" w:hanging="442"/>
        <w:spacing w:after="0"/>
        <w:tabs>
          <w:tab w:leader="none" w:pos="13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Indebtedness of the Company to any of its Subsidiaries or other Affiliates;</w:t>
      </w:r>
    </w:p>
    <w:p>
      <w:pPr>
        <w:spacing w:after="0" w:line="74" w:lineRule="exact"/>
        <w:rPr>
          <w:rFonts w:ascii="Arial" w:cs="Arial" w:eastAsia="Arial" w:hAnsi="Arial"/>
          <w:sz w:val="15"/>
          <w:szCs w:val="15"/>
          <w:color w:val="auto"/>
        </w:rPr>
      </w:pPr>
    </w:p>
    <w:p>
      <w:pPr>
        <w:ind w:left="1340" w:hanging="442"/>
        <w:spacing w:after="0"/>
        <w:tabs>
          <w:tab w:leader="none" w:pos="13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trade payables; or</w:t>
      </w:r>
    </w:p>
    <w:p>
      <w:pPr>
        <w:spacing w:after="0" w:line="74" w:lineRule="exact"/>
        <w:rPr>
          <w:rFonts w:ascii="Arial" w:cs="Arial" w:eastAsia="Arial" w:hAnsi="Arial"/>
          <w:sz w:val="15"/>
          <w:szCs w:val="15"/>
          <w:color w:val="auto"/>
        </w:rPr>
      </w:pPr>
    </w:p>
    <w:p>
      <w:pPr>
        <w:ind w:left="1340" w:hanging="442"/>
        <w:spacing w:after="0"/>
        <w:tabs>
          <w:tab w:leader="none" w:pos="13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any Indebtedness that is incurred in violation of the Indenture.</w:t>
      </w:r>
    </w:p>
    <w:p>
      <w:pPr>
        <w:spacing w:after="0" w:line="145"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Significant Subsidiary</w:t>
      </w:r>
      <w:r>
        <w:rPr>
          <w:rFonts w:ascii="Arial" w:cs="Arial" w:eastAsia="Arial" w:hAnsi="Arial"/>
          <w:sz w:val="15"/>
          <w:szCs w:val="15"/>
          <w:color w:val="auto"/>
        </w:rPr>
        <w:t>” means any Subsidiary that would be a “significant subsidiary” as defined in Article 1, Rule 1-02 of Regulation S-X, promulgated pursuant to the Act, as such Regulation is in effect on the date hereof.</w:t>
      </w:r>
    </w:p>
    <w:p>
      <w:pPr>
        <w:spacing w:after="0" w:line="87" w:lineRule="exact"/>
        <w:rPr>
          <w:sz w:val="20"/>
          <w:szCs w:val="20"/>
          <w:color w:val="auto"/>
        </w:rPr>
      </w:pPr>
    </w:p>
    <w:p>
      <w:pPr>
        <w:ind w:right="24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Standard Securitization Undertakings</w:t>
      </w:r>
      <w:r>
        <w:rPr>
          <w:rFonts w:ascii="Arial" w:cs="Arial" w:eastAsia="Arial" w:hAnsi="Arial"/>
          <w:sz w:val="15"/>
          <w:szCs w:val="15"/>
          <w:color w:val="auto"/>
        </w:rPr>
        <w:t>” means representations, warranties, covenants and indemnities entered into by the Company or any Subsidiary of the Company that are reasonably customary in an accounts receivable or equipment transaction.</w:t>
      </w:r>
    </w:p>
    <w:p>
      <w:pPr>
        <w:spacing w:after="0" w:line="87" w:lineRule="exact"/>
        <w:rPr>
          <w:sz w:val="20"/>
          <w:szCs w:val="20"/>
          <w:color w:val="auto"/>
        </w:rPr>
      </w:pPr>
    </w:p>
    <w:p>
      <w:pPr>
        <w:ind w:right="340" w:firstLine="45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Stated Maturity</w:t>
      </w:r>
      <w:r>
        <w:rPr>
          <w:rFonts w:ascii="Arial" w:cs="Arial" w:eastAsia="Arial" w:hAnsi="Arial"/>
          <w:sz w:val="15"/>
          <w:szCs w:val="15"/>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380"/>
          </w:cols>
          <w:pgMar w:left="240" w:top="417" w:right="27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means, with respect to any Person:</w:t>
      </w:r>
    </w:p>
    <w:p>
      <w:pPr>
        <w:spacing w:after="0" w:line="74" w:lineRule="exact"/>
        <w:rPr>
          <w:sz w:val="20"/>
          <w:szCs w:val="20"/>
          <w:color w:val="auto"/>
        </w:rPr>
      </w:pPr>
    </w:p>
    <w:p>
      <w:pPr>
        <w:jc w:val="both"/>
        <w:ind w:left="1340" w:right="240" w:hanging="442"/>
        <w:spacing w:after="0" w:line="276" w:lineRule="auto"/>
        <w:tabs>
          <w:tab w:leader="none" w:pos="13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27" w:lineRule="exact"/>
        <w:rPr>
          <w:rFonts w:ascii="Arial" w:cs="Arial" w:eastAsia="Arial" w:hAnsi="Arial"/>
          <w:sz w:val="15"/>
          <w:szCs w:val="15"/>
          <w:color w:val="auto"/>
        </w:rPr>
      </w:pPr>
    </w:p>
    <w:p>
      <w:pPr>
        <w:ind w:left="1340" w:right="100" w:hanging="442"/>
        <w:spacing w:after="0" w:line="291" w:lineRule="auto"/>
        <w:tabs>
          <w:tab w:leader="none" w:pos="13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87"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Unrestricted Subsidiary</w:t>
      </w:r>
      <w:r>
        <w:rPr>
          <w:rFonts w:ascii="Arial" w:cs="Arial" w:eastAsia="Arial" w:hAnsi="Arial"/>
          <w:sz w:val="15"/>
          <w:szCs w:val="15"/>
          <w:color w:val="auto"/>
        </w:rPr>
        <w:t>” means any Subsidiary of the Company that is designated by the Board of Directors as an Unrestricted Subsidiary pursuant to a Board Resolution, but only to the extent that such Subsidiary:</w:t>
      </w:r>
    </w:p>
    <w:p>
      <w:pPr>
        <w:spacing w:after="0" w:line="16" w:lineRule="exact"/>
        <w:rPr>
          <w:sz w:val="20"/>
          <w:szCs w:val="20"/>
          <w:color w:val="auto"/>
        </w:rPr>
      </w:pPr>
    </w:p>
    <w:p>
      <w:pPr>
        <w:ind w:left="1340" w:hanging="442"/>
        <w:spacing w:after="0"/>
        <w:tabs>
          <w:tab w:leader="none" w:pos="1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has no Indebtedness other than Non-Recourse Debt;</w:t>
      </w:r>
    </w:p>
    <w:p>
      <w:pPr>
        <w:spacing w:after="0" w:line="74" w:lineRule="exact"/>
        <w:rPr>
          <w:rFonts w:ascii="Arial" w:cs="Arial" w:eastAsia="Arial" w:hAnsi="Arial"/>
          <w:sz w:val="15"/>
          <w:szCs w:val="15"/>
          <w:color w:val="auto"/>
        </w:rPr>
      </w:pPr>
    </w:p>
    <w:p>
      <w:pPr>
        <w:jc w:val="both"/>
        <w:ind w:left="1340" w:right="20" w:hanging="442"/>
        <w:spacing w:after="0" w:line="276" w:lineRule="auto"/>
        <w:tabs>
          <w:tab w:leader="none" w:pos="1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27" w:lineRule="exact"/>
        <w:rPr>
          <w:rFonts w:ascii="Arial" w:cs="Arial" w:eastAsia="Arial" w:hAnsi="Arial"/>
          <w:sz w:val="15"/>
          <w:szCs w:val="15"/>
          <w:color w:val="auto"/>
        </w:rPr>
      </w:pPr>
    </w:p>
    <w:p>
      <w:pPr>
        <w:ind w:left="1340" w:right="360" w:hanging="442"/>
        <w:spacing w:after="0" w:line="348" w:lineRule="auto"/>
        <w:tabs>
          <w:tab w:leader="none" w:pos="1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1" w:lineRule="exact"/>
        <w:rPr>
          <w:rFonts w:ascii="Arial" w:cs="Arial" w:eastAsia="Arial" w:hAnsi="Arial"/>
          <w:sz w:val="13"/>
          <w:szCs w:val="13"/>
          <w:color w:val="auto"/>
        </w:rPr>
      </w:pPr>
    </w:p>
    <w:p>
      <w:pPr>
        <w:ind w:left="1340" w:hanging="442"/>
        <w:spacing w:after="0"/>
        <w:tabs>
          <w:tab w:leader="none" w:pos="1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has not guaranteed or otherwise directly or indirectly provided credit support for any Indebtedness of the Company or any of its Restricted Subsidiaries.</w:t>
      </w:r>
    </w:p>
    <w:p>
      <w:pPr>
        <w:spacing w:after="0" w:line="145"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97" w:lineRule="exact"/>
        <w:rPr>
          <w:sz w:val="20"/>
          <w:szCs w:val="20"/>
          <w:color w:val="auto"/>
        </w:rPr>
      </w:pPr>
    </w:p>
    <w:p>
      <w:pPr>
        <w:ind w:right="480" w:firstLine="457"/>
        <w:spacing w:after="0" w:line="291" w:lineRule="auto"/>
        <w:rPr>
          <w:sz w:val="20"/>
          <w:szCs w:val="20"/>
          <w:color w:val="auto"/>
        </w:rPr>
      </w:pPr>
      <w:r>
        <w:rPr>
          <w:rFonts w:ascii="Arial" w:cs="Arial" w:eastAsia="Arial" w:hAnsi="Arial"/>
          <w:sz w:val="15"/>
          <w:szCs w:val="15"/>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87" w:lineRule="exact"/>
        <w:rPr>
          <w:sz w:val="20"/>
          <w:szCs w:val="20"/>
          <w:color w:val="auto"/>
        </w:rPr>
      </w:pPr>
    </w:p>
    <w:p>
      <w:pPr>
        <w:jc w:val="center"/>
        <w:ind w:left="380" w:right="320"/>
        <w:spacing w:after="0" w:line="47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Voting Stock</w:t>
      </w:r>
      <w:r>
        <w:rPr>
          <w:rFonts w:ascii="Arial" w:cs="Arial" w:eastAsia="Arial" w:hAnsi="Arial"/>
          <w:sz w:val="15"/>
          <w:szCs w:val="15"/>
          <w:color w:val="auto"/>
        </w:rPr>
        <w:t>” of any Person as of any date means the Capital Stock of such Person that is at the time entitled to vote in the election of the Board of Directors of such Person. 65</w:t>
      </w:r>
    </w:p>
    <w:p>
      <w:pPr>
        <w:sectPr>
          <w:pgSz w:w="11900" w:h="16838" w:orient="portrait"/>
          <w:cols w:equalWidth="0" w:num="1">
            <w:col w:w="11380"/>
          </w:cols>
          <w:pgMar w:left="240" w:top="417" w:right="2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Weighted Average Life to Maturity</w:t>
      </w:r>
      <w:r>
        <w:rPr>
          <w:rFonts w:ascii="Arial" w:cs="Arial" w:eastAsia="Arial" w:hAnsi="Arial"/>
          <w:sz w:val="15"/>
          <w:szCs w:val="15"/>
          <w:color w:val="auto"/>
        </w:rPr>
        <w:t>” means, when applied to any Indebtedness at any date, the number of years obtained by dividing:</w:t>
      </w:r>
    </w:p>
    <w:p>
      <w:pPr>
        <w:spacing w:after="0" w:line="74" w:lineRule="exact"/>
        <w:rPr>
          <w:sz w:val="20"/>
          <w:szCs w:val="20"/>
          <w:color w:val="auto"/>
        </w:rPr>
      </w:pPr>
    </w:p>
    <w:p>
      <w:pPr>
        <w:jc w:val="both"/>
        <w:ind w:left="460" w:firstLine="431"/>
        <w:spacing w:after="0" w:line="276" w:lineRule="auto"/>
        <w:tabs>
          <w:tab w:leader="none" w:pos="1115"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7" w:lineRule="exact"/>
        <w:rPr>
          <w:rFonts w:ascii="Arial" w:cs="Arial" w:eastAsia="Arial" w:hAnsi="Arial"/>
          <w:sz w:val="15"/>
          <w:szCs w:val="15"/>
          <w:color w:val="auto"/>
        </w:rPr>
      </w:pPr>
    </w:p>
    <w:p>
      <w:pPr>
        <w:ind w:left="1100" w:hanging="209"/>
        <w:spacing w:after="0"/>
        <w:tabs>
          <w:tab w:leader="none" w:pos="11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then outstanding principal amount of such Indebtedness.</w:t>
      </w:r>
    </w:p>
    <w:p>
      <w:pPr>
        <w:spacing w:after="0" w:line="145" w:lineRule="exact"/>
        <w:rPr>
          <w:sz w:val="20"/>
          <w:szCs w:val="20"/>
          <w:color w:val="auto"/>
        </w:rPr>
      </w:pPr>
    </w:p>
    <w:p>
      <w:pPr>
        <w:ind w:right="380" w:firstLine="457"/>
        <w:spacing w:after="0" w:line="32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Wholly Owned Restricted Subsidiary</w:t>
      </w:r>
      <w:r>
        <w:rPr>
          <w:rFonts w:ascii="Arial" w:cs="Arial" w:eastAsia="Arial" w:hAnsi="Arial"/>
          <w:sz w:val="14"/>
          <w:szCs w:val="14"/>
          <w:color w:val="auto"/>
        </w:rPr>
        <w:t>”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 Entry, Delivery and Form</w:t>
      </w:r>
    </w:p>
    <w:p>
      <w:pPr>
        <w:spacing w:after="0" w:line="78" w:lineRule="exact"/>
        <w:rPr>
          <w:sz w:val="20"/>
          <w:szCs w:val="20"/>
          <w:color w:val="auto"/>
        </w:rPr>
      </w:pPr>
    </w:p>
    <w:p>
      <w:pPr>
        <w:ind w:right="420" w:firstLine="457"/>
        <w:spacing w:after="0" w:line="291" w:lineRule="auto"/>
        <w:rPr>
          <w:sz w:val="20"/>
          <w:szCs w:val="20"/>
          <w:color w:val="auto"/>
        </w:rPr>
      </w:pPr>
      <w:r>
        <w:rPr>
          <w:rFonts w:ascii="Arial" w:cs="Arial" w:eastAsia="Arial" w:hAnsi="Arial"/>
          <w:sz w:val="15"/>
          <w:szCs w:val="15"/>
          <w:color w:val="auto"/>
        </w:rPr>
        <w:t>The Original Notes were initially issued in the form of one or more Global Securities registered in the name of The Depository Trust Company (“DTC”) or its nominee. The Exchange Notes will also be issued in the form of one or more Global Securities registered in the name of DTC or its nominee.</w:t>
      </w:r>
    </w:p>
    <w:p>
      <w:pPr>
        <w:spacing w:after="0" w:line="87" w:lineRule="exact"/>
        <w:rPr>
          <w:sz w:val="20"/>
          <w:szCs w:val="20"/>
          <w:color w:val="auto"/>
        </w:rPr>
      </w:pPr>
    </w:p>
    <w:p>
      <w:pPr>
        <w:ind w:firstLine="457"/>
        <w:spacing w:after="0" w:line="290" w:lineRule="auto"/>
        <w:rPr>
          <w:sz w:val="20"/>
          <w:szCs w:val="20"/>
          <w:color w:val="auto"/>
        </w:rPr>
      </w:pPr>
      <w:r>
        <w:rPr>
          <w:rFonts w:ascii="Arial" w:cs="Arial" w:eastAsia="Arial" w:hAnsi="Arial"/>
          <w:sz w:val="14"/>
          <w:szCs w:val="14"/>
          <w:color w:val="auto"/>
        </w:rPr>
        <w:t>Ownership of beneficial interests in a Global Security will be limited to Persons that have accounts with DTC (“participants”) or Persons that may hold interests through participants. Any Person acquiring an interest in a Global Security through an offshore transaction in reliance on Regulation S of the Securities Act may hold such interest directly through DTC, Clearstream Banking, S.A. or Euroclear Bank S.A./N.V., as operator of the Euroclear System. Ownership of beneficial interests in a Global Security will be shown on, and the transfer of that ownership interest will be effected only through, records maintained by DTC (with respect to participants’ interests) and such participants (with respect to the owners of beneficial interests in such Global Security other than participants). The laws of some jurisdictions require that certain purchasers of securities take physical delivery of such securities in definitive form. Such limits and such laws may impair the ability to transfer beneficial interests in a Global Security.</w:t>
      </w:r>
    </w:p>
    <w:p>
      <w:pPr>
        <w:spacing w:after="0" w:line="90" w:lineRule="exact"/>
        <w:rPr>
          <w:sz w:val="20"/>
          <w:szCs w:val="20"/>
          <w:color w:val="auto"/>
        </w:rPr>
      </w:pPr>
    </w:p>
    <w:p>
      <w:pPr>
        <w:ind w:right="60" w:firstLine="457"/>
        <w:spacing w:after="0" w:line="267" w:lineRule="auto"/>
        <w:rPr>
          <w:sz w:val="20"/>
          <w:szCs w:val="20"/>
          <w:color w:val="auto"/>
        </w:rPr>
      </w:pPr>
      <w:r>
        <w:rPr>
          <w:rFonts w:ascii="Arial" w:cs="Arial" w:eastAsia="Arial" w:hAnsi="Arial"/>
          <w:sz w:val="15"/>
          <w:szCs w:val="15"/>
          <w:color w:val="auto"/>
        </w:rPr>
        <w:t>Payment of principal of and interest on Notes represented by a Global Security will be made in immediately available funds to DTC or its nominee, as the case may be, as the sole registered owner and the sole holder of the Notes represented thereby for all purposes under the Indenture. The Company has been advised by DTC that upon receipt of any payment of principal of or interest on any Global Security, DTC will immediately credit, on its book-entry registration and transfer system, the accounts of participants with payments in amounts proportionate to their respective beneficial interests in the principal or face amount of such Global Security as shown on the records of DTC.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Global Security may not be transferred except as a whole by DTC or a nominee of DTC to a nominee of DTC or to DTC. A Global Security is exchangeable for certificated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Notes only if:</w:t>
      </w:r>
    </w:p>
    <w:p>
      <w:pPr>
        <w:spacing w:after="0" w:line="68" w:lineRule="exact"/>
        <w:rPr>
          <w:sz w:val="20"/>
          <w:szCs w:val="20"/>
          <w:color w:val="auto"/>
        </w:rPr>
      </w:pPr>
    </w:p>
    <w:p>
      <w:pPr>
        <w:ind w:left="460" w:right="460" w:firstLine="431"/>
        <w:spacing w:after="0" w:line="291" w:lineRule="auto"/>
        <w:tabs>
          <w:tab w:leader="none" w:pos="110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DTC notifies the Company that it is unwilling or unable to continue as a depositary for such Global Security or if at any time DTC ceases to be a clearing agency registered under the Exchange Act,</w:t>
      </w:r>
    </w:p>
    <w:p>
      <w:pPr>
        <w:spacing w:after="0" w:line="16" w:lineRule="exact"/>
        <w:rPr>
          <w:rFonts w:ascii="Arial" w:cs="Arial" w:eastAsia="Arial" w:hAnsi="Arial"/>
          <w:sz w:val="15"/>
          <w:szCs w:val="15"/>
          <w:color w:val="auto"/>
        </w:rPr>
      </w:pPr>
    </w:p>
    <w:p>
      <w:pPr>
        <w:ind w:left="1100" w:hanging="209"/>
        <w:spacing w:after="0"/>
        <w:tabs>
          <w:tab w:leader="none" w:pos="11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Company in its discretion at any time determines not to have all the Notes represented by such Global Security, or</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there shall have occurred and be continuing a Default or an Event of Default with respect to the Notes represented by such Global Security.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417"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Any Global Security that is exchangeable for certificated Notes pursuant to the preceding sentence will be exchanged for certificated Notes in authorized denominations and registered in such names as DTC or any successor depositary holding such Global Security may direct. Subject to the foregoing, a Global Security is not exchangeable, except for a Global Security of like denomination to be registered in the name of DTC or any successor depositary or its nominee. In the event that a Global Security becomes exchangeable for certificated Notes,</w:t>
      </w:r>
    </w:p>
    <w:p>
      <w:pPr>
        <w:spacing w:after="0" w:line="31" w:lineRule="exact"/>
        <w:rPr>
          <w:sz w:val="20"/>
          <w:szCs w:val="20"/>
          <w:color w:val="auto"/>
        </w:rPr>
      </w:pPr>
    </w:p>
    <w:p>
      <w:pPr>
        <w:ind w:left="1100" w:hanging="209"/>
        <w:spacing w:after="0"/>
        <w:tabs>
          <w:tab w:leader="none" w:pos="11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certificated Notes will be issued only in fully registered form in denominations of $1,000 or integral multiples thereof,</w:t>
      </w:r>
    </w:p>
    <w:p>
      <w:pPr>
        <w:spacing w:after="0" w:line="74" w:lineRule="exact"/>
        <w:rPr>
          <w:rFonts w:ascii="Arial" w:cs="Arial" w:eastAsia="Arial" w:hAnsi="Arial"/>
          <w:sz w:val="15"/>
          <w:szCs w:val="15"/>
          <w:color w:val="auto"/>
        </w:rPr>
      </w:pPr>
    </w:p>
    <w:p>
      <w:pPr>
        <w:ind w:left="460" w:right="160" w:firstLine="431"/>
        <w:spacing w:after="0" w:line="291" w:lineRule="auto"/>
        <w:tabs>
          <w:tab w:leader="none" w:pos="1115"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payment of principal of, and premium, if any, and interest on, the certificated Notes will be payable, and the transfer of the certificated Notes will be registrable, at the office or agency of the Company maintained for such purposes, and</w:t>
      </w:r>
    </w:p>
    <w:p>
      <w:pPr>
        <w:spacing w:after="0" w:line="16" w:lineRule="exact"/>
        <w:rPr>
          <w:rFonts w:ascii="Arial" w:cs="Arial" w:eastAsia="Arial" w:hAnsi="Arial"/>
          <w:sz w:val="15"/>
          <w:szCs w:val="15"/>
          <w:color w:val="auto"/>
        </w:rPr>
      </w:pPr>
    </w:p>
    <w:p>
      <w:pPr>
        <w:ind w:left="460" w:right="120" w:firstLine="431"/>
        <w:spacing w:after="0" w:line="291" w:lineRule="auto"/>
        <w:tabs>
          <w:tab w:leader="none" w:pos="110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no service charge will be made for any registration of transfer or exchange of the certificated Notes, although the Company may require payment of a sum sufficient to cover any tax or governmental charge imposed in connection therewith.</w:t>
      </w:r>
    </w:p>
    <w:p>
      <w:pPr>
        <w:spacing w:after="0" w:line="87" w:lineRule="exact"/>
        <w:rPr>
          <w:sz w:val="20"/>
          <w:szCs w:val="20"/>
          <w:color w:val="auto"/>
        </w:rPr>
      </w:pPr>
    </w:p>
    <w:p>
      <w:pPr>
        <w:ind w:right="60" w:firstLine="457"/>
        <w:spacing w:after="0" w:line="296" w:lineRule="auto"/>
        <w:rPr>
          <w:sz w:val="20"/>
          <w:szCs w:val="20"/>
          <w:color w:val="auto"/>
        </w:rPr>
      </w:pPr>
      <w:r>
        <w:rPr>
          <w:rFonts w:ascii="Arial" w:cs="Arial" w:eastAsia="Arial" w:hAnsi="Arial"/>
          <w:sz w:val="14"/>
          <w:szCs w:val="14"/>
          <w:color w:val="auto"/>
        </w:rPr>
        <w:t>So long as DTC or any successor depositary for a Global Security, or any nominee, is the registered owner of such Global Security, DTC or such successor depositary or nominee, as the case may be, will be considered the sole owner or holder of the Notes represented by such Global Security for all purposes under the Indenture and the Notes. Except as set forth above, owners of beneficial interests in a Global Security will not be entitled to have the Notes represented by such Global Security registered in their names, will not receive or be entitled to receive physical delivery of certificated Notes in definitive form and will not be considered to be the owners or holders of any Notes under such Global Security.</w:t>
      </w:r>
    </w:p>
    <w:p>
      <w:pPr>
        <w:spacing w:after="0" w:line="87"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Accordingly, each Person owning a beneficial interest in a Global Security must rely on the procedures of DTC or any successor depositary, and, if such Person is not a participant, on the procedures of the participant through which such Person owns its interest, to exercise any rights of a holder under the Indenture. The Company understands that under existing industry practices, in the event that the Company requests any action of holders or that an owner of a beneficial interest in a Global Security desires to give or take any action which a holder is entitled to give or take under the Indenture, DTC or any successor depositary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105" w:lineRule="exact"/>
        <w:rPr>
          <w:sz w:val="20"/>
          <w:szCs w:val="20"/>
          <w:color w:val="auto"/>
        </w:rPr>
      </w:pPr>
    </w:p>
    <w:p>
      <w:pPr>
        <w:ind w:firstLine="457"/>
        <w:spacing w:after="0" w:line="316" w:lineRule="auto"/>
        <w:rPr>
          <w:sz w:val="20"/>
          <w:szCs w:val="20"/>
          <w:color w:val="auto"/>
        </w:rPr>
      </w:pPr>
      <w:r>
        <w:rPr>
          <w:rFonts w:ascii="Arial" w:cs="Arial" w:eastAsia="Arial" w:hAnsi="Arial"/>
          <w:sz w:val="13"/>
          <w:szCs w:val="13"/>
          <w:color w:val="auto"/>
        </w:rPr>
        <w:t>DTC has advised the Company that DTC is a limited-purpose trust company organized under the Banking Law of the State of New York, a member of the Federal Reserve System, a “clearing corporation” within the meaning of the New York Uniform Commercial Code and a “clearing agency” registered under the Exchange Act. DTC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some of whom (or their representatives) own DTC. Access to DTC’s book-entry system is also available to others, such as banks, brokers, dealers and trust companies, that clear through or maintain a custodial relationship with a participant, either directly or indirectly.</w:t>
      </w:r>
    </w:p>
    <w:p>
      <w:pPr>
        <w:spacing w:after="0" w:line="76" w:lineRule="exact"/>
        <w:rPr>
          <w:sz w:val="20"/>
          <w:szCs w:val="20"/>
          <w:color w:val="auto"/>
        </w:rPr>
      </w:pPr>
    </w:p>
    <w:p>
      <w:pPr>
        <w:ind w:right="460" w:firstLine="457"/>
        <w:spacing w:after="0" w:line="304" w:lineRule="auto"/>
        <w:rPr>
          <w:sz w:val="20"/>
          <w:szCs w:val="20"/>
          <w:color w:val="auto"/>
        </w:rPr>
      </w:pPr>
      <w:r>
        <w:rPr>
          <w:rFonts w:ascii="Arial" w:cs="Arial" w:eastAsia="Arial" w:hAnsi="Arial"/>
          <w:sz w:val="14"/>
          <w:szCs w:val="14"/>
          <w:color w:val="auto"/>
        </w:rPr>
        <w:t>Although DTC has agreed to the foregoing procedures in order to facilitate transfers of interests in Global Securities among participants of DTC, it is under no obligation to perform or continue to perform such procedures, and such procedures may be discontinued at any time. Neither the Company nor the Trustee will have any responsibility for the performance by DTC or its participants or indirect participants of their respective obligations under the rules and procedures governing their operations.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20"/>
          </w:cols>
          <w:pgMar w:left="240" w:top="417"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UNITED STATES FEDERAL TAX CONSIDERATIONS</w:t>
      </w:r>
    </w:p>
    <w:p>
      <w:pPr>
        <w:spacing w:after="0" w:line="149" w:lineRule="exact"/>
        <w:rPr>
          <w:sz w:val="20"/>
          <w:szCs w:val="20"/>
          <w:color w:val="auto"/>
        </w:rPr>
      </w:pPr>
    </w:p>
    <w:p>
      <w:pPr>
        <w:ind w:right="60" w:firstLine="457"/>
        <w:spacing w:after="0" w:line="266" w:lineRule="auto"/>
        <w:rPr>
          <w:sz w:val="20"/>
          <w:szCs w:val="20"/>
          <w:color w:val="auto"/>
        </w:rPr>
      </w:pPr>
      <w:r>
        <w:rPr>
          <w:rFonts w:ascii="Arial" w:cs="Arial" w:eastAsia="Arial" w:hAnsi="Arial"/>
          <w:sz w:val="15"/>
          <w:szCs w:val="15"/>
          <w:color w:val="auto"/>
        </w:rPr>
        <w:t>The following is a general discussion of material U.S. federal tax considerations relating to (i) the exchange of the Original Notes for the Exchange Notes in this exchange offer and (ii) the ownership and disposition of the Exchange Notes by holders thereof, but does not purport to be a complete analysis of all the potential tax considerations relating thereto. This summary is based on the current provisions of the U.S. Internal Revenue Code of 1986, as amended (the “Code”), applicable U.S. Treasury regulations, judicial authority and administrative rulings and practice as of the date hereof. These authorities may be changed, perhaps retroactively, so as to result in U.S. federal tax consequences different from those set forth below. We have not sought any ruling from the Internal Revenue Service (the “IRS”) or an opinion of counsel with respect to the statements made and the conclusions reached in the following summary, and there can be no assurance that the IRS will agree with such statements and conclusions. References to a “Note” herein apply equally to the Exchange Notes and the Original Notes.</w:t>
      </w:r>
    </w:p>
    <w:p>
      <w:pPr>
        <w:spacing w:after="0" w:line="107" w:lineRule="exact"/>
        <w:rPr>
          <w:sz w:val="20"/>
          <w:szCs w:val="20"/>
          <w:color w:val="auto"/>
        </w:rPr>
      </w:pPr>
    </w:p>
    <w:p>
      <w:pPr>
        <w:ind w:firstLine="457"/>
        <w:spacing w:after="0" w:line="266" w:lineRule="auto"/>
        <w:rPr>
          <w:sz w:val="20"/>
          <w:szCs w:val="20"/>
          <w:color w:val="auto"/>
        </w:rPr>
      </w:pPr>
      <w:r>
        <w:rPr>
          <w:rFonts w:ascii="Arial" w:cs="Arial" w:eastAsia="Arial" w:hAnsi="Arial"/>
          <w:sz w:val="15"/>
          <w:szCs w:val="15"/>
          <w:color w:val="auto"/>
        </w:rPr>
        <w:t>Except where noted, this summary deals only with Notes held as capital assets, and it does not deal with special situations. For example, this summary does not address tax consequences to holders who may be subject to special tax treatment, such as dealers in securities or currencies, financial institutions, regulated investment companies, real estate investment trusts, tax-exempt entities, insurance companies, persons holding Notes as a part of a hedging, integrated, conversion or constructive sale transaction or a straddle, traders in securities that elect to use a mark-to-market method of accounting for their securities holdings, persons liable for alternative minimum tax or holders of Notes whose “functional currency” is not the U.S. dollar. In addition, this summary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or a “foreign personal holding company”).</w:t>
      </w:r>
    </w:p>
    <w:p>
      <w:pPr>
        <w:spacing w:after="0" w:line="107" w:lineRule="exact"/>
        <w:rPr>
          <w:sz w:val="20"/>
          <w:szCs w:val="20"/>
          <w:color w:val="auto"/>
        </w:rPr>
      </w:pPr>
    </w:p>
    <w:p>
      <w:pPr>
        <w:ind w:right="140" w:firstLine="457"/>
        <w:spacing w:after="0" w:line="268" w:lineRule="auto"/>
        <w:rPr>
          <w:sz w:val="20"/>
          <w:szCs w:val="20"/>
          <w:color w:val="auto"/>
        </w:rPr>
      </w:pPr>
      <w:r>
        <w:rPr>
          <w:rFonts w:ascii="Arial" w:cs="Arial" w:eastAsia="Arial" w:hAnsi="Arial"/>
          <w:sz w:val="15"/>
          <w:szCs w:val="15"/>
          <w:color w:val="auto"/>
        </w:rPr>
        <w:t>As used herein, a “U.S. Holder” of Notes means a beneficial owner (other than a partnership) that is for U.S. federal income tax purposes: (i) a citizen or resident of the United States; (ii) a corporation created or organized in or under the laws of the United States or any political subdivision thereof; (iii) an estate the income of which is subject to U.S. federal income taxation regardless of its source; or (iv) a trust if it (a) is subject to the primary supervision of a court within the United States and one or more U.S. persons have the authority to control all substantial decisions of the trust or (b) has a valid election in effect under applicable U.S. Treasury regulations to be treated as a U.S. person. A “Non-U.S. Holder” is a holder that is not a U.S. Holder.</w:t>
      </w:r>
    </w:p>
    <w:p>
      <w:pPr>
        <w:spacing w:after="0" w:line="106" w:lineRule="exact"/>
        <w:rPr>
          <w:sz w:val="20"/>
          <w:szCs w:val="20"/>
          <w:color w:val="auto"/>
        </w:rPr>
      </w:pPr>
    </w:p>
    <w:p>
      <w:pPr>
        <w:ind w:right="320" w:firstLine="457"/>
        <w:spacing w:after="0" w:line="291" w:lineRule="auto"/>
        <w:rPr>
          <w:sz w:val="20"/>
          <w:szCs w:val="20"/>
          <w:color w:val="auto"/>
        </w:rPr>
      </w:pPr>
      <w:r>
        <w:rPr>
          <w:rFonts w:ascii="Arial" w:cs="Arial" w:eastAsia="Arial" w:hAnsi="Arial"/>
          <w:sz w:val="15"/>
          <w:szCs w:val="15"/>
          <w:color w:val="auto"/>
        </w:rPr>
        <w:t>If a partnership holds Notes, the tax treatment of a partner will generally depend upon the status of the partner and the activities of the partnership. Persons who are partners of partnerships holding Notes should consult their own tax advisors.</w:t>
      </w:r>
    </w:p>
    <w:p>
      <w:pPr>
        <w:spacing w:after="0" w:line="83" w:lineRule="exact"/>
        <w:rPr>
          <w:sz w:val="20"/>
          <w:szCs w:val="20"/>
          <w:color w:val="auto"/>
        </w:rPr>
      </w:pPr>
    </w:p>
    <w:p>
      <w:pPr>
        <w:ind w:right="500" w:firstLine="457"/>
        <w:spacing w:after="0" w:line="379" w:lineRule="auto"/>
        <w:rPr>
          <w:sz w:val="20"/>
          <w:szCs w:val="20"/>
          <w:color w:val="auto"/>
        </w:rPr>
      </w:pPr>
      <w:r>
        <w:rPr>
          <w:rFonts w:ascii="Arial" w:cs="Arial" w:eastAsia="Arial" w:hAnsi="Arial"/>
          <w:sz w:val="13"/>
          <w:szCs w:val="13"/>
          <w:b w:val="1"/>
          <w:bCs w:val="1"/>
          <w:color w:val="auto"/>
        </w:rPr>
        <w:t>We advise you to consult your own tax advisors regarding the tax consequences to you of the acquisition, ownership, exchange and sale of the Notes, including the federal, state, local, foreign and other tax consequences of such acquisition, ownership, exchange and sale and of potential changes in applicable tax laws.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Exchange</w:t>
      </w:r>
    </w:p>
    <w:p>
      <w:pPr>
        <w:spacing w:after="0" w:line="78" w:lineRule="exact"/>
        <w:rPr>
          <w:sz w:val="20"/>
          <w:szCs w:val="20"/>
          <w:color w:val="auto"/>
        </w:rPr>
      </w:pPr>
    </w:p>
    <w:p>
      <w:pPr>
        <w:jc w:val="both"/>
        <w:ind w:right="360" w:firstLine="457"/>
        <w:spacing w:after="0" w:line="304" w:lineRule="auto"/>
        <w:rPr>
          <w:sz w:val="20"/>
          <w:szCs w:val="20"/>
          <w:color w:val="auto"/>
        </w:rPr>
      </w:pPr>
      <w:r>
        <w:rPr>
          <w:rFonts w:ascii="Arial" w:cs="Arial" w:eastAsia="Arial" w:hAnsi="Arial"/>
          <w:sz w:val="14"/>
          <w:szCs w:val="14"/>
          <w:color w:val="auto"/>
        </w:rPr>
        <w:t>The exchange of the Original Notes for the Exchange Notes pursuant to the exchange offer will not constitute a taxable event to holders for U.S. federal income tax purposes. Consequently, (i) no gain or loss will be recognized by a holder upon receipt of an Exchange Note, (ii) the holding period of the Exchange Note will include the holding period of the Original Note and (iii) the tax basis of the Exchange Note will be the same as the tax basis of the Original Note immediately before the exchange.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40"/>
          </w:cols>
          <w:pgMar w:left="240" w:top="417" w:right="21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Holders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45"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Interest on a Note generally will be taxable to a U.S. Holder as ordinary income at the time it is paid or accrued in accordance with the U.S. Holder’s method of accounting for tax purposes.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Market Discount</w:t>
      </w:r>
    </w:p>
    <w:p>
      <w:pPr>
        <w:spacing w:after="0" w:line="145" w:lineRule="exact"/>
        <w:rPr>
          <w:sz w:val="20"/>
          <w:szCs w:val="20"/>
          <w:color w:val="auto"/>
        </w:rPr>
      </w:pPr>
    </w:p>
    <w:p>
      <w:pPr>
        <w:ind w:right="140" w:firstLine="457"/>
        <w:spacing w:after="0" w:line="319" w:lineRule="auto"/>
        <w:rPr>
          <w:sz w:val="20"/>
          <w:szCs w:val="20"/>
          <w:color w:val="auto"/>
        </w:rPr>
      </w:pPr>
      <w:r>
        <w:rPr>
          <w:rFonts w:ascii="Arial" w:cs="Arial" w:eastAsia="Arial" w:hAnsi="Arial"/>
          <w:sz w:val="13"/>
          <w:szCs w:val="13"/>
          <w:color w:val="auto"/>
        </w:rPr>
        <w:t>If a U.S. Holder purchased an Original Note for an amount that was less than its adjusted issue price, the amount of the difference is treated as “market discount” for U.S. federal income tax purposes, unless that difference is less than a specified de minimis amount. Under the market discount rules, a U.S. Holder will be required to treat any payment (other than qualified stated interest) on, or any gain on the sale, exchange, retirement or other disposition of, a Note as ordinary income to the extent of the market discount that the U.S. Holder has not previously included in income and is treated as having accrued on the Note at the time of its payment or disposition. In addition, a U.S. Holder may be required to defer, until the maturity of the Note or its earlier disposition in a taxable transaction, the deduction of all or a portion of the interest expense on any indebtedness attributable to the Note.</w:t>
      </w:r>
    </w:p>
    <w:p>
      <w:pPr>
        <w:spacing w:after="0" w:line="75" w:lineRule="exact"/>
        <w:rPr>
          <w:sz w:val="20"/>
          <w:szCs w:val="20"/>
          <w:color w:val="auto"/>
        </w:rPr>
      </w:pPr>
    </w:p>
    <w:p>
      <w:pPr>
        <w:ind w:firstLine="457"/>
        <w:spacing w:after="0" w:line="268" w:lineRule="auto"/>
        <w:rPr>
          <w:sz w:val="20"/>
          <w:szCs w:val="20"/>
          <w:color w:val="auto"/>
        </w:rPr>
      </w:pPr>
      <w:r>
        <w:rPr>
          <w:rFonts w:ascii="Arial" w:cs="Arial" w:eastAsia="Arial" w:hAnsi="Arial"/>
          <w:sz w:val="15"/>
          <w:szCs w:val="15"/>
          <w:color w:val="auto"/>
        </w:rPr>
        <w:t>Any market discount will be considered to accrue ratably during the period from the date of acquisition to the maturity date of the Note, unless a U.S. Holder elects to accrue on a constant interest method. A U.S. Holder may elect to include market discount in income currently as it accrues, on either a ratable or constant interest method, in which case the rule described above regarding deferral of interest deductions will not apply. A U.S. Holder’s election to include market discount in income currently, once made, applies to all market discount obligations acquired by the U.S. Holder on or after the first taxable year to which a U.S. Holder’s election applies and may not be revoked without the consent of the IRS. U.S. Holders should consult their own tax advisors before making this election.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Amortizable Bond Premium</w:t>
      </w:r>
    </w:p>
    <w:p>
      <w:pPr>
        <w:spacing w:after="0" w:line="74" w:lineRule="exact"/>
        <w:rPr>
          <w:sz w:val="20"/>
          <w:szCs w:val="20"/>
          <w:color w:val="auto"/>
        </w:rPr>
      </w:pPr>
    </w:p>
    <w:p>
      <w:pPr>
        <w:ind w:right="20" w:firstLine="457"/>
        <w:spacing w:after="0" w:line="286" w:lineRule="auto"/>
        <w:rPr>
          <w:sz w:val="20"/>
          <w:szCs w:val="20"/>
          <w:color w:val="auto"/>
        </w:rPr>
      </w:pPr>
      <w:r>
        <w:rPr>
          <w:rFonts w:ascii="Arial" w:cs="Arial" w:eastAsia="Arial" w:hAnsi="Arial"/>
          <w:sz w:val="14"/>
          <w:szCs w:val="14"/>
          <w:color w:val="auto"/>
        </w:rPr>
        <w:t>If a U.S. Holder purchased an Original Note at a price that exceeds the amount payable at the maturity of the Original Note (not taking into account any portion of the purchase price attributable to accrued but unpaid interest, if any), the U.S. Holder will be considered to have purchased the Original Note at a “premium.” A U.S. Holder generally may elect to amortize the premium over the remaining term of the Note on a constant yield method as an offset to interest when includible in income under the U.S. Holder’s regular accounting method. In the case of instruments that provide for alternative payment schedules, such as the Original Notes and the Exchange Notes, amortizable bond premium is calculated by assuming that (i) a U.S. Holder will exercise or not exercise options in a manner that maximizes the U.S. Holder’s yield, and (ii) we will exercise or not exercise options in a manner that minimizes the U.S. Holder’s yield (except that we will be assumed to exercise call options in a manner that maximizes the U.S. Holder’s yield). If a U.S. Holder does not elect to amortize bond premium, that premium will decrease the gain or increase the loss the U.S. Holder would otherwise recognize on disposition of a Note. A U.S. Holder’s election to amortize premium on a constant yield method also will apply to all debt obligations held or subsequently acquired by the U.S. Holder on or after the first day of the first taxable year to which the election applies. A U.S. Holder may not revoke the election without the consent of the IRS. U.S. Holders should consult their own tax advisors before making this election.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Disposition of Notes</w:t>
      </w:r>
    </w:p>
    <w:p>
      <w:pPr>
        <w:spacing w:after="0" w:line="74" w:lineRule="exact"/>
        <w:rPr>
          <w:sz w:val="20"/>
          <w:szCs w:val="20"/>
          <w:color w:val="auto"/>
        </w:rPr>
      </w:pPr>
    </w:p>
    <w:p>
      <w:pPr>
        <w:ind w:right="60" w:firstLine="457"/>
        <w:spacing w:after="0" w:line="337" w:lineRule="auto"/>
        <w:rPr>
          <w:sz w:val="20"/>
          <w:szCs w:val="20"/>
          <w:color w:val="auto"/>
        </w:rPr>
      </w:pPr>
      <w:r>
        <w:rPr>
          <w:rFonts w:ascii="Arial" w:cs="Arial" w:eastAsia="Arial" w:hAnsi="Arial"/>
          <w:sz w:val="13"/>
          <w:szCs w:val="13"/>
          <w:color w:val="auto"/>
        </w:rPr>
        <w:t>A U.S. Holder’s tax basis in a Note will be, in general, the U.S. Holder’s cost therefor, reduced by any amortized premium. Upon the sale, exchange, retirement or other disposition of a Note, a U.S. Holder will recognize gain or loss equal to the difference between the amount realized upon the sale, exchange, retirement or other disposition (not including an amount equal to any accrued interest which will be treated as a payment of interest for federal income tax purposes) and the adjusted tax basis of the Note. Capital gains of individuals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20"/>
          </w:cols>
          <w:pgMar w:left="240" w:top="417"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derived in respect of capital assets held for more than one year are eligible for reduced rates of taxation. The deductibility of capital losses is subject to limitations.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74" w:lineRule="exact"/>
        <w:rPr>
          <w:sz w:val="20"/>
          <w:szCs w:val="20"/>
          <w:color w:val="auto"/>
        </w:rPr>
      </w:pPr>
    </w:p>
    <w:p>
      <w:pPr>
        <w:ind w:right="100" w:firstLine="457"/>
        <w:spacing w:after="0" w:line="276" w:lineRule="auto"/>
        <w:rPr>
          <w:sz w:val="20"/>
          <w:szCs w:val="20"/>
          <w:color w:val="auto"/>
        </w:rPr>
      </w:pPr>
      <w:r>
        <w:rPr>
          <w:rFonts w:ascii="Arial" w:cs="Arial" w:eastAsia="Arial" w:hAnsi="Arial"/>
          <w:sz w:val="15"/>
          <w:szCs w:val="15"/>
          <w:color w:val="auto"/>
        </w:rPr>
        <w:t>In general, information reporting requirements will apply to certain payments of principal, interest and premium paid on the Notes and to the proceeds of sale of a Note paid to a U.S. Holder (unless the U.S. Holder is an exempt recipient such as a corporation). A backup withholding tax will apply to such payments if a U.S. Holder fails to provide a taxpayer identification number or a certification of exempt status or fails to report in full dividend and interest income.</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Non-U.S. Holders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74" w:lineRule="exact"/>
        <w:rPr>
          <w:sz w:val="20"/>
          <w:szCs w:val="20"/>
          <w:color w:val="auto"/>
        </w:rPr>
      </w:pPr>
    </w:p>
    <w:p>
      <w:pPr>
        <w:ind w:right="280" w:firstLine="457"/>
        <w:spacing w:after="0" w:line="291" w:lineRule="auto"/>
        <w:rPr>
          <w:sz w:val="20"/>
          <w:szCs w:val="20"/>
          <w:color w:val="auto"/>
        </w:rPr>
      </w:pPr>
      <w:r>
        <w:rPr>
          <w:rFonts w:ascii="Arial" w:cs="Arial" w:eastAsia="Arial" w:hAnsi="Arial"/>
          <w:sz w:val="15"/>
          <w:szCs w:val="15"/>
          <w:color w:val="auto"/>
        </w:rPr>
        <w:t>Payments of interest on the Notes to a Non-U.S. Holder will qualify for the “portfolio interest exception,” and thus will be exempt from the 30-percent withholding tax, if the holder certifies as to its nonresident status as described below and provided that:</w:t>
      </w:r>
    </w:p>
    <w:p>
      <w:pPr>
        <w:spacing w:after="0" w:line="16" w:lineRule="exact"/>
        <w:rPr>
          <w:sz w:val="20"/>
          <w:szCs w:val="20"/>
          <w:color w:val="auto"/>
        </w:rPr>
      </w:pPr>
    </w:p>
    <w:p>
      <w:pPr>
        <w:ind w:left="780" w:right="180" w:hanging="340"/>
        <w:spacing w:after="0" w:line="291" w:lineRule="auto"/>
        <w:tabs>
          <w:tab w:leader="none" w:pos="7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interest paid on the Notes is not effectively connected with the Non-U.S. Holder’s conduct of a trade or business in the United States (see “—Income or Gains Effectively Connected With a U.S. Trade or Business”);</w:t>
      </w:r>
    </w:p>
    <w:p>
      <w:pPr>
        <w:spacing w:after="0" w:line="16" w:lineRule="exact"/>
        <w:rPr>
          <w:rFonts w:ascii="Arial" w:cs="Arial" w:eastAsia="Arial" w:hAnsi="Arial"/>
          <w:sz w:val="15"/>
          <w:szCs w:val="15"/>
          <w:color w:val="auto"/>
        </w:rPr>
      </w:pPr>
    </w:p>
    <w:p>
      <w:pPr>
        <w:ind w:left="780" w:right="60" w:hanging="340"/>
        <w:spacing w:after="0" w:line="291" w:lineRule="auto"/>
        <w:tabs>
          <w:tab w:leader="none" w:pos="7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Non-U.S. Holder does not actually or constructively own 10 percent or more of the total combined voting power of all classes of our voting stock within the meaning of the Code and applicable U.S. Treasury regulations;</w:t>
      </w:r>
    </w:p>
    <w:p>
      <w:pPr>
        <w:spacing w:after="0" w:line="16" w:lineRule="exact"/>
        <w:rPr>
          <w:rFonts w:ascii="Arial" w:cs="Arial" w:eastAsia="Arial" w:hAnsi="Arial"/>
          <w:sz w:val="15"/>
          <w:szCs w:val="15"/>
          <w:color w:val="auto"/>
        </w:rPr>
      </w:pPr>
    </w:p>
    <w:p>
      <w:pPr>
        <w:ind w:left="780" w:hanging="340"/>
        <w:spacing w:after="0"/>
        <w:tabs>
          <w:tab w:leader="none" w:pos="7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Non-U.S. Holder is not a controlled foreign corporation that is related to us, actually or constructively, through stock ownership; and</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Non-U.S. Holder is not a bank whose receipt of interest on the Notes is described in Section 881(c)(3)(A) of the Code.</w:t>
      </w:r>
    </w:p>
    <w:p>
      <w:pPr>
        <w:spacing w:after="0" w:line="145"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In general, a foreign corporation is a controlled foreign corporation if more than 50 percent of its stock is owned, directly or indirectly, by one or more U.S. persons that each owns, directly or indirectly, at least 10 percent of the corporation’s voting stock.</w:t>
      </w:r>
    </w:p>
    <w:p>
      <w:pPr>
        <w:spacing w:after="0" w:line="87" w:lineRule="exact"/>
        <w:rPr>
          <w:sz w:val="20"/>
          <w:szCs w:val="20"/>
          <w:color w:val="auto"/>
        </w:rPr>
      </w:pPr>
    </w:p>
    <w:p>
      <w:pPr>
        <w:ind w:firstLine="457"/>
        <w:spacing w:after="0" w:line="337" w:lineRule="auto"/>
        <w:rPr>
          <w:sz w:val="20"/>
          <w:szCs w:val="20"/>
          <w:color w:val="auto"/>
        </w:rPr>
      </w:pPr>
      <w:r>
        <w:rPr>
          <w:rFonts w:ascii="Arial" w:cs="Arial" w:eastAsia="Arial" w:hAnsi="Arial"/>
          <w:sz w:val="13"/>
          <w:szCs w:val="13"/>
          <w:color w:val="auto"/>
        </w:rPr>
        <w:t>A Non-U.S. Holder can meet the certification requirement disclosed above by providing a Form W-8BEN or appropriate substitute form to us, or our paying agent, certifying, under penalties of perjury, that it is not a U.S. person. If the holder holds the Note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w:t>
      </w:r>
    </w:p>
    <w:p>
      <w:pPr>
        <w:spacing w:after="0" w:line="63"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For payments made to a foreign partnership or other flow-through entity, the certification requirements generally apply to the partners or other owners rather than the partnership or other entity, and the partnership or other entity must provide the partners’ or owners’ documentation to us or our paying agent.</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Disposition of Notes</w:t>
      </w:r>
    </w:p>
    <w:p>
      <w:pPr>
        <w:spacing w:after="0" w:line="74"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Non-U.S. Holders generally will not be subject to U.S. federal income tax on any gain realized on the sale, exchange, retirement or other disposition of Notes. This general rule, however, is subject to exceptions. The gain would be subject to U.S. federal income tax if:</w:t>
      </w:r>
    </w:p>
    <w:p>
      <w:pPr>
        <w:spacing w:after="0" w:line="16" w:lineRule="exact"/>
        <w:rPr>
          <w:sz w:val="20"/>
          <w:szCs w:val="20"/>
          <w:color w:val="auto"/>
        </w:rPr>
      </w:pPr>
    </w:p>
    <w:p>
      <w:pPr>
        <w:ind w:left="780" w:hanging="340"/>
        <w:spacing w:after="0"/>
        <w:tabs>
          <w:tab w:leader="none" w:pos="7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or</w:t>
      </w:r>
    </w:p>
    <w:p>
      <w:pPr>
        <w:spacing w:after="0" w:line="74" w:lineRule="exact"/>
        <w:rPr>
          <w:rFonts w:ascii="Arial" w:cs="Arial" w:eastAsia="Arial" w:hAnsi="Arial"/>
          <w:sz w:val="15"/>
          <w:szCs w:val="15"/>
          <w:color w:val="auto"/>
        </w:rPr>
      </w:pPr>
    </w:p>
    <w:p>
      <w:pPr>
        <w:ind w:left="780" w:hanging="340"/>
        <w:spacing w:after="0"/>
        <w:tabs>
          <w:tab w:leader="none" w:pos="7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Non-U.S. Holder is an individual present in the United States for 183 days or more in the taxable year of that disposition, and certain other conditions are met.</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340"/>
          </w:cols>
          <w:pgMar w:left="240" w:top="417" w:right="31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Income or Gains Effectively Connected With a U.S. Trade or Business</w:t>
      </w:r>
    </w:p>
    <w:p>
      <w:pPr>
        <w:spacing w:after="0" w:line="74" w:lineRule="exact"/>
        <w:rPr>
          <w:sz w:val="20"/>
          <w:szCs w:val="20"/>
          <w:color w:val="auto"/>
        </w:rPr>
      </w:pPr>
    </w:p>
    <w:p>
      <w:pPr>
        <w:ind w:right="240" w:firstLine="457"/>
        <w:spacing w:after="0" w:line="271" w:lineRule="auto"/>
        <w:rPr>
          <w:sz w:val="20"/>
          <w:szCs w:val="20"/>
          <w:color w:val="auto"/>
        </w:rPr>
      </w:pPr>
      <w:r>
        <w:rPr>
          <w:rFonts w:ascii="Arial" w:cs="Arial" w:eastAsia="Arial" w:hAnsi="Arial"/>
          <w:sz w:val="15"/>
          <w:szCs w:val="15"/>
          <w:color w:val="auto"/>
        </w:rPr>
        <w:t>If any interest on the Notes or gain from the sale, exchange, retirement or other disposition of the Notes is effectively connected with a U.S. trade or business conducted by the Non-U.S. Holder, then the income or gain will be subject to U.S. federal income tax at the regular graduated rates. If the Non-U.S. Holder is eligible for the benefits of a tax treaty between the United States and the holder’s country of residence, any “effectively connected” income or gain will be subject to U.S. federal income tax only if it is also attributable to a permanent establishment or fixed place of business maintained by the holder in the United States.</w:t>
      </w:r>
    </w:p>
    <w:p>
      <w:pPr>
        <w:spacing w:after="0" w:line="102"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Payments of interest that are effectively connected with a U.S. trade or business are not subject to the 30-percent withholding tax. To claim exemption from withholding, the holder must certify its qualification, which can be done by filing Form W-8ECI. If the Non-U.S. Holder is a corporation, that portion of its earnings and profits that is effectively connected with its U.S. trade or business would generally be subject to a “branch profits tax.” The branch profits tax rate is generally 30 percent, although an applicable tax treaty might provide for a lower rate.</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U.S. Federal Estate Tax</w:t>
      </w:r>
    </w:p>
    <w:p>
      <w:pPr>
        <w:spacing w:after="0" w:line="74" w:lineRule="exact"/>
        <w:rPr>
          <w:sz w:val="20"/>
          <w:szCs w:val="20"/>
          <w:color w:val="auto"/>
        </w:rPr>
      </w:pPr>
    </w:p>
    <w:p>
      <w:pPr>
        <w:jc w:val="both"/>
        <w:ind w:right="80" w:firstLine="457"/>
        <w:spacing w:after="0" w:line="304" w:lineRule="auto"/>
        <w:rPr>
          <w:sz w:val="20"/>
          <w:szCs w:val="20"/>
          <w:color w:val="auto"/>
        </w:rPr>
      </w:pPr>
      <w:r>
        <w:rPr>
          <w:rFonts w:ascii="Arial" w:cs="Arial" w:eastAsia="Arial" w:hAnsi="Arial"/>
          <w:sz w:val="14"/>
          <w:szCs w:val="14"/>
          <w:color w:val="auto"/>
        </w:rPr>
        <w:t>A Non-U.S. Holder will not be subject to U.S. federal estate tax on the Notes if interest on the Notes paid immediately before the death of the holder would have qualified for the portfolio interest exception described above under “—Non-U.S. Holders—Taxation of Interest” (without regard to the certification requirement disclosed therein). The U.S. federal estate tax liability of the estate of a nonresident alien may be affected by a tax treaty between the United States and the decedent’s country of residence.</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Backup Withholding and Information Reporting</w:t>
      </w:r>
    </w:p>
    <w:p>
      <w:pPr>
        <w:spacing w:after="0" w:line="74" w:lineRule="exact"/>
        <w:rPr>
          <w:sz w:val="20"/>
          <w:szCs w:val="20"/>
          <w:color w:val="auto"/>
        </w:rPr>
      </w:pPr>
    </w:p>
    <w:p>
      <w:pPr>
        <w:jc w:val="both"/>
        <w:ind w:right="20" w:firstLine="457"/>
        <w:spacing w:after="0" w:line="304" w:lineRule="auto"/>
        <w:rPr>
          <w:sz w:val="20"/>
          <w:szCs w:val="20"/>
          <w:color w:val="auto"/>
        </w:rPr>
      </w:pPr>
      <w:r>
        <w:rPr>
          <w:rFonts w:ascii="Arial" w:cs="Arial" w:eastAsia="Arial" w:hAnsi="Arial"/>
          <w:sz w:val="14"/>
          <w:szCs w:val="14"/>
          <w:color w:val="auto"/>
        </w:rPr>
        <w:t>In general, no backup withholding will be required with respect to payments we make with regard to the Notes to a Non-U.S. Holder if the holder has provided us with a Form W-8BEN (or a suitable substitute form) directly or through an intermediary or otherwise establishes an exemption and we do not have actual knowledge or reason to know that the holder is a U.S. person. However, interest paid to Non-U.S. Holders will be subject to information reporting requirements, even if no tax is required to be withheld from such payments.</w:t>
      </w:r>
    </w:p>
    <w:p>
      <w:pPr>
        <w:spacing w:after="0" w:line="81"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Any amounts withheld under the backup withholding rules will be allowed as a credit against a holder’s U.S. federal income tax liability provided the required information is furnished to the IRS.</w:t>
      </w:r>
    </w:p>
    <w:p>
      <w:pPr>
        <w:spacing w:after="0" w:line="83" w:lineRule="exact"/>
        <w:rPr>
          <w:sz w:val="20"/>
          <w:szCs w:val="20"/>
          <w:color w:val="auto"/>
        </w:rPr>
      </w:pPr>
    </w:p>
    <w:p>
      <w:pPr>
        <w:ind w:right="120" w:firstLine="457"/>
        <w:spacing w:after="0" w:line="279" w:lineRule="auto"/>
        <w:rPr>
          <w:sz w:val="20"/>
          <w:szCs w:val="20"/>
          <w:color w:val="auto"/>
        </w:rPr>
      </w:pPr>
      <w:r>
        <w:rPr>
          <w:rFonts w:ascii="Arial" w:cs="Arial" w:eastAsia="Arial" w:hAnsi="Arial"/>
          <w:sz w:val="15"/>
          <w:szCs w:val="15"/>
          <w:b w:val="1"/>
          <w:bCs w:val="1"/>
          <w:color w:val="auto"/>
        </w:rPr>
        <w:t>The preceding discussion of certain U.S. federal tax considerations is for general information only. It is not tax advice. Each prospective investor should consult its own tax advisors regarding the particular U.S. federal, state, local and foreign tax consequences of purchasing, holding and disposing of our Notes, including the consequences of any proposed change in applicable laws.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417"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ERISA CONSIDERATIONS</w:t>
      </w:r>
    </w:p>
    <w:p>
      <w:pPr>
        <w:spacing w:after="0" w:line="149" w:lineRule="exact"/>
        <w:rPr>
          <w:sz w:val="20"/>
          <w:szCs w:val="20"/>
          <w:color w:val="auto"/>
        </w:rPr>
      </w:pPr>
    </w:p>
    <w:p>
      <w:pPr>
        <w:ind w:firstLine="457"/>
        <w:spacing w:after="0" w:line="271" w:lineRule="auto"/>
        <w:rPr>
          <w:sz w:val="20"/>
          <w:szCs w:val="20"/>
          <w:color w:val="auto"/>
        </w:rPr>
      </w:pPr>
      <w:r>
        <w:rPr>
          <w:rFonts w:ascii="Arial" w:cs="Arial" w:eastAsia="Arial" w:hAnsi="Arial"/>
          <w:sz w:val="15"/>
          <w:szCs w:val="15"/>
          <w:color w:val="auto"/>
        </w:rPr>
        <w:t>The following is a summary of certain considerations associated with the purchase of the notes and Exchange Notes by employee benefit plans that are subject to Title I of ERISA, plans, individual retirement accounts and other arrangements that are subject to Section 4975 of the Code or provisions under any federal, state, local, non-U.S. or other laws or regulations that are substantially similar to the provisions of Title I of ERISA or Section 4975 of the Code (“Similar Laws”), and entities whose underlying assets are considered to include “plan assets” of such plans, accounts and arrangements (each, a “Plan”).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Fiduciary Matters</w:t>
      </w:r>
    </w:p>
    <w:p>
      <w:pPr>
        <w:spacing w:after="0" w:line="78"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02" w:lineRule="exact"/>
        <w:rPr>
          <w:sz w:val="20"/>
          <w:szCs w:val="20"/>
          <w:color w:val="auto"/>
        </w:rPr>
      </w:pPr>
    </w:p>
    <w:p>
      <w:pPr>
        <w:ind w:right="360" w:firstLine="457"/>
        <w:spacing w:after="0" w:line="304" w:lineRule="auto"/>
        <w:rPr>
          <w:sz w:val="20"/>
          <w:szCs w:val="20"/>
          <w:color w:val="auto"/>
        </w:rPr>
      </w:pPr>
      <w:r>
        <w:rPr>
          <w:rFonts w:ascii="Arial" w:cs="Arial" w:eastAsia="Arial" w:hAnsi="Arial"/>
          <w:sz w:val="14"/>
          <w:szCs w:val="14"/>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Prohibited Transaction Issues</w:t>
      </w:r>
    </w:p>
    <w:p>
      <w:pPr>
        <w:spacing w:after="0" w:line="78" w:lineRule="exact"/>
        <w:rPr>
          <w:sz w:val="20"/>
          <w:szCs w:val="20"/>
          <w:color w:val="auto"/>
        </w:rPr>
      </w:pPr>
    </w:p>
    <w:p>
      <w:pPr>
        <w:ind w:right="60" w:firstLine="457"/>
        <w:spacing w:after="0" w:line="309" w:lineRule="auto"/>
        <w:rPr>
          <w:sz w:val="20"/>
          <w:szCs w:val="20"/>
          <w:color w:val="auto"/>
        </w:rPr>
      </w:pPr>
      <w:r>
        <w:rPr>
          <w:rFonts w:ascii="Arial" w:cs="Arial" w:eastAsia="Arial" w:hAnsi="Arial"/>
          <w:sz w:val="13"/>
          <w:szCs w:val="13"/>
          <w:color w:val="auto"/>
        </w:rPr>
        <w:t>Section 406 of ERISA and Section 4975 of the Code prohibit ERISA Plans from engaging in specified transactions involving plan assets with persons or entitles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we or the initial purchasers are considered a party in interest or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 determined by in-house asset managers, although there can be no assurance that all of the conditions of any such exemptions will be satisfied.</w:t>
      </w:r>
    </w:p>
    <w:p>
      <w:pPr>
        <w:spacing w:after="0" w:line="84" w:lineRule="exact"/>
        <w:rPr>
          <w:sz w:val="20"/>
          <w:szCs w:val="20"/>
          <w:color w:val="auto"/>
        </w:rPr>
      </w:pPr>
    </w:p>
    <w:p>
      <w:pPr>
        <w:ind w:right="100" w:firstLine="457"/>
        <w:spacing w:after="0" w:line="329" w:lineRule="auto"/>
        <w:rPr>
          <w:sz w:val="20"/>
          <w:szCs w:val="20"/>
          <w:color w:val="auto"/>
        </w:rPr>
      </w:pPr>
      <w:r>
        <w:rPr>
          <w:rFonts w:ascii="Arial" w:cs="Arial" w:eastAsia="Arial" w:hAnsi="Arial"/>
          <w:sz w:val="14"/>
          <w:szCs w:val="14"/>
          <w:color w:val="auto"/>
        </w:rPr>
        <w:t>Because of the foregoing, the Notes should not be purchased or held by any person investing “plan assets” of any Plan, unless such purchase and holding (and the exchange of the Original Notes for Exchange Notes) will not constitute a non-exempt prohibited transaction under ERISA and the Code or violation of any applicable Similar Laws.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40"/>
          </w:cols>
          <w:pgMar w:left="240" w:top="417" w:right="21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Representation</w:t>
      </w:r>
    </w:p>
    <w:p>
      <w:pPr>
        <w:spacing w:after="0" w:line="78" w:lineRule="exact"/>
        <w:rPr>
          <w:sz w:val="20"/>
          <w:szCs w:val="20"/>
          <w:color w:val="auto"/>
        </w:rPr>
      </w:pPr>
    </w:p>
    <w:p>
      <w:pPr>
        <w:ind w:right="40" w:firstLine="457"/>
        <w:spacing w:after="0" w:line="271" w:lineRule="auto"/>
        <w:rPr>
          <w:sz w:val="20"/>
          <w:szCs w:val="20"/>
          <w:color w:val="auto"/>
        </w:rPr>
      </w:pPr>
      <w:r>
        <w:rPr>
          <w:rFonts w:ascii="Arial" w:cs="Arial" w:eastAsia="Arial" w:hAnsi="Arial"/>
          <w:sz w:val="15"/>
          <w:szCs w:val="15"/>
          <w:color w:val="auto"/>
        </w:rPr>
        <w:t>Accordingly, by acceptance of an Original Note or an Exchange Note, each purchaser and subsequent transferee will be deemed to have represented and warranted that either (1) no portion of the assets used by such purchaser or transferee to acquire and hold the Notes constitutes assets of any Plan or (2) the purchase and holding of the Notes (and the exchange of Original Notes for Exchange Notes) by such purchaser or transferee will not constitute a non-exempt prohibited transaction under Section 406 of ERISA or Section 4975 of the Code or a violation under any applicable Similar Laws.</w:t>
      </w:r>
    </w:p>
    <w:p>
      <w:pPr>
        <w:spacing w:after="0" w:line="102"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exchanging the Original Notes) on behalf of, or with the assets of, any Plan, consult with their counsel regarding the potential applicability of ERISA, Section 4975 of the Code and any Similar Laws to such transaction and whether an exemption would be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49" w:lineRule="exact"/>
        <w:rPr>
          <w:sz w:val="20"/>
          <w:szCs w:val="20"/>
          <w:color w:val="auto"/>
        </w:rPr>
      </w:pPr>
    </w:p>
    <w:p>
      <w:pPr>
        <w:ind w:right="20" w:firstLine="457"/>
        <w:spacing w:after="0" w:line="304" w:lineRule="auto"/>
        <w:rPr>
          <w:sz w:val="20"/>
          <w:szCs w:val="20"/>
          <w:color w:val="auto"/>
        </w:rPr>
      </w:pPr>
      <w:r>
        <w:rPr>
          <w:rFonts w:ascii="Arial" w:cs="Arial" w:eastAsia="Arial" w:hAnsi="Arial"/>
          <w:sz w:val="13"/>
          <w:szCs w:val="13"/>
          <w:color w:val="auto"/>
        </w:rPr>
        <w:t>Each broker-dealer that receives Exchange Notes for its own account pursuant to the exchange offer must acknowledge that it will deliver a prospectus in connection with any resale of the Exchange Notes. Broker-dealers may use this prospectus, as it may be amended or supplemented from time to time, in connection with the resale of Exchange Notes received in exchange for Original Notes where the broker-dealer acquired the Original Notes as a result of market-making activities or other trading activities. We have agreed that, starting on the expiration date and ending on the close of business one year after the expiration date, we will make this prospectus, as amended or supplemented, available to any broker-dealer that</w:t>
      </w:r>
    </w:p>
    <w:p>
      <w:pPr>
        <w:ind w:right="140"/>
        <w:spacing w:after="0" w:line="282" w:lineRule="auto"/>
        <w:rPr>
          <w:sz w:val="20"/>
          <w:szCs w:val="20"/>
          <w:color w:val="auto"/>
        </w:rPr>
      </w:pPr>
      <w:r>
        <w:rPr>
          <w:rFonts w:ascii="Arial" w:cs="Arial" w:eastAsia="Arial" w:hAnsi="Arial"/>
          <w:sz w:val="15"/>
          <w:szCs w:val="15"/>
          <w:color w:val="auto"/>
        </w:rPr>
        <w:t>requests it in the letter of transmittal for use in connection with any such resale. In addition, until , 2004, all dealers effecting transactions in the Exchange Notes may be required to deliver a prospectus.</w:t>
      </w:r>
    </w:p>
    <w:p>
      <w:pPr>
        <w:spacing w:after="0" w:line="94" w:lineRule="exact"/>
        <w:rPr>
          <w:sz w:val="20"/>
          <w:szCs w:val="20"/>
          <w:color w:val="auto"/>
        </w:rPr>
      </w:pPr>
    </w:p>
    <w:p>
      <w:pPr>
        <w:jc w:val="both"/>
        <w:ind w:firstLine="457"/>
        <w:spacing w:after="0" w:line="304" w:lineRule="auto"/>
        <w:rPr>
          <w:sz w:val="20"/>
          <w:szCs w:val="20"/>
          <w:color w:val="auto"/>
        </w:rPr>
      </w:pPr>
      <w:r>
        <w:rPr>
          <w:rFonts w:ascii="Arial" w:cs="Arial" w:eastAsia="Arial" w:hAnsi="Arial"/>
          <w:sz w:val="13"/>
          <w:szCs w:val="13"/>
          <w:color w:val="auto"/>
        </w:rPr>
        <w:t>We will not receive any proceeds from any sale of Exchange Notes by broker-dealers or any other persons. Broker-dealers may sell Exchange Notes received by broker-dealers for their own account pursuant to the exchange offer from time to time in one or more transactions in the over-the-counter market, in negotiated transactions, through the writing of options on the Exchange Notes or a combination of such methods of resale, at market prices prevailing at the time of resale, at prices related to the prevailing market prices or negotiated prices.</w:t>
      </w:r>
    </w:p>
    <w:p>
      <w:pPr>
        <w:spacing w:after="0" w:line="2" w:lineRule="exact"/>
        <w:rPr>
          <w:sz w:val="20"/>
          <w:szCs w:val="20"/>
          <w:color w:val="auto"/>
        </w:rPr>
      </w:pPr>
    </w:p>
    <w:p>
      <w:pPr>
        <w:jc w:val="both"/>
        <w:ind w:right="40"/>
        <w:spacing w:after="0" w:line="265" w:lineRule="auto"/>
        <w:rPr>
          <w:sz w:val="20"/>
          <w:szCs w:val="20"/>
          <w:color w:val="auto"/>
        </w:rPr>
      </w:pPr>
      <w:r>
        <w:rPr>
          <w:rFonts w:ascii="Arial" w:cs="Arial" w:eastAsia="Arial" w:hAnsi="Arial"/>
          <w:sz w:val="15"/>
          <w:szCs w:val="15"/>
          <w:color w:val="auto"/>
        </w:rPr>
        <w:t>Broker-dealers may resell Exchange Notes directly to purchasers or to or through brokers or dealers who may receive compensation in the form of commissions or concessions from any broker-dealer and/or the purchasers of the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08" w:lineRule="exact"/>
        <w:rPr>
          <w:sz w:val="20"/>
          <w:szCs w:val="20"/>
          <w:color w:val="auto"/>
        </w:rPr>
      </w:pPr>
    </w:p>
    <w:p>
      <w:pPr>
        <w:ind w:right="40" w:firstLine="457"/>
        <w:spacing w:after="0" w:line="290" w:lineRule="auto"/>
        <w:rPr>
          <w:sz w:val="20"/>
          <w:szCs w:val="20"/>
          <w:color w:val="auto"/>
        </w:rPr>
      </w:pPr>
      <w:r>
        <w:rPr>
          <w:rFonts w:ascii="Arial" w:cs="Arial" w:eastAsia="Arial" w:hAnsi="Arial"/>
          <w:sz w:val="14"/>
          <w:szCs w:val="14"/>
          <w:color w:val="auto"/>
        </w:rPr>
        <w:t>For a period of one year after the expiration date, we will promptly send additional copies of this prospectus and any amendment or supplement of this prospectus to any broker-dealer that requests such documents in the Letter of Transmittal. We have agreed to pay all expenses incident to the Exchange Offer (including the expenses of one counsel for the holders of the securities) other than commissions or concessions of any brokers or dealers and will indemnify you against liabilities under the Securities Act. By its acceptance of the exchange offer, any broker-dealer that receives Exchange Notes pursuant to the exchange offer agrees to notify us before using the prospectus in connection with the sale or transfer of Exchange Notes. The broker-dealer further acknowledges and agrees that, upon receipt of notice from us of the happening of any event which makes any statement in the prospectus untrue in any material respect or which requires the making of any changes in the prospectus to make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20"/>
          </w:cols>
          <w:pgMar w:left="240" w:top="417"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statements in the prospectus not misleading or which may impose upon us disclosure obligations that my have a material adverse effect on us, which notice we agree to deliver promptly to the broker-dealer, the broker-dealer will suspend use of the prospectus until we have notified the broker-dealer that delivery of the prospectus may resume and have furnished copies of any amendment or supplement to the prospectus to the broker-dealer.</w:t>
      </w:r>
    </w:p>
    <w:p>
      <w:pPr>
        <w:spacing w:after="0" w:line="94"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LEGAL MATTERS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in connection with the Notes offered hereby will being passed upon for us by Vorys, Sater, Seymour and Pease LLP, Columbus, Ohio.</w:t>
      </w:r>
    </w:p>
    <w:p>
      <w:pPr>
        <w:spacing w:after="0" w:line="141"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EXPERTS</w:t>
      </w:r>
    </w:p>
    <w:p>
      <w:pPr>
        <w:spacing w:after="0" w:line="149" w:lineRule="exact"/>
        <w:rPr>
          <w:sz w:val="20"/>
          <w:szCs w:val="20"/>
          <w:color w:val="auto"/>
        </w:rPr>
      </w:pPr>
    </w:p>
    <w:p>
      <w:pPr>
        <w:ind w:right="260" w:firstLine="457"/>
        <w:spacing w:after="0" w:line="329" w:lineRule="auto"/>
        <w:rPr>
          <w:sz w:val="20"/>
          <w:szCs w:val="20"/>
          <w:color w:val="auto"/>
        </w:rPr>
      </w:pPr>
      <w:r>
        <w:rPr>
          <w:rFonts w:ascii="Arial" w:cs="Arial" w:eastAsia="Arial" w:hAnsi="Arial"/>
          <w:sz w:val="14"/>
          <w:szCs w:val="14"/>
          <w:color w:val="auto"/>
        </w:rPr>
        <w:t>The financial statements incorporated in this Prospectus by reference to the Annual Report on Form 10-K for the year ended September 30, 2003 have been so incorporated in reliance on the report of PricewaterhouseCoopers LLP, independent accountants, given on the authority of said firm as experts in auditing and accounting.</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360"/>
          </w:cols>
          <w:pgMar w:left="240" w:top="417" w:right="29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7269480"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9480" cy="2730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444500</wp:posOffset>
            </wp:positionV>
            <wp:extent cx="1163320" cy="7162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63320" cy="716280"/>
                    </a:xfrm>
                    <a:prstGeom prst="rect">
                      <a:avLst/>
                    </a:prstGeom>
                    <a:noFill/>
                  </pic:spPr>
                </pic:pic>
              </a:graphicData>
            </a:graphic>
          </wp:anchor>
        </w:drawing>
      </w:r>
    </w:p>
    <w:p>
      <w:pPr>
        <w:sectPr>
          <w:pgSz w:w="11900" w:h="16838" w:orient="portrait"/>
          <w:cols w:equalWidth="0" w:num="1">
            <w:col w:w="10219"/>
          </w:cols>
          <w:pgMar w:left="240" w:top="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$200,000,000</w:t>
      </w:r>
    </w:p>
    <w:p>
      <w:pPr>
        <w:spacing w:after="0" w:line="64"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6.625% Senior Subordinated Notes due 2013,</w:t>
      </w:r>
    </w:p>
    <w:p>
      <w:pPr>
        <w:spacing w:after="0" w:line="5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which have been registered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for an equal principal amount of its</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6.625% Senior Subordinated Notes due 2013,</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which have not been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182880</wp:posOffset>
            </wp:positionV>
            <wp:extent cx="74612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6125"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PROSPECTUS</w:t>
      </w:r>
    </w:p>
    <w:p>
      <w:pPr>
        <w:spacing w:after="0" w:line="145"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158750</wp:posOffset>
            </wp:positionV>
            <wp:extent cx="74612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61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1021080</wp:posOffset>
            </wp:positionV>
            <wp:extent cx="7269480" cy="27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ectPr>
          <w:pgSz w:w="11900" w:h="16838" w:orient="portrait"/>
          <w:cols w:equalWidth="0" w:num="1">
            <w:col w:w="10219"/>
          </w:cols>
          <w:pgMar w:left="240" w:top="417" w:right="1440"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 Indemnification of Directors and Officers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Division (E) of Section 1701.13 of the Ohio Revised Code governs indemnification by a corporation and provides as follows:</w:t>
      </w:r>
    </w:p>
    <w:p>
      <w:pPr>
        <w:spacing w:after="0" w:line="74" w:lineRule="exact"/>
        <w:rPr>
          <w:sz w:val="20"/>
          <w:szCs w:val="20"/>
          <w:color w:val="auto"/>
        </w:rPr>
      </w:pPr>
    </w:p>
    <w:p>
      <w:pPr>
        <w:ind w:left="460" w:right="20" w:firstLine="439"/>
        <w:spacing w:after="0" w:line="286" w:lineRule="auto"/>
        <w:rPr>
          <w:sz w:val="20"/>
          <w:szCs w:val="20"/>
          <w:color w:val="auto"/>
        </w:rPr>
      </w:pPr>
      <w:r>
        <w:rPr>
          <w:rFonts w:ascii="Arial" w:cs="Arial" w:eastAsia="Arial" w:hAnsi="Arial"/>
          <w:sz w:val="14"/>
          <w:szCs w:val="14"/>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23" w:lineRule="exact"/>
        <w:rPr>
          <w:sz w:val="20"/>
          <w:szCs w:val="20"/>
          <w:color w:val="auto"/>
        </w:rPr>
      </w:pPr>
    </w:p>
    <w:p>
      <w:pPr>
        <w:ind w:left="460" w:right="100" w:firstLine="431"/>
        <w:spacing w:after="0" w:line="290" w:lineRule="auto"/>
        <w:tabs>
          <w:tab w:leader="none" w:pos="1115"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9" w:lineRule="exact"/>
        <w:rPr>
          <w:rFonts w:ascii="Arial" w:cs="Arial" w:eastAsia="Arial" w:hAnsi="Arial"/>
          <w:sz w:val="14"/>
          <w:szCs w:val="14"/>
          <w:color w:val="auto"/>
        </w:rPr>
      </w:pPr>
    </w:p>
    <w:p>
      <w:pPr>
        <w:ind w:left="900" w:firstLine="430"/>
        <w:spacing w:after="0" w:line="271" w:lineRule="auto"/>
        <w:tabs>
          <w:tab w:leader="none" w:pos="152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31" w:lineRule="exact"/>
        <w:rPr>
          <w:rFonts w:ascii="Arial" w:cs="Arial" w:eastAsia="Arial" w:hAnsi="Arial"/>
          <w:sz w:val="15"/>
          <w:szCs w:val="15"/>
          <w:color w:val="auto"/>
        </w:rPr>
      </w:pPr>
    </w:p>
    <w:p>
      <w:pPr>
        <w:ind w:left="1540" w:hanging="210"/>
        <w:spacing w:after="0"/>
        <w:tabs>
          <w:tab w:leader="none" w:pos="154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Any action or suit in which the only liability asserted against a director is pursuant to section 1701.95 of the Revised Code.</w:t>
      </w:r>
    </w:p>
    <w:p>
      <w:pPr>
        <w:spacing w:after="0" w:line="74" w:lineRule="exact"/>
        <w:rPr>
          <w:rFonts w:ascii="Arial" w:cs="Arial" w:eastAsia="Arial" w:hAnsi="Arial"/>
          <w:sz w:val="15"/>
          <w:szCs w:val="15"/>
          <w:color w:val="auto"/>
        </w:rPr>
      </w:pPr>
    </w:p>
    <w:p>
      <w:pPr>
        <w:ind w:left="460" w:right="300" w:firstLine="431"/>
        <w:spacing w:after="0" w:line="276" w:lineRule="auto"/>
        <w:tabs>
          <w:tab w:leader="none" w:pos="111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7" w:lineRule="exact"/>
        <w:rPr>
          <w:rFonts w:ascii="Arial" w:cs="Arial" w:eastAsia="Arial" w:hAnsi="Arial"/>
          <w:sz w:val="15"/>
          <w:szCs w:val="15"/>
          <w:color w:val="auto"/>
        </w:rPr>
      </w:pPr>
    </w:p>
    <w:p>
      <w:pPr>
        <w:ind w:left="460" w:right="40" w:firstLine="431"/>
        <w:spacing w:after="0" w:line="329" w:lineRule="auto"/>
        <w:tabs>
          <w:tab w:leader="none" w:pos="1115"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440"/>
          </w:cols>
          <w:pgMar w:left="240" w:top="417" w:right="21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he has met the applicable standard of conduct set forth in division (E)(1) or (2) of this section. Such determination shall be made as follows:</w:t>
      </w:r>
    </w:p>
    <w:p>
      <w:pPr>
        <w:spacing w:after="0" w:line="74" w:lineRule="exact"/>
        <w:rPr>
          <w:sz w:val="20"/>
          <w:szCs w:val="20"/>
          <w:color w:val="auto"/>
        </w:rPr>
      </w:pPr>
    </w:p>
    <w:p>
      <w:pPr>
        <w:ind w:left="900" w:right="200" w:firstLine="430"/>
        <w:spacing w:after="0" w:line="291" w:lineRule="auto"/>
        <w:tabs>
          <w:tab w:leader="none" w:pos="1529"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16" w:lineRule="exact"/>
        <w:rPr>
          <w:rFonts w:ascii="Arial" w:cs="Arial" w:eastAsia="Arial" w:hAnsi="Arial"/>
          <w:sz w:val="15"/>
          <w:szCs w:val="15"/>
          <w:color w:val="auto"/>
        </w:rPr>
      </w:pPr>
    </w:p>
    <w:p>
      <w:pPr>
        <w:ind w:left="900" w:firstLine="430"/>
        <w:spacing w:after="0" w:line="276" w:lineRule="auto"/>
        <w:tabs>
          <w:tab w:leader="none" w:pos="153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27" w:lineRule="exact"/>
        <w:rPr>
          <w:rFonts w:ascii="Arial" w:cs="Arial" w:eastAsia="Arial" w:hAnsi="Arial"/>
          <w:sz w:val="15"/>
          <w:szCs w:val="15"/>
          <w:color w:val="auto"/>
        </w:rPr>
      </w:pPr>
    </w:p>
    <w:p>
      <w:pPr>
        <w:ind w:left="1540" w:hanging="210"/>
        <w:spacing w:after="0"/>
        <w:tabs>
          <w:tab w:leader="none" w:pos="15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By the shareholders; or</w:t>
      </w:r>
    </w:p>
    <w:p>
      <w:pPr>
        <w:spacing w:after="0" w:line="74" w:lineRule="exact"/>
        <w:rPr>
          <w:rFonts w:ascii="Arial" w:cs="Arial" w:eastAsia="Arial" w:hAnsi="Arial"/>
          <w:sz w:val="15"/>
          <w:szCs w:val="15"/>
          <w:color w:val="auto"/>
        </w:rPr>
      </w:pPr>
    </w:p>
    <w:p>
      <w:pPr>
        <w:ind w:left="1540" w:hanging="210"/>
        <w:spacing w:after="0"/>
        <w:tabs>
          <w:tab w:leader="none" w:pos="15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By the court of common pleas or the court in which such action, suit or proceeding referred to in division (E)(1) or (2) of this section was brought.</w:t>
      </w:r>
    </w:p>
    <w:p>
      <w:pPr>
        <w:spacing w:after="0" w:line="74" w:lineRule="exact"/>
        <w:rPr>
          <w:sz w:val="20"/>
          <w:szCs w:val="20"/>
          <w:color w:val="auto"/>
        </w:rPr>
      </w:pPr>
    </w:p>
    <w:p>
      <w:pPr>
        <w:ind w:left="460" w:right="20" w:firstLine="439"/>
        <w:spacing w:after="0" w:line="271" w:lineRule="auto"/>
        <w:rPr>
          <w:sz w:val="20"/>
          <w:szCs w:val="20"/>
          <w:color w:val="auto"/>
        </w:rPr>
      </w:pPr>
      <w:r>
        <w:rPr>
          <w:rFonts w:ascii="Arial" w:cs="Arial" w:eastAsia="Arial" w:hAnsi="Arial"/>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31" w:lineRule="exact"/>
        <w:rPr>
          <w:sz w:val="20"/>
          <w:szCs w:val="20"/>
          <w:color w:val="auto"/>
        </w:rPr>
      </w:pPr>
    </w:p>
    <w:p>
      <w:pPr>
        <w:ind w:left="460" w:right="80" w:firstLine="439"/>
        <w:spacing w:after="0" w:line="292" w:lineRule="auto"/>
        <w:rPr>
          <w:sz w:val="20"/>
          <w:szCs w:val="20"/>
          <w:color w:val="auto"/>
        </w:rPr>
      </w:pPr>
      <w:r>
        <w:rPr>
          <w:rFonts w:ascii="Arial" w:cs="Arial" w:eastAsia="Arial" w:hAnsi="Arial"/>
          <w:sz w:val="14"/>
          <w:szCs w:val="14"/>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9" w:lineRule="exact"/>
        <w:rPr>
          <w:sz w:val="20"/>
          <w:szCs w:val="20"/>
          <w:color w:val="auto"/>
        </w:rPr>
      </w:pPr>
    </w:p>
    <w:p>
      <w:pPr>
        <w:ind w:left="1480" w:firstLine="399"/>
        <w:spacing w:after="0" w:line="323" w:lineRule="auto"/>
        <w:tabs>
          <w:tab w:leader="none" w:pos="2060" w:val="left"/>
        </w:tabs>
        <w:numPr>
          <w:ilvl w:val="2"/>
          <w:numId w:val="119"/>
        </w:numPr>
        <w:rPr>
          <w:rFonts w:ascii="Arial" w:cs="Arial" w:eastAsia="Arial" w:hAnsi="Arial"/>
          <w:sz w:val="14"/>
          <w:szCs w:val="14"/>
          <w:color w:val="auto"/>
        </w:rPr>
      </w:pPr>
      <w:r>
        <w:rPr>
          <w:rFonts w:ascii="Arial" w:cs="Arial" w:eastAsia="Arial" w:hAnsi="Arial"/>
          <w:sz w:val="14"/>
          <w:szCs w:val="14"/>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 w:lineRule="exact"/>
        <w:rPr>
          <w:rFonts w:ascii="Arial" w:cs="Arial" w:eastAsia="Arial" w:hAnsi="Arial"/>
          <w:sz w:val="14"/>
          <w:szCs w:val="14"/>
          <w:color w:val="auto"/>
        </w:rPr>
      </w:pPr>
    </w:p>
    <w:p>
      <w:pPr>
        <w:ind w:left="2100" w:hanging="221"/>
        <w:spacing w:after="0"/>
        <w:tabs>
          <w:tab w:leader="none" w:pos="2100" w:val="left"/>
        </w:tabs>
        <w:numPr>
          <w:ilvl w:val="2"/>
          <w:numId w:val="119"/>
        </w:numPr>
        <w:rPr>
          <w:rFonts w:ascii="Arial" w:cs="Arial" w:eastAsia="Arial" w:hAnsi="Arial"/>
          <w:sz w:val="15"/>
          <w:szCs w:val="15"/>
          <w:color w:val="auto"/>
        </w:rPr>
      </w:pPr>
      <w:r>
        <w:rPr>
          <w:rFonts w:ascii="Arial" w:cs="Arial" w:eastAsia="Arial" w:hAnsi="Arial"/>
          <w:sz w:val="15"/>
          <w:szCs w:val="15"/>
          <w:color w:val="auto"/>
        </w:rPr>
        <w:t>Reasonably cooperate with the corporation concerning the action, suit, or proceeding.</w:t>
      </w:r>
    </w:p>
    <w:p>
      <w:pPr>
        <w:spacing w:after="0" w:line="74" w:lineRule="exact"/>
        <w:rPr>
          <w:rFonts w:ascii="Arial" w:cs="Arial" w:eastAsia="Arial" w:hAnsi="Arial"/>
          <w:sz w:val="15"/>
          <w:szCs w:val="15"/>
          <w:color w:val="auto"/>
        </w:rPr>
      </w:pPr>
    </w:p>
    <w:p>
      <w:pPr>
        <w:ind w:left="900" w:right="60" w:firstLine="430"/>
        <w:spacing w:after="0" w:line="271" w:lineRule="auto"/>
        <w:tabs>
          <w:tab w:leader="none" w:pos="1537" w:val="left"/>
        </w:tabs>
        <w:numPr>
          <w:ilvl w:val="1"/>
          <w:numId w:val="120"/>
        </w:numPr>
        <w:rPr>
          <w:rFonts w:ascii="Arial" w:cs="Arial" w:eastAsia="Arial" w:hAnsi="Arial"/>
          <w:sz w:val="15"/>
          <w:szCs w:val="15"/>
          <w:color w:val="auto"/>
        </w:rPr>
      </w:pPr>
      <w:r>
        <w:rPr>
          <w:rFonts w:ascii="Arial" w:cs="Arial" w:eastAsia="Arial" w:hAnsi="Arial"/>
          <w:sz w:val="15"/>
          <w:szCs w:val="15"/>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31" w:lineRule="exact"/>
        <w:rPr>
          <w:rFonts w:ascii="Arial" w:cs="Arial" w:eastAsia="Arial" w:hAnsi="Arial"/>
          <w:sz w:val="15"/>
          <w:szCs w:val="15"/>
          <w:color w:val="auto"/>
        </w:rPr>
      </w:pPr>
    </w:p>
    <w:p>
      <w:pPr>
        <w:ind w:left="460" w:right="80" w:firstLine="431"/>
        <w:spacing w:after="0" w:line="271" w:lineRule="auto"/>
        <w:tabs>
          <w:tab w:leader="none" w:pos="1115"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31" w:lineRule="exact"/>
        <w:rPr>
          <w:rFonts w:ascii="Arial" w:cs="Arial" w:eastAsia="Arial" w:hAnsi="Arial"/>
          <w:sz w:val="15"/>
          <w:szCs w:val="15"/>
          <w:color w:val="auto"/>
        </w:rPr>
      </w:pPr>
    </w:p>
    <w:p>
      <w:pPr>
        <w:ind w:left="460" w:right="80" w:firstLine="431"/>
        <w:spacing w:after="0" w:line="329" w:lineRule="auto"/>
        <w:tabs>
          <w:tab w:leader="none" w:pos="111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400"/>
          </w:cols>
          <w:pgMar w:left="240" w:top="417" w:right="2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460"/>
        <w:spacing w:after="0" w:line="271" w:lineRule="auto"/>
        <w:rPr>
          <w:sz w:val="20"/>
          <w:szCs w:val="20"/>
          <w:color w:val="auto"/>
        </w:rPr>
      </w:pPr>
      <w:r>
        <w:rPr>
          <w:rFonts w:ascii="Arial" w:cs="Arial" w:eastAsia="Arial" w:hAnsi="Arial"/>
          <w:sz w:val="15"/>
          <w:szCs w:val="15"/>
          <w:color w:val="auto"/>
        </w:rPr>
        <w:t>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1" w:lineRule="exact"/>
        <w:rPr>
          <w:sz w:val="20"/>
          <w:szCs w:val="20"/>
          <w:color w:val="auto"/>
        </w:rPr>
      </w:pPr>
    </w:p>
    <w:p>
      <w:pPr>
        <w:ind w:left="460" w:right="140" w:firstLine="431"/>
        <w:spacing w:after="0" w:line="276" w:lineRule="auto"/>
        <w:tabs>
          <w:tab w:leader="none" w:pos="111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27" w:lineRule="exact"/>
        <w:rPr>
          <w:rFonts w:ascii="Arial" w:cs="Arial" w:eastAsia="Arial" w:hAnsi="Arial"/>
          <w:sz w:val="15"/>
          <w:szCs w:val="15"/>
          <w:color w:val="auto"/>
        </w:rPr>
      </w:pPr>
    </w:p>
    <w:p>
      <w:pPr>
        <w:ind w:left="460" w:right="60" w:firstLine="431"/>
        <w:spacing w:after="0" w:line="268" w:lineRule="auto"/>
        <w:tabs>
          <w:tab w:leader="none" w:pos="111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5.01 of the Registrant’s Code of Regulations governs indemnification by Registrant and provides as follows:</w:t>
      </w:r>
    </w:p>
    <w:p>
      <w:pPr>
        <w:spacing w:after="0" w:line="74" w:lineRule="exact"/>
        <w:rPr>
          <w:sz w:val="20"/>
          <w:szCs w:val="20"/>
          <w:color w:val="auto"/>
        </w:rPr>
      </w:pPr>
    </w:p>
    <w:p>
      <w:pPr>
        <w:ind w:left="460" w:firstLine="439"/>
        <w:spacing w:after="0" w:line="285"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i w:val="1"/>
          <w:iCs w:val="1"/>
          <w:color w:val="auto"/>
        </w:rPr>
        <w:t>Mandatory Indemnification</w:t>
      </w:r>
      <w:r>
        <w:rPr>
          <w:rFonts w:ascii="Arial" w:cs="Arial" w:eastAsia="Arial" w:hAnsi="Arial"/>
          <w:sz w:val="14"/>
          <w:szCs w:val="14"/>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93" w:lineRule="exact"/>
        <w:rPr>
          <w:sz w:val="20"/>
          <w:szCs w:val="20"/>
          <w:color w:val="auto"/>
        </w:rPr>
      </w:pPr>
    </w:p>
    <w:p>
      <w:pPr>
        <w:jc w:val="center"/>
        <w:ind w:right="220"/>
        <w:spacing w:after="0" w:line="471" w:lineRule="auto"/>
        <w:rPr>
          <w:sz w:val="20"/>
          <w:szCs w:val="20"/>
          <w:color w:val="auto"/>
        </w:rPr>
      </w:pPr>
      <w:r>
        <w:rPr>
          <w:rFonts w:ascii="Arial" w:cs="Arial" w:eastAsia="Arial" w:hAnsi="Arial"/>
          <w:sz w:val="15"/>
          <w:szCs w:val="15"/>
          <w:color w:val="auto"/>
        </w:rPr>
        <w:t>In addition, the Registrant currently provides insurance coverage to its directors and officers against certain liabilities which might be incurred by them in such capacity. II-3</w:t>
      </w:r>
    </w:p>
    <w:p>
      <w:pPr>
        <w:sectPr>
          <w:pgSz w:w="11900" w:h="16838" w:orient="portrait"/>
          <w:cols w:equalWidth="0" w:num="1">
            <w:col w:w="11420"/>
          </w:cols>
          <w:pgMar w:left="240" w:top="417"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21. Exhibits and Financial Statement Schedules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 Exhibits</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Exhibit</w:t>
      </w:r>
    </w:p>
    <w:p>
      <w:pPr>
        <w:spacing w:after="0" w:line="3"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2"/>
          <w:szCs w:val="12"/>
          <w:b w:val="1"/>
          <w:bCs w:val="1"/>
          <w:color w:val="auto"/>
        </w:rPr>
        <w:t>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3130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3055" cy="762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53340</wp:posOffset>
            </wp:positionV>
            <wp:extent cx="4699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660" w:type="dxa"/>
            <w:vAlign w:val="bottom"/>
          </w:tcPr>
          <w:p>
            <w:pPr>
              <w:jc w:val="right"/>
              <w:ind w:right="324"/>
              <w:spacing w:after="0"/>
              <w:rPr>
                <w:sz w:val="20"/>
                <w:szCs w:val="20"/>
                <w:color w:val="auto"/>
              </w:rPr>
            </w:pPr>
            <w:r>
              <w:rPr>
                <w:rFonts w:ascii="Arial" w:cs="Arial" w:eastAsia="Arial" w:hAnsi="Arial"/>
                <w:sz w:val="15"/>
                <w:szCs w:val="15"/>
                <w:color w:val="auto"/>
              </w:rPr>
              <w:t>4.1</w:t>
            </w:r>
          </w:p>
        </w:tc>
        <w:tc>
          <w:tcPr>
            <w:tcW w:w="10260" w:type="dxa"/>
            <w:vAlign w:val="bottom"/>
          </w:tcPr>
          <w:p>
            <w:pPr>
              <w:ind w:left="400"/>
              <w:spacing w:after="0"/>
              <w:rPr>
                <w:sz w:val="20"/>
                <w:szCs w:val="20"/>
                <w:color w:val="auto"/>
              </w:rPr>
            </w:pPr>
            <w:r>
              <w:rPr>
                <w:rFonts w:ascii="Arial" w:cs="Arial" w:eastAsia="Arial" w:hAnsi="Arial"/>
                <w:sz w:val="15"/>
                <w:szCs w:val="15"/>
                <w:color w:val="auto"/>
                <w:w w:val="95"/>
              </w:rPr>
              <w:t>Indenture dated as of October 8, 2003 among The Scotts Company, the subsidiary guarantors listed on the signature pages thereof and U.S. Bank National</w:t>
            </w:r>
          </w:p>
        </w:tc>
      </w:tr>
      <w:tr>
        <w:trPr>
          <w:trHeight w:val="188"/>
        </w:trPr>
        <w:tc>
          <w:tcPr>
            <w:tcW w:w="660" w:type="dxa"/>
            <w:vAlign w:val="bottom"/>
          </w:tcPr>
          <w:p>
            <w:pPr>
              <w:spacing w:after="0"/>
              <w:rPr>
                <w:sz w:val="16"/>
                <w:szCs w:val="16"/>
                <w:color w:val="auto"/>
              </w:rPr>
            </w:pPr>
          </w:p>
        </w:tc>
        <w:tc>
          <w:tcPr>
            <w:tcW w:w="10260" w:type="dxa"/>
            <w:vAlign w:val="bottom"/>
          </w:tcPr>
          <w:p>
            <w:pPr>
              <w:ind w:left="580"/>
              <w:spacing w:after="0"/>
              <w:rPr>
                <w:sz w:val="20"/>
                <w:szCs w:val="20"/>
                <w:color w:val="auto"/>
              </w:rPr>
            </w:pPr>
            <w:r>
              <w:rPr>
                <w:rFonts w:ascii="Arial" w:cs="Arial" w:eastAsia="Arial" w:hAnsi="Arial"/>
                <w:sz w:val="15"/>
                <w:szCs w:val="15"/>
                <w:color w:val="auto"/>
                <w:w w:val="94"/>
              </w:rPr>
              <w:t>Association, as trustee (filed as Exhibit 4(n) to Registrant’s Annual Report on Form 10-K for the fiscal year ended September 30, 2003 and incorporated by</w:t>
            </w:r>
          </w:p>
        </w:tc>
      </w:tr>
      <w:tr>
        <w:trPr>
          <w:trHeight w:val="194"/>
        </w:trPr>
        <w:tc>
          <w:tcPr>
            <w:tcW w:w="660" w:type="dxa"/>
            <w:vAlign w:val="bottom"/>
          </w:tcPr>
          <w:p>
            <w:pPr>
              <w:spacing w:after="0"/>
              <w:rPr>
                <w:sz w:val="16"/>
                <w:szCs w:val="16"/>
                <w:color w:val="auto"/>
              </w:rPr>
            </w:pPr>
          </w:p>
        </w:tc>
        <w:tc>
          <w:tcPr>
            <w:tcW w:w="10260" w:type="dxa"/>
            <w:vAlign w:val="bottom"/>
          </w:tcPr>
          <w:p>
            <w:pPr>
              <w:ind w:left="580"/>
              <w:spacing w:after="0"/>
              <w:rPr>
                <w:sz w:val="20"/>
                <w:szCs w:val="20"/>
                <w:color w:val="auto"/>
              </w:rPr>
            </w:pPr>
            <w:r>
              <w:rPr>
                <w:rFonts w:ascii="Arial" w:cs="Arial" w:eastAsia="Arial" w:hAnsi="Arial"/>
                <w:sz w:val="15"/>
                <w:szCs w:val="15"/>
                <w:color w:val="auto"/>
              </w:rPr>
              <w:t>reference herein).</w:t>
            </w:r>
          </w:p>
        </w:tc>
      </w:tr>
      <w:tr>
        <w:trPr>
          <w:trHeight w:val="276"/>
        </w:trPr>
        <w:tc>
          <w:tcPr>
            <w:tcW w:w="660" w:type="dxa"/>
            <w:vAlign w:val="bottom"/>
          </w:tcPr>
          <w:p>
            <w:pPr>
              <w:jc w:val="right"/>
              <w:ind w:right="324"/>
              <w:spacing w:after="0"/>
              <w:rPr>
                <w:sz w:val="20"/>
                <w:szCs w:val="20"/>
                <w:color w:val="auto"/>
              </w:rPr>
            </w:pPr>
            <w:r>
              <w:rPr>
                <w:rFonts w:ascii="Arial" w:cs="Arial" w:eastAsia="Arial" w:hAnsi="Arial"/>
                <w:sz w:val="15"/>
                <w:szCs w:val="15"/>
                <w:color w:val="auto"/>
              </w:rPr>
              <w:t>4.2</w:t>
            </w:r>
          </w:p>
        </w:tc>
        <w:tc>
          <w:tcPr>
            <w:tcW w:w="10260" w:type="dxa"/>
            <w:vAlign w:val="bottom"/>
          </w:tcPr>
          <w:p>
            <w:pPr>
              <w:ind w:left="400"/>
              <w:spacing w:after="0"/>
              <w:rPr>
                <w:sz w:val="20"/>
                <w:szCs w:val="20"/>
                <w:color w:val="auto"/>
              </w:rPr>
            </w:pPr>
            <w:r>
              <w:rPr>
                <w:rFonts w:ascii="Arial" w:cs="Arial" w:eastAsia="Arial" w:hAnsi="Arial"/>
                <w:sz w:val="15"/>
                <w:szCs w:val="15"/>
                <w:color w:val="auto"/>
                <w:w w:val="90"/>
              </w:rPr>
              <w:t>Registration Rights Agreement, dated as of October 22, 2003, among The Scotts Company, the subsidiary guarantors listed on the signature pages thereof and the</w:t>
            </w:r>
          </w:p>
        </w:tc>
      </w:tr>
      <w:tr>
        <w:trPr>
          <w:trHeight w:val="188"/>
        </w:trPr>
        <w:tc>
          <w:tcPr>
            <w:tcW w:w="660" w:type="dxa"/>
            <w:vAlign w:val="bottom"/>
          </w:tcPr>
          <w:p>
            <w:pPr>
              <w:spacing w:after="0"/>
              <w:rPr>
                <w:sz w:val="16"/>
                <w:szCs w:val="16"/>
                <w:color w:val="auto"/>
              </w:rPr>
            </w:pPr>
          </w:p>
        </w:tc>
        <w:tc>
          <w:tcPr>
            <w:tcW w:w="10260" w:type="dxa"/>
            <w:vAlign w:val="bottom"/>
          </w:tcPr>
          <w:p>
            <w:pPr>
              <w:ind w:left="580"/>
              <w:spacing w:after="0"/>
              <w:rPr>
                <w:sz w:val="20"/>
                <w:szCs w:val="20"/>
                <w:color w:val="auto"/>
              </w:rPr>
            </w:pPr>
            <w:r>
              <w:rPr>
                <w:rFonts w:ascii="Arial" w:cs="Arial" w:eastAsia="Arial" w:hAnsi="Arial"/>
                <w:sz w:val="15"/>
                <w:szCs w:val="15"/>
                <w:color w:val="auto"/>
                <w:w w:val="95"/>
              </w:rPr>
              <w:t>Initial Purchasers named therein (filed as Exhibit 4(o) to the Registrant’s Annual Report on Form 10-K for the fiscal year ended September 30, 2003 and</w:t>
            </w:r>
          </w:p>
        </w:tc>
      </w:tr>
      <w:tr>
        <w:trPr>
          <w:trHeight w:val="194"/>
        </w:trPr>
        <w:tc>
          <w:tcPr>
            <w:tcW w:w="660" w:type="dxa"/>
            <w:vAlign w:val="bottom"/>
          </w:tcPr>
          <w:p>
            <w:pPr>
              <w:spacing w:after="0"/>
              <w:rPr>
                <w:sz w:val="16"/>
                <w:szCs w:val="16"/>
                <w:color w:val="auto"/>
              </w:rPr>
            </w:pPr>
          </w:p>
        </w:tc>
        <w:tc>
          <w:tcPr>
            <w:tcW w:w="10260" w:type="dxa"/>
            <w:vAlign w:val="bottom"/>
          </w:tcPr>
          <w:p>
            <w:pPr>
              <w:ind w:left="580"/>
              <w:spacing w:after="0"/>
              <w:rPr>
                <w:sz w:val="20"/>
                <w:szCs w:val="20"/>
                <w:color w:val="auto"/>
              </w:rPr>
            </w:pPr>
            <w:r>
              <w:rPr>
                <w:rFonts w:ascii="Arial" w:cs="Arial" w:eastAsia="Arial" w:hAnsi="Arial"/>
                <w:sz w:val="15"/>
                <w:szCs w:val="15"/>
                <w:color w:val="auto"/>
              </w:rPr>
              <w:t>incorporated by reference herein).</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rPr>
              <w:t>5.1</w:t>
            </w:r>
          </w:p>
        </w:tc>
        <w:tc>
          <w:tcPr>
            <w:tcW w:w="10260" w:type="dxa"/>
            <w:vAlign w:val="bottom"/>
          </w:tcPr>
          <w:p>
            <w:pPr>
              <w:ind w:left="400"/>
              <w:spacing w:after="0"/>
              <w:rPr>
                <w:sz w:val="20"/>
                <w:szCs w:val="20"/>
                <w:color w:val="auto"/>
              </w:rPr>
            </w:pPr>
            <w:r>
              <w:rPr>
                <w:rFonts w:ascii="Arial" w:cs="Arial" w:eastAsia="Arial" w:hAnsi="Arial"/>
                <w:sz w:val="15"/>
                <w:szCs w:val="15"/>
                <w:color w:val="auto"/>
              </w:rPr>
              <w:t>Opinion of Vorys, Sater, Seymour and Pease LLP</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12.1</w:t>
            </w:r>
          </w:p>
        </w:tc>
        <w:tc>
          <w:tcPr>
            <w:tcW w:w="10260" w:type="dxa"/>
            <w:vAlign w:val="bottom"/>
          </w:tcPr>
          <w:p>
            <w:pPr>
              <w:ind w:left="400"/>
              <w:spacing w:after="0"/>
              <w:rPr>
                <w:sz w:val="20"/>
                <w:szCs w:val="20"/>
                <w:color w:val="auto"/>
              </w:rPr>
            </w:pPr>
            <w:r>
              <w:rPr>
                <w:rFonts w:ascii="Arial" w:cs="Arial" w:eastAsia="Arial" w:hAnsi="Arial"/>
                <w:sz w:val="15"/>
                <w:szCs w:val="15"/>
                <w:color w:val="auto"/>
              </w:rPr>
              <w:t>Statement of Computation of Ratios</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23.1</w:t>
            </w:r>
          </w:p>
        </w:tc>
        <w:tc>
          <w:tcPr>
            <w:tcW w:w="10260" w:type="dxa"/>
            <w:vAlign w:val="bottom"/>
          </w:tcPr>
          <w:p>
            <w:pPr>
              <w:ind w:left="400"/>
              <w:spacing w:after="0"/>
              <w:rPr>
                <w:sz w:val="20"/>
                <w:szCs w:val="20"/>
                <w:color w:val="auto"/>
              </w:rPr>
            </w:pPr>
            <w:r>
              <w:rPr>
                <w:rFonts w:ascii="Arial" w:cs="Arial" w:eastAsia="Arial" w:hAnsi="Arial"/>
                <w:sz w:val="15"/>
                <w:szCs w:val="15"/>
                <w:color w:val="auto"/>
              </w:rPr>
              <w:t>Consent of PricewaterhouseCoopers LLP, independent accountants</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23.2</w:t>
            </w:r>
          </w:p>
        </w:tc>
        <w:tc>
          <w:tcPr>
            <w:tcW w:w="10260" w:type="dxa"/>
            <w:vAlign w:val="bottom"/>
          </w:tcPr>
          <w:p>
            <w:pPr>
              <w:ind w:left="400"/>
              <w:spacing w:after="0"/>
              <w:rPr>
                <w:sz w:val="20"/>
                <w:szCs w:val="20"/>
                <w:color w:val="auto"/>
              </w:rPr>
            </w:pPr>
            <w:r>
              <w:rPr>
                <w:rFonts w:ascii="Arial" w:cs="Arial" w:eastAsia="Arial" w:hAnsi="Arial"/>
                <w:sz w:val="15"/>
                <w:szCs w:val="15"/>
                <w:color w:val="auto"/>
              </w:rPr>
              <w:t>Consent of Vorys, Sater, Seymour and Pease LLP (included in Exhibit 5.1)</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24.1</w:t>
            </w:r>
          </w:p>
        </w:tc>
        <w:tc>
          <w:tcPr>
            <w:tcW w:w="10260" w:type="dxa"/>
            <w:vAlign w:val="bottom"/>
          </w:tcPr>
          <w:p>
            <w:pPr>
              <w:ind w:left="400"/>
              <w:spacing w:after="0"/>
              <w:rPr>
                <w:sz w:val="20"/>
                <w:szCs w:val="20"/>
                <w:color w:val="auto"/>
              </w:rPr>
            </w:pPr>
            <w:r>
              <w:rPr>
                <w:rFonts w:ascii="Arial" w:cs="Arial" w:eastAsia="Arial" w:hAnsi="Arial"/>
                <w:sz w:val="15"/>
                <w:szCs w:val="15"/>
                <w:color w:val="auto"/>
              </w:rPr>
              <w:t>Powers of Attorney (included on signature pages)</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25.1</w:t>
            </w:r>
          </w:p>
        </w:tc>
        <w:tc>
          <w:tcPr>
            <w:tcW w:w="10260" w:type="dxa"/>
            <w:vAlign w:val="bottom"/>
          </w:tcPr>
          <w:p>
            <w:pPr>
              <w:ind w:left="400"/>
              <w:spacing w:after="0"/>
              <w:rPr>
                <w:sz w:val="20"/>
                <w:szCs w:val="20"/>
                <w:color w:val="auto"/>
              </w:rPr>
            </w:pPr>
            <w:r>
              <w:rPr>
                <w:rFonts w:ascii="Arial" w:cs="Arial" w:eastAsia="Arial" w:hAnsi="Arial"/>
                <w:sz w:val="15"/>
                <w:szCs w:val="15"/>
                <w:color w:val="auto"/>
              </w:rPr>
              <w:t>Statement of Eligibility under the Trust Indenture Act of 1939 of U.S. Bank National Association to act as trustee under the Indenture (Form T-1).</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99.1</w:t>
            </w:r>
          </w:p>
        </w:tc>
        <w:tc>
          <w:tcPr>
            <w:tcW w:w="10260" w:type="dxa"/>
            <w:vAlign w:val="bottom"/>
          </w:tcPr>
          <w:p>
            <w:pPr>
              <w:ind w:left="400"/>
              <w:spacing w:after="0"/>
              <w:rPr>
                <w:sz w:val="20"/>
                <w:szCs w:val="20"/>
                <w:color w:val="auto"/>
              </w:rPr>
            </w:pPr>
            <w:r>
              <w:rPr>
                <w:rFonts w:ascii="Arial" w:cs="Arial" w:eastAsia="Arial" w:hAnsi="Arial"/>
                <w:sz w:val="15"/>
                <w:szCs w:val="15"/>
                <w:color w:val="auto"/>
              </w:rPr>
              <w:t>Letter of Transmittal</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99.2</w:t>
            </w:r>
          </w:p>
        </w:tc>
        <w:tc>
          <w:tcPr>
            <w:tcW w:w="10260" w:type="dxa"/>
            <w:vAlign w:val="bottom"/>
          </w:tcPr>
          <w:p>
            <w:pPr>
              <w:ind w:left="400"/>
              <w:spacing w:after="0"/>
              <w:rPr>
                <w:sz w:val="20"/>
                <w:szCs w:val="20"/>
                <w:color w:val="auto"/>
              </w:rPr>
            </w:pPr>
            <w:r>
              <w:rPr>
                <w:rFonts w:ascii="Arial" w:cs="Arial" w:eastAsia="Arial" w:hAnsi="Arial"/>
                <w:sz w:val="15"/>
                <w:szCs w:val="15"/>
                <w:color w:val="auto"/>
              </w:rPr>
              <w:t>Notice of Guaranteed Delivery</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99.3</w:t>
            </w:r>
          </w:p>
        </w:tc>
        <w:tc>
          <w:tcPr>
            <w:tcW w:w="10260" w:type="dxa"/>
            <w:vAlign w:val="bottom"/>
          </w:tcPr>
          <w:p>
            <w:pPr>
              <w:ind w:left="400"/>
              <w:spacing w:after="0"/>
              <w:rPr>
                <w:sz w:val="20"/>
                <w:szCs w:val="20"/>
                <w:color w:val="auto"/>
              </w:rPr>
            </w:pPr>
            <w:r>
              <w:rPr>
                <w:rFonts w:ascii="Arial" w:cs="Arial" w:eastAsia="Arial" w:hAnsi="Arial"/>
                <w:sz w:val="15"/>
                <w:szCs w:val="15"/>
                <w:color w:val="auto"/>
              </w:rPr>
              <w:t>Letter to DTC Participants</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99.4</w:t>
            </w:r>
          </w:p>
        </w:tc>
        <w:tc>
          <w:tcPr>
            <w:tcW w:w="10260" w:type="dxa"/>
            <w:vAlign w:val="bottom"/>
          </w:tcPr>
          <w:p>
            <w:pPr>
              <w:ind w:left="400"/>
              <w:spacing w:after="0"/>
              <w:rPr>
                <w:sz w:val="20"/>
                <w:szCs w:val="20"/>
                <w:color w:val="auto"/>
              </w:rPr>
            </w:pPr>
            <w:r>
              <w:rPr>
                <w:rFonts w:ascii="Arial" w:cs="Arial" w:eastAsia="Arial" w:hAnsi="Arial"/>
                <w:sz w:val="15"/>
                <w:szCs w:val="15"/>
                <w:color w:val="auto"/>
              </w:rPr>
              <w:t>Letter to Beneficial Holders</w:t>
            </w:r>
          </w:p>
        </w:tc>
      </w:tr>
      <w:tr>
        <w:trPr>
          <w:trHeight w:val="282"/>
        </w:trPr>
        <w:tc>
          <w:tcPr>
            <w:tcW w:w="660" w:type="dxa"/>
            <w:vAlign w:val="bottom"/>
          </w:tcPr>
          <w:p>
            <w:pPr>
              <w:jc w:val="right"/>
              <w:ind w:right="324"/>
              <w:spacing w:after="0"/>
              <w:rPr>
                <w:sz w:val="20"/>
                <w:szCs w:val="20"/>
                <w:color w:val="auto"/>
              </w:rPr>
            </w:pPr>
            <w:r>
              <w:rPr>
                <w:rFonts w:ascii="Arial" w:cs="Arial" w:eastAsia="Arial" w:hAnsi="Arial"/>
                <w:sz w:val="15"/>
                <w:szCs w:val="15"/>
                <w:color w:val="auto"/>
                <w:w w:val="82"/>
              </w:rPr>
              <w:t>99.5</w:t>
            </w:r>
          </w:p>
        </w:tc>
        <w:tc>
          <w:tcPr>
            <w:tcW w:w="10260" w:type="dxa"/>
            <w:vAlign w:val="bottom"/>
          </w:tcPr>
          <w:p>
            <w:pPr>
              <w:ind w:left="400"/>
              <w:spacing w:after="0"/>
              <w:rPr>
                <w:sz w:val="20"/>
                <w:szCs w:val="20"/>
                <w:color w:val="auto"/>
              </w:rPr>
            </w:pPr>
            <w:r>
              <w:rPr>
                <w:rFonts w:ascii="Arial" w:cs="Arial" w:eastAsia="Arial" w:hAnsi="Arial"/>
                <w:sz w:val="15"/>
                <w:szCs w:val="15"/>
                <w:color w:val="auto"/>
              </w:rPr>
              <w:t>Guidelines for Certification of Taxpayer Identification Number on Substitute Form W-9.</w:t>
            </w:r>
          </w:p>
        </w:tc>
      </w:tr>
    </w:tbl>
    <w:p>
      <w:pPr>
        <w:spacing w:after="0" w:line="119" w:lineRule="exact"/>
        <w:rPr>
          <w:sz w:val="20"/>
          <w:szCs w:val="20"/>
          <w:color w:val="auto"/>
        </w:rPr>
      </w:pPr>
    </w:p>
    <w:p>
      <w:pPr>
        <w:ind w:left="900" w:right="8680" w:hanging="449"/>
        <w:spacing w:after="0" w:line="378" w:lineRule="auto"/>
        <w:tabs>
          <w:tab w:leader="none" w:pos="686"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None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22. Undertakings.</w:t>
      </w:r>
    </w:p>
    <w:p>
      <w:pPr>
        <w:spacing w:after="0" w:line="78" w:lineRule="exact"/>
        <w:rPr>
          <w:sz w:val="20"/>
          <w:szCs w:val="20"/>
          <w:color w:val="auto"/>
        </w:rPr>
      </w:pPr>
    </w:p>
    <w:p>
      <w:pPr>
        <w:ind w:left="660" w:hanging="209"/>
        <w:spacing w:after="0"/>
        <w:tabs>
          <w:tab w:leader="none" w:pos="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74" w:lineRule="exact"/>
        <w:rPr>
          <w:rFonts w:ascii="Arial" w:cs="Arial" w:eastAsia="Arial" w:hAnsi="Arial"/>
          <w:sz w:val="15"/>
          <w:szCs w:val="15"/>
          <w:color w:val="auto"/>
        </w:rPr>
      </w:pPr>
    </w:p>
    <w:p>
      <w:pPr>
        <w:ind w:left="1100" w:hanging="209"/>
        <w:spacing w:after="0"/>
        <w:tabs>
          <w:tab w:leader="none" w:pos="110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74" w:lineRule="exact"/>
        <w:rPr>
          <w:rFonts w:ascii="Arial" w:cs="Arial" w:eastAsia="Arial" w:hAnsi="Arial"/>
          <w:sz w:val="15"/>
          <w:szCs w:val="15"/>
          <w:color w:val="auto"/>
        </w:rPr>
      </w:pPr>
    </w:p>
    <w:p>
      <w:pPr>
        <w:ind w:left="1520" w:hanging="190"/>
        <w:spacing w:after="0"/>
        <w:tabs>
          <w:tab w:leader="none" w:pos="152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w:t>
      </w:r>
    </w:p>
    <w:p>
      <w:pPr>
        <w:spacing w:after="0" w:line="74" w:lineRule="exact"/>
        <w:rPr>
          <w:rFonts w:ascii="Arial" w:cs="Arial" w:eastAsia="Arial" w:hAnsi="Arial"/>
          <w:sz w:val="15"/>
          <w:szCs w:val="15"/>
          <w:color w:val="auto"/>
        </w:rPr>
      </w:pPr>
    </w:p>
    <w:p>
      <w:pPr>
        <w:ind w:left="900" w:firstLine="430"/>
        <w:spacing w:after="0" w:line="267" w:lineRule="auto"/>
        <w:tabs>
          <w:tab w:leader="none" w:pos="1546"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1340"/>
          </w:cols>
          <w:pgMar w:left="240" w:top="417" w:right="31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p>
      <w:pPr>
        <w:ind w:left="900" w:right="60" w:firstLine="430"/>
        <w:spacing w:after="0" w:line="268" w:lineRule="auto"/>
        <w:tabs>
          <w:tab w:leader="none" w:pos="1588" w:val="left"/>
        </w:tabs>
        <w:numPr>
          <w:ilvl w:val="2"/>
          <w:numId w:val="125"/>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 provided, however, that paragraphs (a)(l)(i) and (a)(l)(ii)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35" w:lineRule="exact"/>
        <w:rPr>
          <w:rFonts w:ascii="Arial" w:cs="Arial" w:eastAsia="Arial" w:hAnsi="Arial"/>
          <w:sz w:val="15"/>
          <w:szCs w:val="15"/>
          <w:color w:val="auto"/>
        </w:rPr>
      </w:pPr>
    </w:p>
    <w:p>
      <w:pPr>
        <w:ind w:left="460" w:right="480" w:firstLine="431"/>
        <w:spacing w:after="0" w:line="323" w:lineRule="auto"/>
        <w:tabs>
          <w:tab w:leader="none" w:pos="1115"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Arial" w:cs="Arial" w:eastAsia="Arial" w:hAnsi="Arial"/>
          <w:sz w:val="14"/>
          <w:szCs w:val="14"/>
          <w:color w:val="auto"/>
        </w:rPr>
      </w:pPr>
    </w:p>
    <w:p>
      <w:pPr>
        <w:ind w:left="1100" w:hanging="209"/>
        <w:spacing w:after="0"/>
        <w:tabs>
          <w:tab w:leader="none" w:pos="110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56" w:lineRule="exact"/>
        <w:rPr>
          <w:rFonts w:ascii="Arial" w:cs="Arial" w:eastAsia="Arial" w:hAnsi="Arial"/>
          <w:sz w:val="14"/>
          <w:szCs w:val="14"/>
          <w:color w:val="auto"/>
        </w:rPr>
      </w:pPr>
    </w:p>
    <w:p>
      <w:pPr>
        <w:ind w:firstLine="451"/>
        <w:spacing w:after="0" w:line="271" w:lineRule="auto"/>
        <w:tabs>
          <w:tab w:leader="none" w:pos="674"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1" w:lineRule="exact"/>
        <w:rPr>
          <w:rFonts w:ascii="Arial" w:cs="Arial" w:eastAsia="Arial" w:hAnsi="Arial"/>
          <w:sz w:val="15"/>
          <w:szCs w:val="15"/>
          <w:color w:val="auto"/>
        </w:rPr>
      </w:pPr>
    </w:p>
    <w:p>
      <w:pPr>
        <w:ind w:right="40" w:firstLine="451"/>
        <w:spacing w:after="0" w:line="290" w:lineRule="auto"/>
        <w:tabs>
          <w:tab w:leader="none" w:pos="665"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a controlling precedent, submit to a court of appropriate jurisdiction the question whether such indemnification by it is against public policy as expressed in the Act and will be governed by the final adjudication of such issue.</w:t>
      </w:r>
    </w:p>
    <w:p>
      <w:pPr>
        <w:spacing w:after="0" w:line="89" w:lineRule="exact"/>
        <w:rPr>
          <w:rFonts w:ascii="Arial" w:cs="Arial" w:eastAsia="Arial" w:hAnsi="Arial"/>
          <w:sz w:val="14"/>
          <w:szCs w:val="14"/>
          <w:color w:val="auto"/>
        </w:rPr>
      </w:pPr>
    </w:p>
    <w:p>
      <w:pPr>
        <w:ind w:right="120" w:firstLine="451"/>
        <w:spacing w:after="0" w:line="304" w:lineRule="auto"/>
        <w:tabs>
          <w:tab w:leader="none" w:pos="674"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1" w:lineRule="exact"/>
        <w:rPr>
          <w:rFonts w:ascii="Arial" w:cs="Arial" w:eastAsia="Arial" w:hAnsi="Arial"/>
          <w:sz w:val="14"/>
          <w:szCs w:val="14"/>
          <w:color w:val="auto"/>
        </w:rPr>
      </w:pPr>
    </w:p>
    <w:p>
      <w:pPr>
        <w:ind w:right="300" w:firstLine="451"/>
        <w:spacing w:after="0" w:line="291" w:lineRule="auto"/>
        <w:tabs>
          <w:tab w:leader="none" w:pos="665"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1400"/>
          </w:cols>
          <w:pgMar w:left="240" w:top="417" w:right="2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49"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on Form S-4 to be signed on its behalf by the undersigned, thereunto duly authorized, in the City of Marysville, State of Ohio, on January 6, 2004.</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THE SCOTTS COMPANY</w:t>
      </w:r>
    </w:p>
    <w:p>
      <w:pPr>
        <w:spacing w:after="0" w:line="203" w:lineRule="exact"/>
        <w:rPr>
          <w:sz w:val="20"/>
          <w:szCs w:val="20"/>
          <w:color w:val="auto"/>
        </w:rPr>
      </w:pPr>
    </w:p>
    <w:p>
      <w:pPr>
        <w:ind w:left="6860"/>
        <w:spacing w:after="0"/>
        <w:tabs>
          <w:tab w:leader="none" w:pos="8400" w:val="left"/>
          <w:tab w:leader="none" w:pos="87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tab/>
        <w:t>J</w:t>
      </w:r>
      <w:r>
        <w:rPr>
          <w:rFonts w:ascii="Arial" w:cs="Arial" w:eastAsia="Arial" w:hAnsi="Arial"/>
          <w:sz w:val="12"/>
          <w:szCs w:val="12"/>
          <w:color w:val="auto"/>
        </w:rPr>
        <w:t>AMES</w:t>
      </w:r>
      <w:r>
        <w:rPr>
          <w:rFonts w:ascii="Arial" w:cs="Arial" w:eastAsia="Arial" w:hAnsi="Arial"/>
          <w:sz w:val="15"/>
          <w:szCs w:val="15"/>
          <w:color w:val="auto"/>
        </w:rPr>
        <w:t xml:space="preserve"> H</w:t>
      </w:r>
      <w:r>
        <w:rPr>
          <w:rFonts w:ascii="Arial" w:cs="Arial" w:eastAsia="Arial" w:hAnsi="Arial"/>
          <w:sz w:val="12"/>
          <w:szCs w:val="12"/>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74295</wp:posOffset>
            </wp:positionV>
            <wp:extent cx="271462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4625" cy="7620"/>
                    </a:xfrm>
                    <a:prstGeom prst="rect">
                      <a:avLst/>
                    </a:prstGeom>
                    <a:noFill/>
                  </pic:spPr>
                </pic:pic>
              </a:graphicData>
            </a:graphic>
          </wp:anchor>
        </w:drawing>
      </w:r>
    </w:p>
    <w:p>
      <w:pPr>
        <w:spacing w:after="0" w:line="191" w:lineRule="exact"/>
        <w:rPr>
          <w:sz w:val="20"/>
          <w:szCs w:val="20"/>
          <w:color w:val="auto"/>
        </w:rPr>
      </w:pPr>
    </w:p>
    <w:p>
      <w:pPr>
        <w:jc w:val="center"/>
        <w:ind w:left="7180"/>
        <w:spacing w:after="0"/>
        <w:rPr>
          <w:sz w:val="20"/>
          <w:szCs w:val="20"/>
          <w:color w:val="auto"/>
        </w:rPr>
      </w:pPr>
      <w:r>
        <w:rPr>
          <w:rFonts w:ascii="Arial" w:cs="Arial" w:eastAsia="Arial" w:hAnsi="Arial"/>
          <w:sz w:val="12"/>
          <w:szCs w:val="12"/>
          <w:b w:val="1"/>
          <w:bCs w:val="1"/>
          <w:color w:val="auto"/>
        </w:rPr>
        <w:t>James Hagedorn</w:t>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POWER OF ATTORNEY</w:t>
      </w:r>
    </w:p>
    <w:p>
      <w:pPr>
        <w:spacing w:after="0" w:line="149" w:lineRule="exact"/>
        <w:rPr>
          <w:sz w:val="20"/>
          <w:szCs w:val="20"/>
          <w:color w:val="auto"/>
        </w:rPr>
      </w:pPr>
    </w:p>
    <w:p>
      <w:pPr>
        <w:ind w:firstLine="457"/>
        <w:spacing w:after="0" w:line="288" w:lineRule="auto"/>
        <w:rPr>
          <w:sz w:val="20"/>
          <w:szCs w:val="20"/>
          <w:color w:val="auto"/>
        </w:rPr>
      </w:pPr>
      <w:r>
        <w:rPr>
          <w:rFonts w:ascii="Arial" w:cs="Arial" w:eastAsia="Arial" w:hAnsi="Arial"/>
          <w:sz w:val="14"/>
          <w:szCs w:val="14"/>
          <w:color w:val="auto"/>
        </w:rPr>
        <w:t>We, the undersigned directors and officers of The Scotts Company (the “Company”), and each of us, do hereby constitute and appoint Christopher L. Nagel and David M. Aronowitz,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92"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below by the following persons in the capacities and on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2"/>
          </w:tcPr>
          <w:p>
            <w:pPr>
              <w:jc w:val="center"/>
              <w:ind w:right="2220"/>
              <w:spacing w:after="0"/>
              <w:rPr>
                <w:sz w:val="20"/>
                <w:szCs w:val="20"/>
                <w:color w:val="auto"/>
              </w:rPr>
            </w:pPr>
            <w:r>
              <w:rPr>
                <w:rFonts w:ascii="Arial" w:cs="Arial" w:eastAsia="Arial" w:hAnsi="Arial"/>
                <w:sz w:val="12"/>
                <w:szCs w:val="12"/>
                <w:b w:val="1"/>
                <w:bCs w:val="1"/>
                <w:color w:val="auto"/>
                <w:w w:val="90"/>
              </w:rPr>
              <w:t>Signature</w:t>
            </w:r>
          </w:p>
        </w:tc>
        <w:tc>
          <w:tcPr>
            <w:tcW w:w="1840" w:type="dxa"/>
            <w:vAlign w:val="bottom"/>
          </w:tcPr>
          <w:p>
            <w:pPr>
              <w:spacing w:after="0"/>
              <w:rPr>
                <w:sz w:val="13"/>
                <w:szCs w:val="13"/>
                <w:color w:val="auto"/>
              </w:rPr>
            </w:pPr>
          </w:p>
        </w:tc>
        <w:tc>
          <w:tcPr>
            <w:tcW w:w="22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960" w:type="dxa"/>
            <w:vAlign w:val="bottom"/>
          </w:tcPr>
          <w:p>
            <w:pPr>
              <w:spacing w:after="0"/>
              <w:rPr>
                <w:sz w:val="13"/>
                <w:szCs w:val="13"/>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83"/>
        </w:trPr>
        <w:tc>
          <w:tcPr>
            <w:tcW w:w="1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1"/>
        </w:trPr>
        <w:tc>
          <w:tcPr>
            <w:tcW w:w="1840" w:type="dxa"/>
            <w:vAlign w:val="bottom"/>
          </w:tcPr>
          <w:p>
            <w:pPr>
              <w:ind w:left="1680"/>
              <w:spacing w:after="0"/>
              <w:rPr>
                <w:sz w:val="20"/>
                <w:szCs w:val="20"/>
                <w:color w:val="auto"/>
              </w:rPr>
            </w:pPr>
            <w:r>
              <w:rPr>
                <w:rFonts w:ascii="Arial" w:cs="Arial" w:eastAsia="Arial" w:hAnsi="Arial"/>
                <w:sz w:val="15"/>
                <w:szCs w:val="15"/>
                <w:color w:val="auto"/>
                <w:w w:val="88"/>
              </w:rPr>
              <w:t>/s/</w:t>
            </w:r>
          </w:p>
        </w:tc>
        <w:tc>
          <w:tcPr>
            <w:tcW w:w="3200" w:type="dxa"/>
            <w:vAlign w:val="bottom"/>
            <w:gridSpan w:val="3"/>
          </w:tcPr>
          <w:p>
            <w:pPr>
              <w:jc w:val="center"/>
              <w:ind w:right="1800"/>
              <w:spacing w:after="0"/>
              <w:rPr>
                <w:sz w:val="20"/>
                <w:szCs w:val="20"/>
                <w:color w:val="auto"/>
              </w:rPr>
            </w:pPr>
            <w:r>
              <w:rPr>
                <w:rFonts w:ascii="Arial" w:cs="Arial" w:eastAsia="Arial" w:hAnsi="Arial"/>
                <w:sz w:val="15"/>
                <w:szCs w:val="15"/>
                <w:color w:val="auto"/>
              </w:rPr>
              <w:t>L</w:t>
            </w:r>
            <w:r>
              <w:rPr>
                <w:rFonts w:ascii="Arial" w:cs="Arial" w:eastAsia="Arial" w:hAnsi="Arial"/>
                <w:sz w:val="12"/>
                <w:szCs w:val="12"/>
                <w:color w:val="auto"/>
              </w:rPr>
              <w:t>YNN</w:t>
            </w:r>
            <w:r>
              <w:rPr>
                <w:rFonts w:ascii="Arial" w:cs="Arial" w:eastAsia="Arial" w:hAnsi="Arial"/>
                <w:sz w:val="15"/>
                <w:szCs w:val="15"/>
                <w:color w:val="auto"/>
              </w:rPr>
              <w:t xml:space="preserve"> J. B</w:t>
            </w:r>
            <w:r>
              <w:rPr>
                <w:rFonts w:ascii="Arial" w:cs="Arial" w:eastAsia="Arial" w:hAnsi="Arial"/>
                <w:sz w:val="12"/>
                <w:szCs w:val="12"/>
                <w:color w:val="auto"/>
              </w:rPr>
              <w:t>EASLEY</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Director</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3"/>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320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5"/>
              </w:rPr>
              <w:t>Lynn J. Beasley</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40" w:type="dxa"/>
            <w:vAlign w:val="bottom"/>
          </w:tcPr>
          <w:p>
            <w:pPr>
              <w:ind w:left="1560"/>
              <w:spacing w:after="0"/>
              <w:rPr>
                <w:sz w:val="20"/>
                <w:szCs w:val="20"/>
                <w:color w:val="auto"/>
              </w:rPr>
            </w:pPr>
            <w:r>
              <w:rPr>
                <w:rFonts w:ascii="Arial" w:cs="Arial" w:eastAsia="Arial" w:hAnsi="Arial"/>
                <w:sz w:val="15"/>
                <w:szCs w:val="15"/>
                <w:color w:val="auto"/>
              </w:rPr>
              <w:t>/s/</w:t>
            </w:r>
          </w:p>
        </w:tc>
        <w:tc>
          <w:tcPr>
            <w:tcW w:w="3200" w:type="dxa"/>
            <w:vAlign w:val="bottom"/>
            <w:gridSpan w:val="3"/>
          </w:tcPr>
          <w:p>
            <w:pPr>
              <w:jc w:val="center"/>
              <w:ind w:right="1820"/>
              <w:spacing w:after="0"/>
              <w:rPr>
                <w:sz w:val="20"/>
                <w:szCs w:val="20"/>
                <w:color w:val="auto"/>
              </w:rPr>
            </w:pPr>
            <w:r>
              <w:rPr>
                <w:rFonts w:ascii="Arial" w:cs="Arial" w:eastAsia="Arial" w:hAnsi="Arial"/>
                <w:sz w:val="15"/>
                <w:szCs w:val="15"/>
                <w:color w:val="auto"/>
                <w:w w:val="99"/>
              </w:rPr>
              <w:t>G</w:t>
            </w:r>
            <w:r>
              <w:rPr>
                <w:rFonts w:ascii="Arial" w:cs="Arial" w:eastAsia="Arial" w:hAnsi="Arial"/>
                <w:sz w:val="12"/>
                <w:szCs w:val="12"/>
                <w:color w:val="auto"/>
                <w:w w:val="99"/>
              </w:rPr>
              <w:t>ORDON</w:t>
            </w:r>
            <w:r>
              <w:rPr>
                <w:rFonts w:ascii="Arial" w:cs="Arial" w:eastAsia="Arial" w:hAnsi="Arial"/>
                <w:sz w:val="15"/>
                <w:szCs w:val="15"/>
                <w:color w:val="auto"/>
                <w:w w:val="99"/>
              </w:rPr>
              <w:t xml:space="preserve"> F. B</w:t>
            </w:r>
            <w:r>
              <w:rPr>
                <w:rFonts w:ascii="Arial" w:cs="Arial" w:eastAsia="Arial" w:hAnsi="Arial"/>
                <w:sz w:val="12"/>
                <w:szCs w:val="12"/>
                <w:color w:val="auto"/>
                <w:w w:val="99"/>
              </w:rPr>
              <w:t>RUNNER</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Director</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3"/>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320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91"/>
              </w:rPr>
              <w:t>Gordon F. Brunner</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40" w:type="dxa"/>
            <w:vAlign w:val="bottom"/>
          </w:tcPr>
          <w:p>
            <w:pPr>
              <w:ind w:left="1560"/>
              <w:spacing w:after="0"/>
              <w:rPr>
                <w:sz w:val="20"/>
                <w:szCs w:val="20"/>
                <w:color w:val="auto"/>
              </w:rPr>
            </w:pPr>
            <w:r>
              <w:rPr>
                <w:rFonts w:ascii="Arial" w:cs="Arial" w:eastAsia="Arial" w:hAnsi="Arial"/>
                <w:sz w:val="15"/>
                <w:szCs w:val="15"/>
                <w:color w:val="auto"/>
              </w:rPr>
              <w:t>/s/</w:t>
            </w:r>
          </w:p>
        </w:tc>
        <w:tc>
          <w:tcPr>
            <w:tcW w:w="3200" w:type="dxa"/>
            <w:vAlign w:val="bottom"/>
            <w:gridSpan w:val="3"/>
          </w:tcPr>
          <w:p>
            <w:pPr>
              <w:jc w:val="center"/>
              <w:ind w:right="1820"/>
              <w:spacing w:after="0"/>
              <w:rPr>
                <w:sz w:val="20"/>
                <w:szCs w:val="20"/>
                <w:color w:val="auto"/>
              </w:rPr>
            </w:pPr>
            <w:r>
              <w:rPr>
                <w:rFonts w:ascii="Arial" w:cs="Arial" w:eastAsia="Arial" w:hAnsi="Arial"/>
                <w:sz w:val="15"/>
                <w:szCs w:val="15"/>
                <w:color w:val="auto"/>
              </w:rPr>
              <w:t>A</w:t>
            </w:r>
            <w:r>
              <w:rPr>
                <w:rFonts w:ascii="Arial" w:cs="Arial" w:eastAsia="Arial" w:hAnsi="Arial"/>
                <w:sz w:val="12"/>
                <w:szCs w:val="12"/>
                <w:color w:val="auto"/>
              </w:rPr>
              <w:t>RNOLD</w:t>
            </w:r>
            <w:r>
              <w:rPr>
                <w:rFonts w:ascii="Arial" w:cs="Arial" w:eastAsia="Arial" w:hAnsi="Arial"/>
                <w:sz w:val="15"/>
                <w:szCs w:val="15"/>
                <w:color w:val="auto"/>
              </w:rPr>
              <w:t xml:space="preserve"> W. D</w:t>
            </w:r>
            <w:r>
              <w:rPr>
                <w:rFonts w:ascii="Arial" w:cs="Arial" w:eastAsia="Arial" w:hAnsi="Arial"/>
                <w:sz w:val="12"/>
                <w:szCs w:val="12"/>
                <w:color w:val="auto"/>
              </w:rPr>
              <w:t>ONALD</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Director</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3"/>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2"/>
                <w:szCs w:val="12"/>
                <w:b w:val="1"/>
                <w:bCs w:val="1"/>
                <w:color w:val="auto"/>
                <w:w w:val="91"/>
              </w:rPr>
              <w:t>Arnold W. Donald</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40" w:type="dxa"/>
            <w:vAlign w:val="bottom"/>
          </w:tcPr>
          <w:p>
            <w:pPr>
              <w:ind w:left="1580"/>
              <w:spacing w:after="0"/>
              <w:rPr>
                <w:sz w:val="20"/>
                <w:szCs w:val="20"/>
                <w:color w:val="auto"/>
              </w:rPr>
            </w:pPr>
            <w:r>
              <w:rPr>
                <w:rFonts w:ascii="Arial" w:cs="Arial" w:eastAsia="Arial" w:hAnsi="Arial"/>
                <w:sz w:val="15"/>
                <w:szCs w:val="15"/>
                <w:color w:val="auto"/>
              </w:rPr>
              <w:t>/s/</w:t>
            </w:r>
          </w:p>
        </w:tc>
        <w:tc>
          <w:tcPr>
            <w:tcW w:w="3200" w:type="dxa"/>
            <w:vAlign w:val="bottom"/>
            <w:gridSpan w:val="3"/>
          </w:tcPr>
          <w:p>
            <w:pPr>
              <w:jc w:val="center"/>
              <w:ind w:right="1800"/>
              <w:spacing w:after="0"/>
              <w:rPr>
                <w:sz w:val="20"/>
                <w:szCs w:val="20"/>
                <w:color w:val="auto"/>
              </w:rPr>
            </w:pPr>
            <w:r>
              <w:rPr>
                <w:rFonts w:ascii="Arial" w:cs="Arial" w:eastAsia="Arial" w:hAnsi="Arial"/>
                <w:sz w:val="15"/>
                <w:szCs w:val="15"/>
                <w:color w:val="auto"/>
                <w:w w:val="95"/>
              </w:rPr>
              <w:t>J</w:t>
            </w:r>
            <w:r>
              <w:rPr>
                <w:rFonts w:ascii="Arial" w:cs="Arial" w:eastAsia="Arial" w:hAnsi="Arial"/>
                <w:sz w:val="12"/>
                <w:szCs w:val="12"/>
                <w:color w:val="auto"/>
                <w:w w:val="95"/>
              </w:rPr>
              <w:t>OSEPH</w:t>
            </w:r>
            <w:r>
              <w:rPr>
                <w:rFonts w:ascii="Arial" w:cs="Arial" w:eastAsia="Arial" w:hAnsi="Arial"/>
                <w:sz w:val="15"/>
                <w:szCs w:val="15"/>
                <w:color w:val="auto"/>
                <w:w w:val="95"/>
              </w:rPr>
              <w:t xml:space="preserve"> P. F</w:t>
            </w:r>
            <w:r>
              <w:rPr>
                <w:rFonts w:ascii="Arial" w:cs="Arial" w:eastAsia="Arial" w:hAnsi="Arial"/>
                <w:sz w:val="12"/>
                <w:szCs w:val="12"/>
                <w:color w:val="auto"/>
                <w:w w:val="95"/>
              </w:rPr>
              <w:t>LANNERY</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Director</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3"/>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320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5"/>
              </w:rPr>
              <w:t>Joseph P. Flannery</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840" w:type="dxa"/>
            <w:vAlign w:val="bottom"/>
          </w:tcPr>
          <w:p>
            <w:pPr>
              <w:ind w:left="1640"/>
              <w:spacing w:after="0"/>
              <w:rPr>
                <w:sz w:val="20"/>
                <w:szCs w:val="20"/>
                <w:color w:val="auto"/>
              </w:rPr>
            </w:pPr>
            <w:r>
              <w:rPr>
                <w:rFonts w:ascii="Arial" w:cs="Arial" w:eastAsia="Arial" w:hAnsi="Arial"/>
                <w:sz w:val="15"/>
                <w:szCs w:val="15"/>
                <w:color w:val="auto"/>
              </w:rPr>
              <w:t>/s/</w:t>
            </w:r>
          </w:p>
        </w:tc>
        <w:tc>
          <w:tcPr>
            <w:tcW w:w="3200" w:type="dxa"/>
            <w:vAlign w:val="bottom"/>
            <w:gridSpan w:val="3"/>
          </w:tcPr>
          <w:p>
            <w:pPr>
              <w:jc w:val="center"/>
              <w:ind w:right="1820"/>
              <w:spacing w:after="0"/>
              <w:rPr>
                <w:sz w:val="20"/>
                <w:szCs w:val="20"/>
                <w:color w:val="auto"/>
              </w:rPr>
            </w:pPr>
            <w:r>
              <w:rPr>
                <w:rFonts w:ascii="Arial" w:cs="Arial" w:eastAsia="Arial" w:hAnsi="Arial"/>
                <w:sz w:val="15"/>
                <w:szCs w:val="15"/>
                <w:color w:val="auto"/>
              </w:rPr>
              <w:t>J</w:t>
            </w:r>
            <w:r>
              <w:rPr>
                <w:rFonts w:ascii="Arial" w:cs="Arial" w:eastAsia="Arial" w:hAnsi="Arial"/>
                <w:sz w:val="12"/>
                <w:szCs w:val="12"/>
                <w:color w:val="auto"/>
              </w:rPr>
              <w:t>AMES</w:t>
            </w:r>
            <w:r>
              <w:rPr>
                <w:rFonts w:ascii="Arial" w:cs="Arial" w:eastAsia="Arial" w:hAnsi="Arial"/>
                <w:sz w:val="15"/>
                <w:szCs w:val="15"/>
                <w:color w:val="auto"/>
              </w:rPr>
              <w:t xml:space="preserve"> H</w:t>
            </w:r>
            <w:r>
              <w:rPr>
                <w:rFonts w:ascii="Arial" w:cs="Arial" w:eastAsia="Arial" w:hAnsi="Arial"/>
                <w:sz w:val="12"/>
                <w:szCs w:val="12"/>
                <w:color w:val="auto"/>
              </w:rPr>
              <w:t>AGEDORN</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President, Chief Executive Officer and Chairman</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101"/>
        </w:trPr>
        <w:tc>
          <w:tcPr>
            <w:tcW w:w="18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080" w:type="dxa"/>
            <w:vAlign w:val="bottom"/>
            <w:gridSpan w:val="3"/>
            <w:vMerge w:val="restart"/>
          </w:tcPr>
          <w:p>
            <w:pPr>
              <w:ind w:left="640"/>
              <w:spacing w:after="0"/>
              <w:rPr>
                <w:sz w:val="20"/>
                <w:szCs w:val="20"/>
                <w:color w:val="auto"/>
              </w:rPr>
            </w:pPr>
            <w:r>
              <w:rPr>
                <w:rFonts w:ascii="Arial" w:cs="Arial" w:eastAsia="Arial" w:hAnsi="Arial"/>
                <w:sz w:val="15"/>
                <w:szCs w:val="15"/>
                <w:color w:val="auto"/>
              </w:rPr>
              <w:t>of the Board (Principal Executive Officer)</w:t>
            </w: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3200" w:type="dxa"/>
            <w:vAlign w:val="bottom"/>
            <w:gridSpan w:val="3"/>
            <w:vMerge w:val="restart"/>
          </w:tcPr>
          <w:p>
            <w:pPr>
              <w:jc w:val="center"/>
              <w:ind w:right="1840"/>
              <w:spacing w:after="0"/>
              <w:rPr>
                <w:sz w:val="20"/>
                <w:szCs w:val="20"/>
                <w:color w:val="auto"/>
              </w:rPr>
            </w:pPr>
            <w:r>
              <w:rPr>
                <w:rFonts w:ascii="Arial" w:cs="Arial" w:eastAsia="Arial" w:hAnsi="Arial"/>
                <w:sz w:val="12"/>
                <w:szCs w:val="12"/>
                <w:b w:val="1"/>
                <w:bCs w:val="1"/>
                <w:color w:val="auto"/>
                <w:w w:val="86"/>
              </w:rPr>
              <w:t>James Hagedorn</w:t>
            </w:r>
          </w:p>
        </w:tc>
        <w:tc>
          <w:tcPr>
            <w:tcW w:w="408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840" w:type="dxa"/>
            <w:vAlign w:val="bottom"/>
          </w:tcPr>
          <w:p>
            <w:pPr>
              <w:ind w:left="1640"/>
              <w:spacing w:after="0"/>
              <w:rPr>
                <w:sz w:val="20"/>
                <w:szCs w:val="20"/>
                <w:color w:val="auto"/>
              </w:rPr>
            </w:pPr>
            <w:r>
              <w:rPr>
                <w:rFonts w:ascii="Arial" w:cs="Arial" w:eastAsia="Arial" w:hAnsi="Arial"/>
                <w:sz w:val="15"/>
                <w:szCs w:val="15"/>
                <w:color w:val="auto"/>
              </w:rPr>
              <w:t>/s/</w:t>
            </w:r>
          </w:p>
        </w:tc>
        <w:tc>
          <w:tcPr>
            <w:tcW w:w="3200" w:type="dxa"/>
            <w:vAlign w:val="bottom"/>
            <w:gridSpan w:val="3"/>
          </w:tcPr>
          <w:p>
            <w:pPr>
              <w:jc w:val="center"/>
              <w:ind w:right="1820"/>
              <w:spacing w:after="0"/>
              <w:rPr>
                <w:sz w:val="20"/>
                <w:szCs w:val="20"/>
                <w:color w:val="auto"/>
              </w:rPr>
            </w:pPr>
            <w:r>
              <w:rPr>
                <w:rFonts w:ascii="Arial" w:cs="Arial" w:eastAsia="Arial" w:hAnsi="Arial"/>
                <w:sz w:val="15"/>
                <w:szCs w:val="15"/>
                <w:color w:val="auto"/>
                <w:w w:val="99"/>
              </w:rPr>
              <w:t>A</w:t>
            </w:r>
            <w:r>
              <w:rPr>
                <w:rFonts w:ascii="Arial" w:cs="Arial" w:eastAsia="Arial" w:hAnsi="Arial"/>
                <w:sz w:val="12"/>
                <w:szCs w:val="12"/>
                <w:color w:val="auto"/>
                <w:w w:val="99"/>
              </w:rPr>
              <w:t>LBERT</w:t>
            </w:r>
            <w:r>
              <w:rPr>
                <w:rFonts w:ascii="Arial" w:cs="Arial" w:eastAsia="Arial" w:hAnsi="Arial"/>
                <w:sz w:val="15"/>
                <w:szCs w:val="15"/>
                <w:color w:val="auto"/>
                <w:w w:val="99"/>
              </w:rPr>
              <w:t xml:space="preserve"> E. H</w:t>
            </w:r>
            <w:r>
              <w:rPr>
                <w:rFonts w:ascii="Arial" w:cs="Arial" w:eastAsia="Arial" w:hAnsi="Arial"/>
                <w:sz w:val="12"/>
                <w:szCs w:val="12"/>
                <w:color w:val="auto"/>
                <w:w w:val="99"/>
              </w:rPr>
              <w:t>ARRIS</w:t>
            </w:r>
          </w:p>
        </w:tc>
        <w:tc>
          <w:tcPr>
            <w:tcW w:w="4080" w:type="dxa"/>
            <w:vAlign w:val="bottom"/>
            <w:gridSpan w:val="3"/>
          </w:tcPr>
          <w:p>
            <w:pPr>
              <w:ind w:left="460"/>
              <w:spacing w:after="0"/>
              <w:rPr>
                <w:sz w:val="20"/>
                <w:szCs w:val="20"/>
                <w:color w:val="auto"/>
              </w:rPr>
            </w:pPr>
            <w:r>
              <w:rPr>
                <w:rFonts w:ascii="Arial" w:cs="Arial" w:eastAsia="Arial" w:hAnsi="Arial"/>
                <w:sz w:val="15"/>
                <w:szCs w:val="15"/>
                <w:color w:val="auto"/>
              </w:rPr>
              <w:t>Director</w:t>
            </w:r>
          </w:p>
        </w:tc>
        <w:tc>
          <w:tcPr>
            <w:tcW w:w="1600" w:type="dxa"/>
            <w:vAlign w:val="bottom"/>
            <w:gridSpan w:val="3"/>
          </w:tcPr>
          <w:p>
            <w:pPr>
              <w:jc w:val="center"/>
              <w:ind w:left="564"/>
              <w:spacing w:after="0"/>
              <w:rPr>
                <w:sz w:val="20"/>
                <w:szCs w:val="20"/>
                <w:color w:val="auto"/>
              </w:rPr>
            </w:pPr>
            <w:r>
              <w:rPr>
                <w:rFonts w:ascii="Arial" w:cs="Arial" w:eastAsia="Arial" w:hAnsi="Arial"/>
                <w:sz w:val="15"/>
                <w:szCs w:val="15"/>
                <w:color w:val="auto"/>
                <w:w w:val="89"/>
              </w:rPr>
              <w:t>January 6, 2004</w:t>
            </w:r>
          </w:p>
        </w:tc>
        <w:tc>
          <w:tcPr>
            <w:tcW w:w="0" w:type="dxa"/>
            <w:vAlign w:val="bottom"/>
          </w:tcPr>
          <w:p>
            <w:pPr>
              <w:spacing w:after="0"/>
              <w:rPr>
                <w:sz w:val="1"/>
                <w:szCs w:val="1"/>
                <w:color w:val="auto"/>
              </w:rPr>
            </w:pPr>
          </w:p>
        </w:tc>
      </w:tr>
      <w:tr>
        <w:trPr>
          <w:trHeight w:val="95"/>
        </w:trPr>
        <w:tc>
          <w:tcPr>
            <w:tcW w:w="18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3"/>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320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93"/>
              </w:rPr>
              <w:t>Albert E. Harris</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80" w:type="dxa"/>
            <w:vAlign w:val="bottom"/>
            <w:gridSpan w:val="3"/>
          </w:tcPr>
          <w:p>
            <w:pPr>
              <w:ind w:left="560"/>
              <w:spacing w:after="0"/>
              <w:rPr>
                <w:sz w:val="20"/>
                <w:szCs w:val="20"/>
                <w:color w:val="auto"/>
              </w:rPr>
            </w:pPr>
            <w:r>
              <w:rPr>
                <w:rFonts w:ascii="Arial" w:cs="Arial" w:eastAsia="Arial" w:hAnsi="Arial"/>
                <w:sz w:val="15"/>
                <w:szCs w:val="15"/>
                <w:color w:val="auto"/>
              </w:rPr>
              <w:t>II-6</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17" w:right="27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ind w:left="2260"/>
        <w:spacing w:after="0"/>
        <w:tabs>
          <w:tab w:leader="none" w:pos="6900" w:val="left"/>
          <w:tab w:leader="none" w:pos="1010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60960</wp:posOffset>
            </wp:positionV>
            <wp:extent cx="4178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7830" cy="762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60960</wp:posOffset>
            </wp:positionV>
            <wp:extent cx="20129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60960</wp:posOffset>
            </wp:positionV>
            <wp:extent cx="20891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8915" cy="762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gridSpan w:val="2"/>
          </w:tcPr>
          <w:p>
            <w:pPr>
              <w:jc w:val="center"/>
              <w:ind w:right="213"/>
              <w:spacing w:after="0"/>
              <w:rPr>
                <w:sz w:val="20"/>
                <w:szCs w:val="20"/>
                <w:color w:val="auto"/>
              </w:rPr>
            </w:pPr>
            <w:r>
              <w:rPr>
                <w:rFonts w:ascii="Arial" w:cs="Arial" w:eastAsia="Arial" w:hAnsi="Arial"/>
                <w:sz w:val="15"/>
                <w:szCs w:val="15"/>
                <w:color w:val="auto"/>
              </w:rPr>
              <w:t>/s/  K</w:t>
            </w:r>
            <w:r>
              <w:rPr>
                <w:rFonts w:ascii="Arial" w:cs="Arial" w:eastAsia="Arial" w:hAnsi="Arial"/>
                <w:sz w:val="12"/>
                <w:szCs w:val="12"/>
                <w:color w:val="auto"/>
              </w:rPr>
              <w:t>ATHERINE</w:t>
            </w:r>
            <w:r>
              <w:rPr>
                <w:rFonts w:ascii="Arial" w:cs="Arial" w:eastAsia="Arial" w:hAnsi="Arial"/>
                <w:sz w:val="15"/>
                <w:szCs w:val="15"/>
                <w:color w:val="auto"/>
              </w:rPr>
              <w:t xml:space="preserve"> H</w:t>
            </w:r>
            <w:r>
              <w:rPr>
                <w:rFonts w:ascii="Arial" w:cs="Arial" w:eastAsia="Arial" w:hAnsi="Arial"/>
                <w:sz w:val="12"/>
                <w:szCs w:val="12"/>
                <w:color w:val="auto"/>
              </w:rPr>
              <w:t>AGEDORN</w:t>
            </w:r>
            <w:r>
              <w:rPr>
                <w:rFonts w:ascii="Arial" w:cs="Arial" w:eastAsia="Arial" w:hAnsi="Arial"/>
                <w:sz w:val="15"/>
                <w:szCs w:val="15"/>
                <w:color w:val="auto"/>
              </w:rPr>
              <w:t xml:space="preserve"> L</w:t>
            </w:r>
            <w:r>
              <w:rPr>
                <w:rFonts w:ascii="Arial" w:cs="Arial" w:eastAsia="Arial" w:hAnsi="Arial"/>
                <w:sz w:val="12"/>
                <w:szCs w:val="12"/>
                <w:color w:val="auto"/>
              </w:rPr>
              <w:t>ITTLEFIELD</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95"/>
        </w:trPr>
        <w:tc>
          <w:tcPr>
            <w:tcW w:w="5040" w:type="dxa"/>
            <w:vAlign w:val="bottom"/>
            <w:tcBorders>
              <w:bottom w:val="single" w:sz="8" w:color="auto"/>
            </w:tcBorders>
            <w:gridSpan w:val="2"/>
          </w:tcPr>
          <w:p>
            <w:pPr>
              <w:spacing w:after="0"/>
              <w:rPr>
                <w:sz w:val="8"/>
                <w:szCs w:val="8"/>
                <w:color w:val="auto"/>
              </w:rPr>
            </w:pPr>
          </w:p>
        </w:tc>
        <w:tc>
          <w:tcPr>
            <w:tcW w:w="4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Katherine Hagedorn Littlefield</w:t>
            </w:r>
          </w:p>
        </w:tc>
        <w:tc>
          <w:tcPr>
            <w:tcW w:w="4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040" w:type="dxa"/>
            <w:vAlign w:val="bottom"/>
            <w:gridSpan w:val="2"/>
          </w:tcPr>
          <w:p>
            <w:pPr>
              <w:jc w:val="center"/>
              <w:ind w:right="193"/>
              <w:spacing w:after="0"/>
              <w:rPr>
                <w:sz w:val="20"/>
                <w:szCs w:val="20"/>
                <w:color w:val="auto"/>
              </w:rPr>
            </w:pPr>
            <w:r>
              <w:rPr>
                <w:rFonts w:ascii="Arial" w:cs="Arial" w:eastAsia="Arial" w:hAnsi="Arial"/>
                <w:sz w:val="15"/>
                <w:szCs w:val="15"/>
                <w:color w:val="auto"/>
              </w:rPr>
              <w:t>/s/  K</w:t>
            </w:r>
            <w:r>
              <w:rPr>
                <w:rFonts w:ascii="Arial" w:cs="Arial" w:eastAsia="Arial" w:hAnsi="Arial"/>
                <w:sz w:val="12"/>
                <w:szCs w:val="12"/>
                <w:color w:val="auto"/>
              </w:rPr>
              <w:t>AREN</w:t>
            </w:r>
            <w:r>
              <w:rPr>
                <w:rFonts w:ascii="Arial" w:cs="Arial" w:eastAsia="Arial" w:hAnsi="Arial"/>
                <w:sz w:val="15"/>
                <w:szCs w:val="15"/>
                <w:color w:val="auto"/>
              </w:rPr>
              <w:t xml:space="preserve"> G. M</w:t>
            </w:r>
            <w:r>
              <w:rPr>
                <w:rFonts w:ascii="Arial" w:cs="Arial" w:eastAsia="Arial" w:hAnsi="Arial"/>
                <w:sz w:val="12"/>
                <w:szCs w:val="12"/>
                <w:color w:val="auto"/>
              </w:rPr>
              <w:t>ILLS</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40" w:type="dxa"/>
            <w:vAlign w:val="bottom"/>
          </w:tcPr>
          <w:p>
            <w:pPr>
              <w:jc w:val="center"/>
              <w:ind w:right="1753"/>
              <w:spacing w:after="0"/>
              <w:rPr>
                <w:sz w:val="20"/>
                <w:szCs w:val="20"/>
                <w:color w:val="auto"/>
              </w:rPr>
            </w:pPr>
            <w:r>
              <w:rPr>
                <w:rFonts w:ascii="Arial" w:cs="Arial" w:eastAsia="Arial" w:hAnsi="Arial"/>
                <w:sz w:val="12"/>
                <w:szCs w:val="12"/>
                <w:b w:val="1"/>
                <w:bCs w:val="1"/>
                <w:color w:val="auto"/>
                <w:w w:val="92"/>
              </w:rPr>
              <w:t>Karen G. Mills</w:t>
            </w:r>
          </w:p>
        </w:tc>
        <w:tc>
          <w:tcPr>
            <w:tcW w:w="4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40" w:type="dxa"/>
            <w:vAlign w:val="bottom"/>
            <w:gridSpan w:val="2"/>
          </w:tcPr>
          <w:p>
            <w:pPr>
              <w:jc w:val="center"/>
              <w:ind w:right="213"/>
              <w:spacing w:after="0"/>
              <w:rPr>
                <w:sz w:val="20"/>
                <w:szCs w:val="20"/>
                <w:color w:val="auto"/>
              </w:rPr>
            </w:pPr>
            <w:r>
              <w:rPr>
                <w:rFonts w:ascii="Arial" w:cs="Arial" w:eastAsia="Arial" w:hAnsi="Arial"/>
                <w:sz w:val="15"/>
                <w:szCs w:val="15"/>
                <w:color w:val="auto"/>
              </w:rPr>
              <w:t>/s/  C</w:t>
            </w:r>
            <w:r>
              <w:rPr>
                <w:rFonts w:ascii="Arial" w:cs="Arial" w:eastAsia="Arial" w:hAnsi="Arial"/>
                <w:sz w:val="12"/>
                <w:szCs w:val="12"/>
                <w:color w:val="auto"/>
              </w:rPr>
              <w:t>HRISTOPHER</w:t>
            </w:r>
            <w:r>
              <w:rPr>
                <w:rFonts w:ascii="Arial" w:cs="Arial" w:eastAsia="Arial" w:hAnsi="Arial"/>
                <w:sz w:val="15"/>
                <w:szCs w:val="15"/>
                <w:color w:val="auto"/>
              </w:rPr>
              <w:t xml:space="preserve"> L. N</w:t>
            </w:r>
            <w:r>
              <w:rPr>
                <w:rFonts w:ascii="Arial" w:cs="Arial" w:eastAsia="Arial" w:hAnsi="Arial"/>
                <w:sz w:val="12"/>
                <w:szCs w:val="12"/>
                <w:color w:val="auto"/>
              </w:rPr>
              <w:t>AGEL</w:t>
            </w:r>
          </w:p>
        </w:tc>
        <w:tc>
          <w:tcPr>
            <w:tcW w:w="4020" w:type="dxa"/>
            <w:vAlign w:val="bottom"/>
          </w:tcPr>
          <w:p>
            <w:pPr>
              <w:ind w:left="460"/>
              <w:spacing w:after="0"/>
              <w:rPr>
                <w:sz w:val="20"/>
                <w:szCs w:val="20"/>
                <w:color w:val="auto"/>
              </w:rPr>
            </w:pPr>
            <w:r>
              <w:rPr>
                <w:rFonts w:ascii="Arial" w:cs="Arial" w:eastAsia="Arial" w:hAnsi="Arial"/>
                <w:sz w:val="15"/>
                <w:szCs w:val="15"/>
                <w:color w:val="auto"/>
              </w:rPr>
              <w:t>Executive Vice President and Chief Financial</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101"/>
        </w:trPr>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vMerge w:val="restart"/>
          </w:tcPr>
          <w:p>
            <w:pPr>
              <w:ind w:left="640"/>
              <w:spacing w:after="0"/>
              <w:rPr>
                <w:sz w:val="20"/>
                <w:szCs w:val="20"/>
                <w:color w:val="auto"/>
              </w:rPr>
            </w:pPr>
            <w:r>
              <w:rPr>
                <w:rFonts w:ascii="Arial" w:cs="Arial" w:eastAsia="Arial" w:hAnsi="Arial"/>
                <w:sz w:val="15"/>
                <w:szCs w:val="15"/>
                <w:color w:val="auto"/>
              </w:rPr>
              <w:t>Officer (Principal Financial and Accounting</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3240" w:type="dxa"/>
            <w:vAlign w:val="bottom"/>
          </w:tcPr>
          <w:p>
            <w:pPr>
              <w:jc w:val="center"/>
              <w:ind w:right="1753"/>
              <w:spacing w:after="0"/>
              <w:rPr>
                <w:sz w:val="20"/>
                <w:szCs w:val="20"/>
                <w:color w:val="auto"/>
              </w:rPr>
            </w:pPr>
            <w:r>
              <w:rPr>
                <w:rFonts w:ascii="Arial" w:cs="Arial" w:eastAsia="Arial" w:hAnsi="Arial"/>
                <w:sz w:val="12"/>
                <w:szCs w:val="12"/>
                <w:b w:val="1"/>
                <w:bCs w:val="1"/>
                <w:color w:val="auto"/>
                <w:w w:val="89"/>
              </w:rPr>
              <w:t>Christopher L. Nagel</w:t>
            </w:r>
          </w:p>
        </w:tc>
        <w:tc>
          <w:tcPr>
            <w:tcW w:w="4020" w:type="dxa"/>
            <w:vAlign w:val="bottom"/>
          </w:tcPr>
          <w:p>
            <w:pPr>
              <w:ind w:left="640"/>
              <w:spacing w:after="0"/>
              <w:rPr>
                <w:sz w:val="20"/>
                <w:szCs w:val="20"/>
                <w:color w:val="auto"/>
              </w:rPr>
            </w:pPr>
            <w:r>
              <w:rPr>
                <w:rFonts w:ascii="Arial" w:cs="Arial" w:eastAsia="Arial" w:hAnsi="Arial"/>
                <w:sz w:val="15"/>
                <w:szCs w:val="15"/>
                <w:color w:val="auto"/>
              </w:rPr>
              <w:t>Officer)</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800" w:type="dxa"/>
            <w:vAlign w:val="bottom"/>
          </w:tcPr>
          <w:p>
            <w:pPr>
              <w:ind w:left="1600"/>
              <w:spacing w:after="0"/>
              <w:rPr>
                <w:sz w:val="20"/>
                <w:szCs w:val="20"/>
                <w:color w:val="auto"/>
              </w:rPr>
            </w:pPr>
            <w:r>
              <w:rPr>
                <w:rFonts w:ascii="Arial" w:cs="Arial" w:eastAsia="Arial" w:hAnsi="Arial"/>
                <w:sz w:val="15"/>
                <w:szCs w:val="15"/>
                <w:color w:val="auto"/>
              </w:rPr>
              <w:t>/s/</w:t>
            </w:r>
          </w:p>
        </w:tc>
        <w:tc>
          <w:tcPr>
            <w:tcW w:w="3240" w:type="dxa"/>
            <w:vAlign w:val="bottom"/>
          </w:tcPr>
          <w:p>
            <w:pPr>
              <w:ind w:left="100"/>
              <w:spacing w:after="0"/>
              <w:rPr>
                <w:sz w:val="20"/>
                <w:szCs w:val="20"/>
                <w:color w:val="auto"/>
              </w:rPr>
            </w:pPr>
            <w:r>
              <w:rPr>
                <w:rFonts w:ascii="Arial" w:cs="Arial" w:eastAsia="Arial" w:hAnsi="Arial"/>
                <w:sz w:val="15"/>
                <w:szCs w:val="15"/>
                <w:color w:val="auto"/>
              </w:rPr>
              <w:t>P</w:t>
            </w:r>
            <w:r>
              <w:rPr>
                <w:rFonts w:ascii="Arial" w:cs="Arial" w:eastAsia="Arial" w:hAnsi="Arial"/>
                <w:sz w:val="12"/>
                <w:szCs w:val="12"/>
                <w:color w:val="auto"/>
              </w:rPr>
              <w:t>ATRICK</w:t>
            </w:r>
            <w:r>
              <w:rPr>
                <w:rFonts w:ascii="Arial" w:cs="Arial" w:eastAsia="Arial" w:hAnsi="Arial"/>
                <w:sz w:val="15"/>
                <w:szCs w:val="15"/>
                <w:color w:val="auto"/>
              </w:rPr>
              <w:t xml:space="preserve"> J. N</w:t>
            </w:r>
            <w:r>
              <w:rPr>
                <w:rFonts w:ascii="Arial" w:cs="Arial" w:eastAsia="Arial" w:hAnsi="Arial"/>
                <w:sz w:val="12"/>
                <w:szCs w:val="12"/>
                <w:color w:val="auto"/>
              </w:rPr>
              <w:t>ORTON</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40" w:type="dxa"/>
            <w:vAlign w:val="bottom"/>
          </w:tcPr>
          <w:p>
            <w:pPr>
              <w:jc w:val="center"/>
              <w:ind w:right="1733"/>
              <w:spacing w:after="0"/>
              <w:rPr>
                <w:sz w:val="20"/>
                <w:szCs w:val="20"/>
                <w:color w:val="auto"/>
              </w:rPr>
            </w:pPr>
            <w:r>
              <w:rPr>
                <w:rFonts w:ascii="Arial" w:cs="Arial" w:eastAsia="Arial" w:hAnsi="Arial"/>
                <w:sz w:val="12"/>
                <w:szCs w:val="12"/>
                <w:b w:val="1"/>
                <w:bCs w:val="1"/>
                <w:color w:val="auto"/>
                <w:w w:val="91"/>
              </w:rPr>
              <w:t>Patrick J. Norton</w:t>
            </w:r>
          </w:p>
        </w:tc>
        <w:tc>
          <w:tcPr>
            <w:tcW w:w="4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00" w:type="dxa"/>
            <w:vAlign w:val="bottom"/>
          </w:tcPr>
          <w:p>
            <w:pPr>
              <w:ind w:left="1540"/>
              <w:spacing w:after="0"/>
              <w:rPr>
                <w:sz w:val="20"/>
                <w:szCs w:val="20"/>
                <w:color w:val="auto"/>
              </w:rPr>
            </w:pPr>
            <w:r>
              <w:rPr>
                <w:rFonts w:ascii="Arial" w:cs="Arial" w:eastAsia="Arial" w:hAnsi="Arial"/>
                <w:sz w:val="15"/>
                <w:szCs w:val="15"/>
                <w:color w:val="auto"/>
              </w:rPr>
              <w:t>/s/</w:t>
            </w:r>
          </w:p>
        </w:tc>
        <w:tc>
          <w:tcPr>
            <w:tcW w:w="3240" w:type="dxa"/>
            <w:vAlign w:val="bottom"/>
          </w:tcPr>
          <w:p>
            <w:pPr>
              <w:jc w:val="center"/>
              <w:ind w:right="1713"/>
              <w:spacing w:after="0"/>
              <w:rPr>
                <w:sz w:val="20"/>
                <w:szCs w:val="20"/>
                <w:color w:val="auto"/>
              </w:rPr>
            </w:pPr>
            <w:r>
              <w:rPr>
                <w:rFonts w:ascii="Arial" w:cs="Arial" w:eastAsia="Arial" w:hAnsi="Arial"/>
                <w:sz w:val="15"/>
                <w:szCs w:val="15"/>
                <w:color w:val="auto"/>
                <w:w w:val="99"/>
              </w:rPr>
              <w:t>S</w:t>
            </w:r>
            <w:r>
              <w:rPr>
                <w:rFonts w:ascii="Arial" w:cs="Arial" w:eastAsia="Arial" w:hAnsi="Arial"/>
                <w:sz w:val="12"/>
                <w:szCs w:val="12"/>
                <w:color w:val="auto"/>
                <w:w w:val="99"/>
              </w:rPr>
              <w:t>TEPHANIE</w:t>
            </w:r>
            <w:r>
              <w:rPr>
                <w:rFonts w:ascii="Arial" w:cs="Arial" w:eastAsia="Arial" w:hAnsi="Arial"/>
                <w:sz w:val="15"/>
                <w:szCs w:val="15"/>
                <w:color w:val="auto"/>
                <w:w w:val="99"/>
              </w:rPr>
              <w:t xml:space="preserve"> M. S</w:t>
            </w:r>
            <w:r>
              <w:rPr>
                <w:rFonts w:ascii="Arial" w:cs="Arial" w:eastAsia="Arial" w:hAnsi="Arial"/>
                <w:sz w:val="12"/>
                <w:szCs w:val="12"/>
                <w:color w:val="auto"/>
                <w:w w:val="99"/>
              </w:rPr>
              <w:t>HERN</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40" w:type="dxa"/>
            <w:vAlign w:val="bottom"/>
          </w:tcPr>
          <w:p>
            <w:pPr>
              <w:jc w:val="center"/>
              <w:ind w:right="1733"/>
              <w:spacing w:after="0"/>
              <w:rPr>
                <w:sz w:val="20"/>
                <w:szCs w:val="20"/>
                <w:color w:val="auto"/>
              </w:rPr>
            </w:pPr>
            <w:r>
              <w:rPr>
                <w:rFonts w:ascii="Arial" w:cs="Arial" w:eastAsia="Arial" w:hAnsi="Arial"/>
                <w:sz w:val="12"/>
                <w:szCs w:val="12"/>
                <w:b w:val="1"/>
                <w:bCs w:val="1"/>
                <w:color w:val="auto"/>
                <w:w w:val="89"/>
              </w:rPr>
              <w:t>Stephanie M. Shern</w:t>
            </w:r>
          </w:p>
        </w:tc>
        <w:tc>
          <w:tcPr>
            <w:tcW w:w="4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00" w:type="dxa"/>
            <w:vAlign w:val="bottom"/>
          </w:tcPr>
          <w:p>
            <w:pPr>
              <w:ind w:left="1620"/>
              <w:spacing w:after="0"/>
              <w:rPr>
                <w:sz w:val="20"/>
                <w:szCs w:val="20"/>
                <w:color w:val="auto"/>
              </w:rPr>
            </w:pPr>
            <w:r>
              <w:rPr>
                <w:rFonts w:ascii="Arial" w:cs="Arial" w:eastAsia="Arial" w:hAnsi="Arial"/>
                <w:sz w:val="15"/>
                <w:szCs w:val="15"/>
                <w:color w:val="auto"/>
              </w:rPr>
              <w:t>/s/</w:t>
            </w:r>
          </w:p>
        </w:tc>
        <w:tc>
          <w:tcPr>
            <w:tcW w:w="3240" w:type="dxa"/>
            <w:vAlign w:val="bottom"/>
          </w:tcPr>
          <w:p>
            <w:pPr>
              <w:ind w:left="120"/>
              <w:spacing w:after="0"/>
              <w:rPr>
                <w:sz w:val="20"/>
                <w:szCs w:val="20"/>
                <w:color w:val="auto"/>
              </w:rPr>
            </w:pPr>
            <w:r>
              <w:rPr>
                <w:rFonts w:ascii="Arial" w:cs="Arial" w:eastAsia="Arial" w:hAnsi="Arial"/>
                <w:sz w:val="15"/>
                <w:szCs w:val="15"/>
                <w:color w:val="auto"/>
              </w:rPr>
              <w:t>J</w:t>
            </w:r>
            <w:r>
              <w:rPr>
                <w:rFonts w:ascii="Arial" w:cs="Arial" w:eastAsia="Arial" w:hAnsi="Arial"/>
                <w:sz w:val="12"/>
                <w:szCs w:val="12"/>
                <w:color w:val="auto"/>
              </w:rPr>
              <w:t>OHN</w:t>
            </w:r>
            <w:r>
              <w:rPr>
                <w:rFonts w:ascii="Arial" w:cs="Arial" w:eastAsia="Arial" w:hAnsi="Arial"/>
                <w:sz w:val="15"/>
                <w:szCs w:val="15"/>
                <w:color w:val="auto"/>
              </w:rPr>
              <w:t xml:space="preserve"> M. S</w:t>
            </w:r>
            <w:r>
              <w:rPr>
                <w:rFonts w:ascii="Arial" w:cs="Arial" w:eastAsia="Arial" w:hAnsi="Arial"/>
                <w:sz w:val="12"/>
                <w:szCs w:val="12"/>
                <w:color w:val="auto"/>
              </w:rPr>
              <w:t>ULLIVAN</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40" w:type="dxa"/>
            <w:vAlign w:val="bottom"/>
          </w:tcPr>
          <w:p>
            <w:pPr>
              <w:jc w:val="center"/>
              <w:ind w:right="1753"/>
              <w:spacing w:after="0"/>
              <w:rPr>
                <w:sz w:val="20"/>
                <w:szCs w:val="20"/>
                <w:color w:val="auto"/>
              </w:rPr>
            </w:pPr>
            <w:r>
              <w:rPr>
                <w:rFonts w:ascii="Arial" w:cs="Arial" w:eastAsia="Arial" w:hAnsi="Arial"/>
                <w:sz w:val="12"/>
                <w:szCs w:val="12"/>
                <w:b w:val="1"/>
                <w:bCs w:val="1"/>
                <w:color w:val="auto"/>
                <w:w w:val="90"/>
              </w:rPr>
              <w:t>John M. Sullivan</w:t>
            </w:r>
          </w:p>
        </w:tc>
        <w:tc>
          <w:tcPr>
            <w:tcW w:w="4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00" w:type="dxa"/>
            <w:vAlign w:val="bottom"/>
          </w:tcPr>
          <w:p>
            <w:pPr>
              <w:ind w:left="1520"/>
              <w:spacing w:after="0"/>
              <w:rPr>
                <w:sz w:val="20"/>
                <w:szCs w:val="20"/>
                <w:color w:val="auto"/>
              </w:rPr>
            </w:pPr>
            <w:r>
              <w:rPr>
                <w:rFonts w:ascii="Arial" w:cs="Arial" w:eastAsia="Arial" w:hAnsi="Arial"/>
                <w:sz w:val="15"/>
                <w:szCs w:val="15"/>
                <w:color w:val="auto"/>
              </w:rPr>
              <w:t>/s/</w:t>
            </w:r>
          </w:p>
        </w:tc>
        <w:tc>
          <w:tcPr>
            <w:tcW w:w="3240" w:type="dxa"/>
            <w:vAlign w:val="bottom"/>
          </w:tcPr>
          <w:p>
            <w:pPr>
              <w:jc w:val="center"/>
              <w:ind w:right="1753"/>
              <w:spacing w:after="0"/>
              <w:rPr>
                <w:sz w:val="20"/>
                <w:szCs w:val="20"/>
                <w:color w:val="auto"/>
              </w:rPr>
            </w:pPr>
            <w:r>
              <w:rPr>
                <w:rFonts w:ascii="Arial" w:cs="Arial" w:eastAsia="Arial" w:hAnsi="Arial"/>
                <w:sz w:val="15"/>
                <w:szCs w:val="15"/>
                <w:color w:val="auto"/>
                <w:w w:val="99"/>
              </w:rPr>
              <w:t>J</w:t>
            </w:r>
            <w:r>
              <w:rPr>
                <w:rFonts w:ascii="Arial" w:cs="Arial" w:eastAsia="Arial" w:hAnsi="Arial"/>
                <w:sz w:val="12"/>
                <w:szCs w:val="12"/>
                <w:color w:val="auto"/>
                <w:w w:val="99"/>
              </w:rPr>
              <w:t>OHN</w:t>
            </w:r>
            <w:r>
              <w:rPr>
                <w:rFonts w:ascii="Arial" w:cs="Arial" w:eastAsia="Arial" w:hAnsi="Arial"/>
                <w:sz w:val="15"/>
                <w:szCs w:val="15"/>
                <w:color w:val="auto"/>
                <w:w w:val="99"/>
              </w:rPr>
              <w:t xml:space="preserve"> W</w:t>
            </w:r>
            <w:r>
              <w:rPr>
                <w:rFonts w:ascii="Arial" w:cs="Arial" w:eastAsia="Arial" w:hAnsi="Arial"/>
                <w:sz w:val="12"/>
                <w:szCs w:val="12"/>
                <w:color w:val="auto"/>
                <w:w w:val="99"/>
              </w:rPr>
              <w:t>ALKER</w:t>
            </w:r>
            <w:r>
              <w:rPr>
                <w:rFonts w:ascii="Arial" w:cs="Arial" w:eastAsia="Arial" w:hAnsi="Arial"/>
                <w:sz w:val="15"/>
                <w:szCs w:val="15"/>
                <w:color w:val="auto"/>
                <w:w w:val="99"/>
              </w:rPr>
              <w:t>, P</w:t>
            </w:r>
            <w:r>
              <w:rPr>
                <w:rFonts w:ascii="Arial" w:cs="Arial" w:eastAsia="Arial" w:hAnsi="Arial"/>
                <w:sz w:val="12"/>
                <w:szCs w:val="12"/>
                <w:color w:val="auto"/>
                <w:w w:val="99"/>
              </w:rPr>
              <w:t>H</w:t>
            </w:r>
            <w:r>
              <w:rPr>
                <w:rFonts w:ascii="Arial" w:cs="Arial" w:eastAsia="Arial" w:hAnsi="Arial"/>
                <w:sz w:val="15"/>
                <w:szCs w:val="15"/>
                <w:color w:val="auto"/>
                <w:w w:val="99"/>
              </w:rPr>
              <w:t>.D.</w:t>
            </w:r>
          </w:p>
        </w:tc>
        <w:tc>
          <w:tcPr>
            <w:tcW w:w="4020" w:type="dxa"/>
            <w:vAlign w:val="bottom"/>
          </w:tcPr>
          <w:p>
            <w:pPr>
              <w:ind w:left="46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00"/>
              <w:spacing w:after="0"/>
              <w:rPr>
                <w:sz w:val="20"/>
                <w:szCs w:val="20"/>
                <w:color w:val="auto"/>
              </w:rPr>
            </w:pPr>
            <w:r>
              <w:rPr>
                <w:rFonts w:ascii="Arial" w:cs="Arial" w:eastAsia="Arial" w:hAnsi="Arial"/>
                <w:sz w:val="15"/>
                <w:szCs w:val="15"/>
                <w:color w:val="auto"/>
                <w:w w:val="87"/>
              </w:rPr>
              <w:t>January 6,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319976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99765" cy="7620"/>
                    </a:xfrm>
                    <a:prstGeom prst="rect">
                      <a:avLst/>
                    </a:prstGeom>
                    <a:noFill/>
                  </pic:spPr>
                </pic:pic>
              </a:graphicData>
            </a:graphic>
          </wp:anchor>
        </w:drawing>
      </w:r>
    </w:p>
    <w:p>
      <w:pPr>
        <w:spacing w:after="0" w:line="170" w:lineRule="exact"/>
        <w:rPr>
          <w:sz w:val="20"/>
          <w:szCs w:val="20"/>
          <w:color w:val="auto"/>
        </w:rPr>
      </w:pPr>
    </w:p>
    <w:p>
      <w:pPr>
        <w:ind w:left="2020"/>
        <w:spacing w:after="0"/>
        <w:rPr>
          <w:sz w:val="20"/>
          <w:szCs w:val="20"/>
          <w:color w:val="auto"/>
        </w:rPr>
      </w:pPr>
      <w:r>
        <w:rPr>
          <w:rFonts w:ascii="Arial" w:cs="Arial" w:eastAsia="Arial" w:hAnsi="Arial"/>
          <w:sz w:val="12"/>
          <w:szCs w:val="12"/>
          <w:b w:val="1"/>
          <w:bCs w:val="1"/>
          <w:color w:val="auto"/>
        </w:rPr>
        <w:t>John Walker, Ph.D.</w:t>
      </w:r>
    </w:p>
    <w:p>
      <w:pPr>
        <w:spacing w:after="0" w:line="12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720"/>
          </w:cols>
          <w:pgMar w:left="240" w:top="417" w:right="9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4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Pursuant to the requirements of the Securities Act of 1933, as amended, each of the Registrants has duly caused this Registration Statement on Form S-4 to be signed on its behalf by the undersigned, thereunto duly authorized, in the City of Marysville, State of Ohio, on January 6, 2004.</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COTTS</w:t>
      </w:r>
      <w:r>
        <w:rPr>
          <w:rFonts w:ascii="Arial" w:cs="Arial" w:eastAsia="Arial" w:hAnsi="Arial"/>
          <w:sz w:val="14"/>
          <w:szCs w:val="14"/>
          <w:color w:val="auto"/>
        </w:rPr>
        <w:t xml:space="preserve"> M</w:t>
      </w:r>
      <w:r>
        <w:rPr>
          <w:rFonts w:ascii="Arial" w:cs="Arial" w:eastAsia="Arial" w:hAnsi="Arial"/>
          <w:sz w:val="11"/>
          <w:szCs w:val="11"/>
          <w:color w:val="auto"/>
        </w:rPr>
        <w:t>ANUFACTURING</w:t>
      </w:r>
      <w:r>
        <w:rPr>
          <w:rFonts w:ascii="Arial" w:cs="Arial" w:eastAsia="Arial" w:hAnsi="Arial"/>
          <w:sz w:val="14"/>
          <w:szCs w:val="14"/>
          <w:color w:val="auto"/>
        </w:rPr>
        <w:t xml:space="preserve"> C</w:t>
      </w:r>
      <w:r>
        <w:rPr>
          <w:rFonts w:ascii="Arial" w:cs="Arial" w:eastAsia="Arial" w:hAnsi="Arial"/>
          <w:sz w:val="11"/>
          <w:szCs w:val="11"/>
          <w:color w:val="auto"/>
        </w:rPr>
        <w:t>OMPANY</w:t>
      </w:r>
      <w:r>
        <w:rPr>
          <w:rFonts w:ascii="Arial" w:cs="Arial" w:eastAsia="Arial" w:hAnsi="Arial"/>
          <w:sz w:val="14"/>
          <w:szCs w:val="14"/>
          <w:color w:val="auto"/>
        </w:rPr>
        <w:t xml:space="preserve"> (as successor by merger to S</w:t>
      </w:r>
      <w:r>
        <w:rPr>
          <w:rFonts w:ascii="Arial" w:cs="Arial" w:eastAsia="Arial" w:hAnsi="Arial"/>
          <w:sz w:val="11"/>
          <w:szCs w:val="11"/>
          <w:color w:val="auto"/>
        </w:rPr>
        <w:t>COTTS</w:t>
      </w:r>
    </w:p>
    <w:p>
      <w:pPr>
        <w:spacing w:after="0" w:line="3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M</w:t>
      </w:r>
      <w:r>
        <w:rPr>
          <w:rFonts w:ascii="Arial" w:cs="Arial" w:eastAsia="Arial" w:hAnsi="Arial"/>
          <w:sz w:val="12"/>
          <w:szCs w:val="12"/>
          <w:color w:val="auto"/>
        </w:rPr>
        <w:t>IRACLE</w:t>
      </w:r>
      <w:r>
        <w:rPr>
          <w:rFonts w:ascii="Arial" w:cs="Arial" w:eastAsia="Arial" w:hAnsi="Arial"/>
          <w:sz w:val="15"/>
          <w:szCs w:val="15"/>
          <w:color w:val="auto"/>
        </w:rPr>
        <w:t>-G</w:t>
      </w:r>
      <w:r>
        <w:rPr>
          <w:rFonts w:ascii="Arial" w:cs="Arial" w:eastAsia="Arial" w:hAnsi="Arial"/>
          <w:sz w:val="12"/>
          <w:szCs w:val="12"/>
          <w:color w:val="auto"/>
        </w:rPr>
        <w:t>RO</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xml:space="preserve"> I</w:t>
      </w:r>
      <w:r>
        <w:rPr>
          <w:rFonts w:ascii="Arial" w:cs="Arial" w:eastAsia="Arial" w:hAnsi="Arial"/>
          <w:sz w:val="12"/>
          <w:szCs w:val="12"/>
          <w:color w:val="auto"/>
        </w:rPr>
        <w:t>NC</w:t>
      </w:r>
      <w:r>
        <w:rPr>
          <w:rFonts w:ascii="Arial" w:cs="Arial" w:eastAsia="Arial" w:hAnsi="Arial"/>
          <w:sz w:val="15"/>
          <w:szCs w:val="15"/>
          <w:color w:val="auto"/>
        </w:rPr>
        <w:t>.), a Delaware corporation</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M</w:t>
      </w:r>
      <w:r>
        <w:rPr>
          <w:rFonts w:ascii="Arial" w:cs="Arial" w:eastAsia="Arial" w:hAnsi="Arial"/>
          <w:sz w:val="12"/>
          <w:szCs w:val="12"/>
          <w:color w:val="auto"/>
        </w:rPr>
        <w:t>IRACLE</w:t>
      </w:r>
      <w:r>
        <w:rPr>
          <w:rFonts w:ascii="Arial" w:cs="Arial" w:eastAsia="Arial" w:hAnsi="Arial"/>
          <w:sz w:val="15"/>
          <w:szCs w:val="15"/>
          <w:color w:val="auto"/>
        </w:rPr>
        <w:t>-G</w:t>
      </w:r>
      <w:r>
        <w:rPr>
          <w:rFonts w:ascii="Arial" w:cs="Arial" w:eastAsia="Arial" w:hAnsi="Arial"/>
          <w:sz w:val="12"/>
          <w:szCs w:val="12"/>
          <w:color w:val="auto"/>
        </w:rPr>
        <w:t>RO</w:t>
      </w:r>
      <w:r>
        <w:rPr>
          <w:rFonts w:ascii="Arial" w:cs="Arial" w:eastAsia="Arial" w:hAnsi="Arial"/>
          <w:sz w:val="15"/>
          <w:szCs w:val="15"/>
          <w:color w:val="auto"/>
        </w:rPr>
        <w:t xml:space="preserve"> L</w:t>
      </w:r>
      <w:r>
        <w:rPr>
          <w:rFonts w:ascii="Arial" w:cs="Arial" w:eastAsia="Arial" w:hAnsi="Arial"/>
          <w:sz w:val="12"/>
          <w:szCs w:val="12"/>
          <w:color w:val="auto"/>
        </w:rPr>
        <w:t>AWN</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I</w:t>
      </w:r>
      <w:r>
        <w:rPr>
          <w:rFonts w:ascii="Arial" w:cs="Arial" w:eastAsia="Arial" w:hAnsi="Arial"/>
          <w:sz w:val="12"/>
          <w:szCs w:val="12"/>
          <w:color w:val="auto"/>
        </w:rPr>
        <w:t>NC</w:t>
      </w:r>
      <w:r>
        <w:rPr>
          <w:rFonts w:ascii="Arial" w:cs="Arial" w:eastAsia="Arial" w:hAnsi="Arial"/>
          <w:sz w:val="15"/>
          <w:szCs w:val="15"/>
          <w:color w:val="auto"/>
        </w:rPr>
        <w:t>., a New York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OMS I</w:t>
      </w:r>
      <w:r>
        <w:rPr>
          <w:rFonts w:ascii="Arial" w:cs="Arial" w:eastAsia="Arial" w:hAnsi="Arial"/>
          <w:sz w:val="12"/>
          <w:szCs w:val="12"/>
          <w:color w:val="auto"/>
        </w:rPr>
        <w:t>NVESTMENTS</w:t>
      </w:r>
      <w:r>
        <w:rPr>
          <w:rFonts w:ascii="Arial" w:cs="Arial" w:eastAsia="Arial" w:hAnsi="Arial"/>
          <w:sz w:val="15"/>
          <w:szCs w:val="15"/>
          <w:color w:val="auto"/>
        </w:rPr>
        <w:t>, I</w:t>
      </w:r>
      <w:r>
        <w:rPr>
          <w:rFonts w:ascii="Arial" w:cs="Arial" w:eastAsia="Arial" w:hAnsi="Arial"/>
          <w:sz w:val="12"/>
          <w:szCs w:val="12"/>
          <w:color w:val="auto"/>
        </w:rPr>
        <w:t>NC</w:t>
      </w:r>
      <w:r>
        <w:rPr>
          <w:rFonts w:ascii="Arial" w:cs="Arial" w:eastAsia="Arial" w:hAnsi="Arial"/>
          <w:sz w:val="15"/>
          <w:szCs w:val="15"/>
          <w:color w:val="auto"/>
        </w:rPr>
        <w:t>., a Delaware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H</w:t>
      </w:r>
      <w:r>
        <w:rPr>
          <w:rFonts w:ascii="Arial" w:cs="Arial" w:eastAsia="Arial" w:hAnsi="Arial"/>
          <w:sz w:val="12"/>
          <w:szCs w:val="12"/>
          <w:color w:val="auto"/>
        </w:rPr>
        <w:t>YPONEX</w:t>
      </w:r>
      <w:r>
        <w:rPr>
          <w:rFonts w:ascii="Arial" w:cs="Arial" w:eastAsia="Arial" w:hAnsi="Arial"/>
          <w:sz w:val="15"/>
          <w:szCs w:val="15"/>
          <w:color w:val="auto"/>
        </w:rPr>
        <w:t xml:space="preserve"> C</w:t>
      </w:r>
      <w:r>
        <w:rPr>
          <w:rFonts w:ascii="Arial" w:cs="Arial" w:eastAsia="Arial" w:hAnsi="Arial"/>
          <w:sz w:val="12"/>
          <w:szCs w:val="12"/>
          <w:color w:val="auto"/>
        </w:rPr>
        <w:t>ORPORATION</w:t>
      </w:r>
      <w:r>
        <w:rPr>
          <w:rFonts w:ascii="Arial" w:cs="Arial" w:eastAsia="Arial" w:hAnsi="Arial"/>
          <w:sz w:val="15"/>
          <w:szCs w:val="15"/>
          <w:color w:val="auto"/>
        </w:rPr>
        <w:t>, a Delaware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COTTS</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C</w:t>
      </w:r>
      <w:r>
        <w:rPr>
          <w:rFonts w:ascii="Arial" w:cs="Arial" w:eastAsia="Arial" w:hAnsi="Arial"/>
          <w:sz w:val="12"/>
          <w:szCs w:val="12"/>
          <w:color w:val="auto"/>
        </w:rPr>
        <w:t>O</w:t>
      </w:r>
      <w:r>
        <w:rPr>
          <w:rFonts w:ascii="Arial" w:cs="Arial" w:eastAsia="Arial" w:hAnsi="Arial"/>
          <w:sz w:val="15"/>
          <w:szCs w:val="15"/>
          <w:color w:val="auto"/>
        </w:rPr>
        <w:t>., an Ohio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COTTS</w:t>
      </w:r>
      <w:r>
        <w:rPr>
          <w:rFonts w:ascii="Arial" w:cs="Arial" w:eastAsia="Arial" w:hAnsi="Arial"/>
          <w:sz w:val="15"/>
          <w:szCs w:val="15"/>
          <w:color w:val="auto"/>
        </w:rPr>
        <w:t xml:space="preserve"> P</w:t>
      </w:r>
      <w:r>
        <w:rPr>
          <w:rFonts w:ascii="Arial" w:cs="Arial" w:eastAsia="Arial" w:hAnsi="Arial"/>
          <w:sz w:val="12"/>
          <w:szCs w:val="12"/>
          <w:color w:val="auto"/>
        </w:rPr>
        <w:t>ROFESSIONAL</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xml:space="preserve"> C</w:t>
      </w:r>
      <w:r>
        <w:rPr>
          <w:rFonts w:ascii="Arial" w:cs="Arial" w:eastAsia="Arial" w:hAnsi="Arial"/>
          <w:sz w:val="12"/>
          <w:szCs w:val="12"/>
          <w:color w:val="auto"/>
        </w:rPr>
        <w:t>O</w:t>
      </w:r>
      <w:r>
        <w:rPr>
          <w:rFonts w:ascii="Arial" w:cs="Arial" w:eastAsia="Arial" w:hAnsi="Arial"/>
          <w:sz w:val="15"/>
          <w:szCs w:val="15"/>
          <w:color w:val="auto"/>
        </w:rPr>
        <w:t>., an Ohio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COTTS</w:t>
      </w:r>
      <w:r>
        <w:rPr>
          <w:rFonts w:ascii="Arial" w:cs="Arial" w:eastAsia="Arial" w:hAnsi="Arial"/>
          <w:sz w:val="15"/>
          <w:szCs w:val="15"/>
          <w:color w:val="auto"/>
        </w:rPr>
        <w:t>-S</w:t>
      </w:r>
      <w:r>
        <w:rPr>
          <w:rFonts w:ascii="Arial" w:cs="Arial" w:eastAsia="Arial" w:hAnsi="Arial"/>
          <w:sz w:val="12"/>
          <w:szCs w:val="12"/>
          <w:color w:val="auto"/>
        </w:rPr>
        <w:t>IERRA</w:t>
      </w:r>
      <w:r>
        <w:rPr>
          <w:rFonts w:ascii="Arial" w:cs="Arial" w:eastAsia="Arial" w:hAnsi="Arial"/>
          <w:sz w:val="15"/>
          <w:szCs w:val="15"/>
          <w:color w:val="auto"/>
        </w:rPr>
        <w:t xml:space="preserve"> H</w:t>
      </w:r>
      <w:r>
        <w:rPr>
          <w:rFonts w:ascii="Arial" w:cs="Arial" w:eastAsia="Arial" w:hAnsi="Arial"/>
          <w:sz w:val="12"/>
          <w:szCs w:val="12"/>
          <w:color w:val="auto"/>
        </w:rPr>
        <w:t>ORTICULTURAL</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xml:space="preserve"> C</w:t>
      </w:r>
      <w:r>
        <w:rPr>
          <w:rFonts w:ascii="Arial" w:cs="Arial" w:eastAsia="Arial" w:hAnsi="Arial"/>
          <w:sz w:val="12"/>
          <w:szCs w:val="12"/>
          <w:color w:val="auto"/>
        </w:rPr>
        <w:t>OMPANY</w:t>
      </w:r>
      <w:r>
        <w:rPr>
          <w:rFonts w:ascii="Arial" w:cs="Arial" w:eastAsia="Arial" w:hAnsi="Arial"/>
          <w:sz w:val="15"/>
          <w:szCs w:val="15"/>
          <w:color w:val="auto"/>
        </w:rPr>
        <w:t>, a California</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corporation</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COTTS</w:t>
      </w:r>
      <w:r>
        <w:rPr>
          <w:rFonts w:ascii="Arial" w:cs="Arial" w:eastAsia="Arial" w:hAnsi="Arial"/>
          <w:sz w:val="14"/>
          <w:szCs w:val="14"/>
          <w:color w:val="auto"/>
        </w:rPr>
        <w:t>-S</w:t>
      </w:r>
      <w:r>
        <w:rPr>
          <w:rFonts w:ascii="Arial" w:cs="Arial" w:eastAsia="Arial" w:hAnsi="Arial"/>
          <w:sz w:val="11"/>
          <w:szCs w:val="11"/>
          <w:color w:val="auto"/>
        </w:rPr>
        <w:t>IERRA</w:t>
      </w:r>
      <w:r>
        <w:rPr>
          <w:rFonts w:ascii="Arial" w:cs="Arial" w:eastAsia="Arial" w:hAnsi="Arial"/>
          <w:sz w:val="14"/>
          <w:szCs w:val="14"/>
          <w:color w:val="auto"/>
        </w:rPr>
        <w:t xml:space="preserve"> C</w:t>
      </w:r>
      <w:r>
        <w:rPr>
          <w:rFonts w:ascii="Arial" w:cs="Arial" w:eastAsia="Arial" w:hAnsi="Arial"/>
          <w:sz w:val="11"/>
          <w:szCs w:val="11"/>
          <w:color w:val="auto"/>
        </w:rPr>
        <w:t>ROP</w:t>
      </w:r>
      <w:r>
        <w:rPr>
          <w:rFonts w:ascii="Arial" w:cs="Arial" w:eastAsia="Arial" w:hAnsi="Arial"/>
          <w:sz w:val="14"/>
          <w:szCs w:val="14"/>
          <w:color w:val="auto"/>
        </w:rPr>
        <w:t xml:space="preserve"> P</w:t>
      </w:r>
      <w:r>
        <w:rPr>
          <w:rFonts w:ascii="Arial" w:cs="Arial" w:eastAsia="Arial" w:hAnsi="Arial"/>
          <w:sz w:val="11"/>
          <w:szCs w:val="11"/>
          <w:color w:val="auto"/>
        </w:rPr>
        <w:t>ROTECTION</w:t>
      </w:r>
      <w:r>
        <w:rPr>
          <w:rFonts w:ascii="Arial" w:cs="Arial" w:eastAsia="Arial" w:hAnsi="Arial"/>
          <w:sz w:val="14"/>
          <w:szCs w:val="14"/>
          <w:color w:val="auto"/>
        </w:rPr>
        <w:t xml:space="preserve"> C</w:t>
      </w:r>
      <w:r>
        <w:rPr>
          <w:rFonts w:ascii="Arial" w:cs="Arial" w:eastAsia="Arial" w:hAnsi="Arial"/>
          <w:sz w:val="11"/>
          <w:szCs w:val="11"/>
          <w:color w:val="auto"/>
        </w:rPr>
        <w:t>OMPANY</w:t>
      </w:r>
      <w:r>
        <w:rPr>
          <w:rFonts w:ascii="Arial" w:cs="Arial" w:eastAsia="Arial" w:hAnsi="Arial"/>
          <w:sz w:val="14"/>
          <w:szCs w:val="14"/>
          <w:color w:val="auto"/>
        </w:rPr>
        <w:t>, a California corporation</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COTTS</w:t>
      </w:r>
      <w:r>
        <w:rPr>
          <w:rFonts w:ascii="Arial" w:cs="Arial" w:eastAsia="Arial" w:hAnsi="Arial"/>
          <w:sz w:val="15"/>
          <w:szCs w:val="15"/>
          <w:color w:val="auto"/>
        </w:rPr>
        <w:t>-S</w:t>
      </w:r>
      <w:r>
        <w:rPr>
          <w:rFonts w:ascii="Arial" w:cs="Arial" w:eastAsia="Arial" w:hAnsi="Arial"/>
          <w:sz w:val="12"/>
          <w:szCs w:val="12"/>
          <w:color w:val="auto"/>
        </w:rPr>
        <w:t>IERRA</w:t>
      </w:r>
      <w:r>
        <w:rPr>
          <w:rFonts w:ascii="Arial" w:cs="Arial" w:eastAsia="Arial" w:hAnsi="Arial"/>
          <w:sz w:val="15"/>
          <w:szCs w:val="15"/>
          <w:color w:val="auto"/>
        </w:rPr>
        <w:t xml:space="preserve"> I</w:t>
      </w:r>
      <w:r>
        <w:rPr>
          <w:rFonts w:ascii="Arial" w:cs="Arial" w:eastAsia="Arial" w:hAnsi="Arial"/>
          <w:sz w:val="12"/>
          <w:szCs w:val="12"/>
          <w:color w:val="auto"/>
        </w:rPr>
        <w:t>NVESTMENTS</w:t>
      </w:r>
      <w:r>
        <w:rPr>
          <w:rFonts w:ascii="Arial" w:cs="Arial" w:eastAsia="Arial" w:hAnsi="Arial"/>
          <w:sz w:val="15"/>
          <w:szCs w:val="15"/>
          <w:color w:val="auto"/>
        </w:rPr>
        <w:t>, I</w:t>
      </w:r>
      <w:r>
        <w:rPr>
          <w:rFonts w:ascii="Arial" w:cs="Arial" w:eastAsia="Arial" w:hAnsi="Arial"/>
          <w:sz w:val="12"/>
          <w:szCs w:val="12"/>
          <w:color w:val="auto"/>
        </w:rPr>
        <w:t>NC</w:t>
      </w:r>
      <w:r>
        <w:rPr>
          <w:rFonts w:ascii="Arial" w:cs="Arial" w:eastAsia="Arial" w:hAnsi="Arial"/>
          <w:sz w:val="15"/>
          <w:szCs w:val="15"/>
          <w:color w:val="auto"/>
        </w:rPr>
        <w:t>., a Delaware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WISS</w:t>
      </w:r>
      <w:r>
        <w:rPr>
          <w:rFonts w:ascii="Arial" w:cs="Arial" w:eastAsia="Arial" w:hAnsi="Arial"/>
          <w:sz w:val="15"/>
          <w:szCs w:val="15"/>
          <w:color w:val="auto"/>
        </w:rPr>
        <w:t xml:space="preserve"> F</w:t>
      </w:r>
      <w:r>
        <w:rPr>
          <w:rFonts w:ascii="Arial" w:cs="Arial" w:eastAsia="Arial" w:hAnsi="Arial"/>
          <w:sz w:val="12"/>
          <w:szCs w:val="12"/>
          <w:color w:val="auto"/>
        </w:rPr>
        <w:t>ARMS</w:t>
      </w:r>
      <w:r>
        <w:rPr>
          <w:rFonts w:ascii="Arial" w:cs="Arial" w:eastAsia="Arial" w:hAnsi="Arial"/>
          <w:sz w:val="15"/>
          <w:szCs w:val="15"/>
          <w:color w:val="auto"/>
        </w:rPr>
        <w:t xml:space="preserve"> P</w:t>
      </w:r>
      <w:r>
        <w:rPr>
          <w:rFonts w:ascii="Arial" w:cs="Arial" w:eastAsia="Arial" w:hAnsi="Arial"/>
          <w:sz w:val="12"/>
          <w:szCs w:val="12"/>
          <w:color w:val="auto"/>
        </w:rPr>
        <w:t>RODUCTS</w:t>
      </w:r>
      <w:r>
        <w:rPr>
          <w:rFonts w:ascii="Arial" w:cs="Arial" w:eastAsia="Arial" w:hAnsi="Arial"/>
          <w:sz w:val="15"/>
          <w:szCs w:val="15"/>
          <w:color w:val="auto"/>
        </w:rPr>
        <w:t>, I</w:t>
      </w:r>
      <w:r>
        <w:rPr>
          <w:rFonts w:ascii="Arial" w:cs="Arial" w:eastAsia="Arial" w:hAnsi="Arial"/>
          <w:sz w:val="12"/>
          <w:szCs w:val="12"/>
          <w:color w:val="auto"/>
        </w:rPr>
        <w:t>NC</w:t>
      </w:r>
      <w:r>
        <w:rPr>
          <w:rFonts w:ascii="Arial" w:cs="Arial" w:eastAsia="Arial" w:hAnsi="Arial"/>
          <w:sz w:val="15"/>
          <w:szCs w:val="15"/>
          <w:color w:val="auto"/>
        </w:rPr>
        <w:t>., a Delaware corporation</w:t>
      </w:r>
    </w:p>
    <w:p>
      <w:pPr>
        <w:spacing w:after="0" w:line="10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EG S</w:t>
      </w:r>
      <w:r>
        <w:rPr>
          <w:rFonts w:ascii="Arial" w:cs="Arial" w:eastAsia="Arial" w:hAnsi="Arial"/>
          <w:sz w:val="12"/>
          <w:szCs w:val="12"/>
          <w:color w:val="auto"/>
        </w:rPr>
        <w:t>YSTEMS</w:t>
      </w:r>
      <w:r>
        <w:rPr>
          <w:rFonts w:ascii="Arial" w:cs="Arial" w:eastAsia="Arial" w:hAnsi="Arial"/>
          <w:sz w:val="15"/>
          <w:szCs w:val="15"/>
          <w:color w:val="auto"/>
        </w:rPr>
        <w:t>, I</w:t>
      </w:r>
      <w:r>
        <w:rPr>
          <w:rFonts w:ascii="Arial" w:cs="Arial" w:eastAsia="Arial" w:hAnsi="Arial"/>
          <w:sz w:val="12"/>
          <w:szCs w:val="12"/>
          <w:color w:val="auto"/>
        </w:rPr>
        <w:t>NC</w:t>
      </w:r>
      <w:r>
        <w:rPr>
          <w:rFonts w:ascii="Arial" w:cs="Arial" w:eastAsia="Arial" w:hAnsi="Arial"/>
          <w:sz w:val="15"/>
          <w:szCs w:val="15"/>
          <w:color w:val="auto"/>
        </w:rPr>
        <w:t>., an Indiana corporation</w:t>
      </w:r>
    </w:p>
    <w:p>
      <w:pPr>
        <w:spacing w:after="0" w:line="203" w:lineRule="exact"/>
        <w:rPr>
          <w:sz w:val="20"/>
          <w:szCs w:val="20"/>
          <w:color w:val="auto"/>
        </w:rPr>
      </w:pPr>
    </w:p>
    <w:p>
      <w:pPr>
        <w:ind w:left="6860"/>
        <w:spacing w:after="0"/>
        <w:tabs>
          <w:tab w:leader="none" w:pos="8360" w:val="left"/>
          <w:tab w:leader="none" w:pos="86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tab/>
        <w:t>D</w:t>
      </w:r>
      <w:r>
        <w:rPr>
          <w:rFonts w:ascii="Arial" w:cs="Arial" w:eastAsia="Arial" w:hAnsi="Arial"/>
          <w:sz w:val="12"/>
          <w:szCs w:val="12"/>
          <w:color w:val="auto"/>
        </w:rPr>
        <w:t>AVID</w:t>
      </w:r>
      <w:r>
        <w:rPr>
          <w:rFonts w:ascii="Arial" w:cs="Arial" w:eastAsia="Arial" w:hAnsi="Arial"/>
          <w:sz w:val="15"/>
          <w:szCs w:val="15"/>
          <w:color w:val="auto"/>
        </w:rPr>
        <w:t xml:space="preserve"> M. A</w:t>
      </w:r>
      <w:r>
        <w:rPr>
          <w:rFonts w:ascii="Arial" w:cs="Arial" w:eastAsia="Arial" w:hAnsi="Arial"/>
          <w:sz w:val="12"/>
          <w:szCs w:val="12"/>
          <w:color w:val="auto"/>
        </w:rPr>
        <w:t>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74295</wp:posOffset>
            </wp:positionV>
            <wp:extent cx="26104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10485" cy="7620"/>
                    </a:xfrm>
                    <a:prstGeom prst="rect">
                      <a:avLst/>
                    </a:prstGeom>
                    <a:noFill/>
                  </pic:spPr>
                </pic:pic>
              </a:graphicData>
            </a:graphic>
          </wp:anchor>
        </w:drawing>
      </w:r>
    </w:p>
    <w:p>
      <w:pPr>
        <w:spacing w:after="0" w:line="191"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David M. Aronowitz</w:t>
      </w:r>
    </w:p>
    <w:p>
      <w:pPr>
        <w:spacing w:after="0" w:line="3"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Secretary</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COTTS</w:t>
      </w:r>
      <w:r>
        <w:rPr>
          <w:rFonts w:ascii="Arial" w:cs="Arial" w:eastAsia="Arial" w:hAnsi="Arial"/>
          <w:sz w:val="15"/>
          <w:szCs w:val="15"/>
          <w:color w:val="auto"/>
        </w:rPr>
        <w:t xml:space="preserve"> T</w:t>
      </w:r>
      <w:r>
        <w:rPr>
          <w:rFonts w:ascii="Arial" w:cs="Arial" w:eastAsia="Arial" w:hAnsi="Arial"/>
          <w:sz w:val="12"/>
          <w:szCs w:val="12"/>
          <w:color w:val="auto"/>
        </w:rPr>
        <w:t>EMECULA</w:t>
      </w:r>
      <w:r>
        <w:rPr>
          <w:rFonts w:ascii="Arial" w:cs="Arial" w:eastAsia="Arial" w:hAnsi="Arial"/>
          <w:sz w:val="15"/>
          <w:szCs w:val="15"/>
          <w:color w:val="auto"/>
        </w:rPr>
        <w:t xml:space="preserve"> O</w:t>
      </w:r>
      <w:r>
        <w:rPr>
          <w:rFonts w:ascii="Arial" w:cs="Arial" w:eastAsia="Arial" w:hAnsi="Arial"/>
          <w:sz w:val="12"/>
          <w:szCs w:val="12"/>
          <w:color w:val="auto"/>
        </w:rPr>
        <w:t>PERATIONS</w:t>
      </w:r>
      <w:r>
        <w:rPr>
          <w:rFonts w:ascii="Arial" w:cs="Arial" w:eastAsia="Arial" w:hAnsi="Arial"/>
          <w:sz w:val="15"/>
          <w:szCs w:val="15"/>
          <w:color w:val="auto"/>
        </w:rPr>
        <w:t>, LLC, a Delaware limited liability</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company</w:t>
      </w:r>
    </w:p>
    <w:p>
      <w:pPr>
        <w:spacing w:after="0" w:line="19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5"/>
          <w:szCs w:val="15"/>
          <w:color w:val="auto"/>
        </w:rPr>
        <w:t>By:</w:t>
        <w:tab/>
        <w:t>The Scotts Company, sole member</w:t>
      </w:r>
    </w:p>
    <w:p>
      <w:pPr>
        <w:spacing w:after="0" w:line="203" w:lineRule="exact"/>
        <w:rPr>
          <w:sz w:val="20"/>
          <w:szCs w:val="20"/>
          <w:color w:val="auto"/>
        </w:rPr>
      </w:pPr>
    </w:p>
    <w:p>
      <w:pPr>
        <w:ind w:left="6860"/>
        <w:spacing w:after="0"/>
        <w:tabs>
          <w:tab w:leader="none" w:pos="8360" w:val="left"/>
          <w:tab w:leader="none" w:pos="86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tab/>
        <w:t>D</w:t>
      </w:r>
      <w:r>
        <w:rPr>
          <w:rFonts w:ascii="Arial" w:cs="Arial" w:eastAsia="Arial" w:hAnsi="Arial"/>
          <w:sz w:val="12"/>
          <w:szCs w:val="12"/>
          <w:color w:val="auto"/>
        </w:rPr>
        <w:t>AVID</w:t>
      </w:r>
      <w:r>
        <w:rPr>
          <w:rFonts w:ascii="Arial" w:cs="Arial" w:eastAsia="Arial" w:hAnsi="Arial"/>
          <w:sz w:val="15"/>
          <w:szCs w:val="15"/>
          <w:color w:val="auto"/>
        </w:rPr>
        <w:t xml:space="preserve"> M. A</w:t>
      </w:r>
      <w:r>
        <w:rPr>
          <w:rFonts w:ascii="Arial" w:cs="Arial" w:eastAsia="Arial" w:hAnsi="Arial"/>
          <w:sz w:val="12"/>
          <w:szCs w:val="12"/>
          <w:color w:val="auto"/>
        </w:rPr>
        <w:t>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74295</wp:posOffset>
            </wp:positionV>
            <wp:extent cx="261048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10485" cy="7620"/>
                    </a:xfrm>
                    <a:prstGeom prst="rect">
                      <a:avLst/>
                    </a:prstGeom>
                    <a:noFill/>
                  </pic:spPr>
                </pic:pic>
              </a:graphicData>
            </a:graphic>
          </wp:anchor>
        </w:drawing>
      </w:r>
    </w:p>
    <w:p>
      <w:pPr>
        <w:spacing w:after="0" w:line="191"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David M. Aronowitz</w:t>
      </w:r>
    </w:p>
    <w:p>
      <w:pPr>
        <w:spacing w:after="0" w:line="3"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Secretary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II-8</w:t>
      </w:r>
    </w:p>
    <w:p>
      <w:pPr>
        <w:sectPr>
          <w:pgSz w:w="11900" w:h="16838" w:orient="portrait"/>
          <w:cols w:equalWidth="0" w:num="1">
            <w:col w:w="11380"/>
          </w:cols>
          <w:pgMar w:left="240" w:top="417" w:right="27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100" w:type="dxa"/>
            <w:vAlign w:val="bottom"/>
          </w:tcPr>
          <w:p>
            <w:pPr>
              <w:jc w:val="center"/>
              <w:ind w:right="1624"/>
              <w:spacing w:after="0"/>
              <w:rPr>
                <w:sz w:val="20"/>
                <w:szCs w:val="20"/>
                <w:color w:val="auto"/>
              </w:rPr>
            </w:pPr>
            <w:r>
              <w:rPr>
                <w:rFonts w:ascii="Arial" w:cs="Arial" w:eastAsia="Arial" w:hAnsi="Arial"/>
                <w:sz w:val="15"/>
                <w:szCs w:val="15"/>
                <w:b w:val="1"/>
                <w:bCs w:val="1"/>
                <w:color w:val="auto"/>
              </w:rPr>
              <w:t>INDEX TO EXHIBITS</w:t>
            </w:r>
          </w:p>
        </w:tc>
      </w:tr>
      <w:tr>
        <w:trPr>
          <w:trHeight w:val="248"/>
        </w:trPr>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4"/>
              </w:rPr>
              <w:t>Exhibit</w:t>
            </w: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100" w:type="dxa"/>
            <w:vAlign w:val="bottom"/>
          </w:tcPr>
          <w:p>
            <w:pPr>
              <w:spacing w:after="0"/>
              <w:rPr>
                <w:sz w:val="21"/>
                <w:szCs w:val="21"/>
                <w:color w:val="auto"/>
              </w:rPr>
            </w:pPr>
          </w:p>
        </w:tc>
      </w:tr>
      <w:tr>
        <w:trPr>
          <w:trHeight w:val="151"/>
        </w:trPr>
        <w:tc>
          <w:tcPr>
            <w:tcW w:w="460" w:type="dxa"/>
            <w:vAlign w:val="bottom"/>
          </w:tcPr>
          <w:p>
            <w:pPr>
              <w:jc w:val="right"/>
              <w:ind w:right="86"/>
              <w:spacing w:after="0"/>
              <w:rPr>
                <w:sz w:val="20"/>
                <w:szCs w:val="20"/>
                <w:color w:val="auto"/>
              </w:rPr>
            </w:pPr>
            <w:r>
              <w:rPr>
                <w:rFonts w:ascii="Arial" w:cs="Arial" w:eastAsia="Arial" w:hAnsi="Arial"/>
                <w:sz w:val="12"/>
                <w:szCs w:val="12"/>
                <w:b w:val="1"/>
                <w:bCs w:val="1"/>
                <w:color w:val="auto"/>
              </w:rPr>
              <w:t>No.</w:t>
            </w:r>
          </w:p>
        </w:tc>
        <w:tc>
          <w:tcPr>
            <w:tcW w:w="780" w:type="dxa"/>
            <w:vAlign w:val="bottom"/>
          </w:tcPr>
          <w:p>
            <w:pPr>
              <w:spacing w:after="0"/>
              <w:rPr>
                <w:sz w:val="13"/>
                <w:szCs w:val="13"/>
                <w:color w:val="auto"/>
              </w:rPr>
            </w:pPr>
          </w:p>
        </w:tc>
        <w:tc>
          <w:tcPr>
            <w:tcW w:w="988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83"/>
        </w:trPr>
        <w:tc>
          <w:tcPr>
            <w:tcW w:w="46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9100" w:type="dxa"/>
            <w:vAlign w:val="bottom"/>
          </w:tcPr>
          <w:p>
            <w:pPr>
              <w:spacing w:after="0"/>
              <w:rPr>
                <w:sz w:val="7"/>
                <w:szCs w:val="7"/>
                <w:color w:val="auto"/>
              </w:rPr>
            </w:pPr>
          </w:p>
        </w:tc>
      </w:tr>
      <w:tr>
        <w:trPr>
          <w:trHeight w:val="267"/>
        </w:trPr>
        <w:tc>
          <w:tcPr>
            <w:tcW w:w="460" w:type="dxa"/>
            <w:vAlign w:val="bottom"/>
          </w:tcPr>
          <w:p>
            <w:pPr>
              <w:jc w:val="right"/>
              <w:spacing w:after="0"/>
              <w:rPr>
                <w:sz w:val="20"/>
                <w:szCs w:val="20"/>
                <w:color w:val="auto"/>
              </w:rPr>
            </w:pPr>
            <w:r>
              <w:rPr>
                <w:rFonts w:ascii="Arial" w:cs="Arial" w:eastAsia="Arial" w:hAnsi="Arial"/>
                <w:sz w:val="15"/>
                <w:szCs w:val="15"/>
                <w:color w:val="auto"/>
              </w:rPr>
              <w:t>4.1</w:t>
            </w:r>
          </w:p>
        </w:tc>
        <w:tc>
          <w:tcPr>
            <w:tcW w:w="780" w:type="dxa"/>
            <w:vAlign w:val="bottom"/>
          </w:tcPr>
          <w:p>
            <w:pPr>
              <w:spacing w:after="0"/>
              <w:rPr>
                <w:sz w:val="23"/>
                <w:szCs w:val="23"/>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w w:val="95"/>
              </w:rPr>
              <w:t>Indenture dated as of October 8, 2003 among The Scotts Company, the subsidiary guarantors listed on the signature pages thereof and U.S. Bank National</w:t>
            </w:r>
          </w:p>
        </w:tc>
      </w:tr>
      <w:tr>
        <w:trPr>
          <w:trHeight w:val="188"/>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80" w:type="dxa"/>
            <w:vAlign w:val="bottom"/>
            <w:gridSpan w:val="2"/>
          </w:tcPr>
          <w:p>
            <w:pPr>
              <w:ind w:left="180"/>
              <w:spacing w:after="0"/>
              <w:rPr>
                <w:sz w:val="20"/>
                <w:szCs w:val="20"/>
                <w:color w:val="auto"/>
              </w:rPr>
            </w:pPr>
            <w:r>
              <w:rPr>
                <w:rFonts w:ascii="Arial" w:cs="Arial" w:eastAsia="Arial" w:hAnsi="Arial"/>
                <w:sz w:val="15"/>
                <w:szCs w:val="15"/>
                <w:color w:val="auto"/>
                <w:w w:val="94"/>
              </w:rPr>
              <w:t>Association, as trustee (filed as Exhibit 4(n) to Registrant’s Annual Report on Form 10-K for the fiscal year ended September 30, 2003 and incorporated by</w:t>
            </w:r>
          </w:p>
        </w:tc>
      </w:tr>
      <w:tr>
        <w:trPr>
          <w:trHeight w:val="194"/>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80" w:type="dxa"/>
            <w:vAlign w:val="bottom"/>
            <w:gridSpan w:val="2"/>
          </w:tcPr>
          <w:p>
            <w:pPr>
              <w:ind w:left="180"/>
              <w:spacing w:after="0"/>
              <w:rPr>
                <w:sz w:val="20"/>
                <w:szCs w:val="20"/>
                <w:color w:val="auto"/>
              </w:rPr>
            </w:pPr>
            <w:r>
              <w:rPr>
                <w:rFonts w:ascii="Arial" w:cs="Arial" w:eastAsia="Arial" w:hAnsi="Arial"/>
                <w:sz w:val="15"/>
                <w:szCs w:val="15"/>
                <w:color w:val="auto"/>
              </w:rPr>
              <w:t>reference herein).</w:t>
            </w:r>
          </w:p>
        </w:tc>
      </w:tr>
      <w:tr>
        <w:trPr>
          <w:trHeight w:val="276"/>
        </w:trPr>
        <w:tc>
          <w:tcPr>
            <w:tcW w:w="460" w:type="dxa"/>
            <w:vAlign w:val="bottom"/>
          </w:tcPr>
          <w:p>
            <w:pPr>
              <w:jc w:val="right"/>
              <w:spacing w:after="0"/>
              <w:rPr>
                <w:sz w:val="20"/>
                <w:szCs w:val="20"/>
                <w:color w:val="auto"/>
              </w:rPr>
            </w:pPr>
            <w:r>
              <w:rPr>
                <w:rFonts w:ascii="Arial" w:cs="Arial" w:eastAsia="Arial" w:hAnsi="Arial"/>
                <w:sz w:val="15"/>
                <w:szCs w:val="15"/>
                <w:color w:val="auto"/>
              </w:rPr>
              <w:t>4.2</w:t>
            </w:r>
          </w:p>
        </w:tc>
        <w:tc>
          <w:tcPr>
            <w:tcW w:w="780" w:type="dxa"/>
            <w:vAlign w:val="bottom"/>
          </w:tcPr>
          <w:p>
            <w:pPr>
              <w:spacing w:after="0"/>
              <w:rPr>
                <w:sz w:val="23"/>
                <w:szCs w:val="23"/>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w w:val="91"/>
              </w:rPr>
              <w:t>Registration Rights Agreement, dated as of October 22, 2003, among The Scotts Company, the subsidiary guarantors listed on the signature pages thereof and the</w:t>
            </w:r>
          </w:p>
        </w:tc>
      </w:tr>
      <w:tr>
        <w:trPr>
          <w:trHeight w:val="188"/>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80" w:type="dxa"/>
            <w:vAlign w:val="bottom"/>
            <w:gridSpan w:val="2"/>
          </w:tcPr>
          <w:p>
            <w:pPr>
              <w:ind w:left="180"/>
              <w:spacing w:after="0"/>
              <w:rPr>
                <w:sz w:val="20"/>
                <w:szCs w:val="20"/>
                <w:color w:val="auto"/>
              </w:rPr>
            </w:pPr>
            <w:r>
              <w:rPr>
                <w:rFonts w:ascii="Arial" w:cs="Arial" w:eastAsia="Arial" w:hAnsi="Arial"/>
                <w:sz w:val="15"/>
                <w:szCs w:val="15"/>
                <w:color w:val="auto"/>
                <w:w w:val="96"/>
              </w:rPr>
              <w:t>Initial Purchasers named therein (filed as Exhibit 4(o) to the Registrant’s Annual Report on Form 10-K for the fiscal year ended September 30, 2003 and</w:t>
            </w:r>
          </w:p>
        </w:tc>
      </w:tr>
      <w:tr>
        <w:trPr>
          <w:trHeight w:val="194"/>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80" w:type="dxa"/>
            <w:vAlign w:val="bottom"/>
            <w:gridSpan w:val="2"/>
          </w:tcPr>
          <w:p>
            <w:pPr>
              <w:ind w:left="180"/>
              <w:spacing w:after="0"/>
              <w:rPr>
                <w:sz w:val="20"/>
                <w:szCs w:val="20"/>
                <w:color w:val="auto"/>
              </w:rPr>
            </w:pPr>
            <w:r>
              <w:rPr>
                <w:rFonts w:ascii="Arial" w:cs="Arial" w:eastAsia="Arial" w:hAnsi="Arial"/>
                <w:sz w:val="15"/>
                <w:szCs w:val="15"/>
                <w:color w:val="auto"/>
              </w:rPr>
              <w:t>incorporated by reference herein).</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5.1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Opinion of Vorys, Sater, Seymour and Pease LLP</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12.1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Statement of Computation of Ratios</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23.1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Consent of PricewaterhouseCoopers LLP, independent accountants</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23.2</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Consent of Vorys, Sater, Seymour and Pease LLP (included in Exhibit 5.1)</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24.1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Powers of Attorney (included on signature pages)</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25.1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Statement of Eligibility under the Trust Indenture Act of 1939 of U.S. Bank National Association to act as trustee under the Indenture (Form T-1).</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99.1</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Letter of Transmittal</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99.2</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Notice of Guaranteed Delivery</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99.3</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Letter to DTC Participants</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99.4</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Letter to Beneficial Holders</w:t>
            </w:r>
          </w:p>
        </w:tc>
      </w:tr>
      <w:tr>
        <w:trPr>
          <w:trHeight w:val="282"/>
        </w:trPr>
        <w:tc>
          <w:tcPr>
            <w:tcW w:w="460" w:type="dxa"/>
            <w:vAlign w:val="bottom"/>
          </w:tcPr>
          <w:p>
            <w:pPr>
              <w:jc w:val="right"/>
              <w:spacing w:after="0"/>
              <w:rPr>
                <w:sz w:val="20"/>
                <w:szCs w:val="20"/>
                <w:color w:val="auto"/>
              </w:rPr>
            </w:pPr>
            <w:r>
              <w:rPr>
                <w:rFonts w:ascii="Arial" w:cs="Arial" w:eastAsia="Arial" w:hAnsi="Arial"/>
                <w:sz w:val="15"/>
                <w:szCs w:val="15"/>
                <w:color w:val="auto"/>
              </w:rPr>
              <w:t>99.5</w:t>
            </w:r>
          </w:p>
        </w:tc>
        <w:tc>
          <w:tcPr>
            <w:tcW w:w="7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5"/>
                <w:szCs w:val="15"/>
                <w:color w:val="auto"/>
              </w:rPr>
              <w:t>Guidelines for Certification of Taxpayer Identification Number on Substitute Form W-9</w:t>
            </w:r>
          </w:p>
        </w:tc>
      </w:tr>
      <w:tr>
        <w:trPr>
          <w:trHeight w:val="317"/>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100" w:type="dxa"/>
            <w:vAlign w:val="bottom"/>
          </w:tcPr>
          <w:p>
            <w:pPr>
              <w:jc w:val="center"/>
              <w:ind w:right="1644"/>
              <w:spacing w:after="0"/>
              <w:rPr>
                <w:sz w:val="20"/>
                <w:szCs w:val="20"/>
                <w:color w:val="auto"/>
              </w:rPr>
            </w:pPr>
            <w:r>
              <w:rPr>
                <w:rFonts w:ascii="Arial" w:cs="Arial" w:eastAsia="Arial" w:hAnsi="Arial"/>
                <w:sz w:val="15"/>
                <w:szCs w:val="15"/>
                <w:color w:val="auto"/>
              </w:rPr>
              <w:t>II-9</w:t>
            </w:r>
          </w:p>
        </w:tc>
      </w:tr>
    </w:tbl>
    <w:p>
      <w:pPr>
        <w:sectPr>
          <w:pgSz w:w="11900" w:h="16838" w:orient="portrait"/>
          <w:cols w:equalWidth="0" w:num="1">
            <w:col w:w="11120"/>
          </w:cols>
          <w:pgMar w:left="240" w:top="417" w:right="539" w:bottom="1440" w:gutter="0" w:footer="0" w:header="0"/>
        </w:sectPr>
      </w:pPr>
    </w:p>
    <w:bookmarkStart w:id="89" w:name="page90"/>
    <w:bookmarkEnd w:id="89"/>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359"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[VORYS, SATER, SEYMOUR AND PEASE LLP LETTERHEAD]</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January 6, 2004</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14111 Scottslawn Road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Marysville, Ohio 43041</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Re: Registration Statement on Form S-4</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We have acted as counsel to The Scotts Company, an Ohio corporation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 and certain domestic subsidiaries of the Company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"Guarantors") in connection with the Registration Statement on Form S-4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"Registration Statement") filed by the Company and the Guarantors with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Securities and Exchange Commission under the Securities Act of 1933, as amended,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relating to the issuance by the Company of $200,000,000 aggregate principal</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amount of 6.625% Senior Subordinated Notes due 2013 (the "New Notes") and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issuance by the Guarantors of guarantees (the "Guarantees") of the Company's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obligations with respect to the New Notes. The New Notes will be issued pursuant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to an Indenture dated as of October 8, 2003 (the "Indenture"), by and among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 the Guarantors and U.S. Bank National Association, as Trustee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"Trustee"). The New Notes and the Guarantees will be offered (the "Exchange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Offer") by the Company and the Guarantors, respectively, in exchange for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$200,000,000 aggregate principal amount of the Company's outstanding 6.625%</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Senior Subordinated Notes due 2013 (the "Original Notes") and the guarantees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thereof.</w:t>
      </w:r>
    </w:p>
    <w:p>
      <w:pPr>
        <w:spacing w:after="0" w:line="182" w:lineRule="exact"/>
        <w:rPr>
          <w:sz w:val="20"/>
          <w:szCs w:val="20"/>
          <w:color w:val="auto"/>
        </w:rPr>
      </w:pPr>
    </w:p>
    <w:p>
      <w:pPr>
        <w:ind w:left="6" w:right="3539" w:firstLine="824"/>
        <w:spacing w:after="0" w:line="249" w:lineRule="auto"/>
        <w:rPr>
          <w:sz w:val="20"/>
          <w:szCs w:val="20"/>
          <w:color w:val="auto"/>
        </w:rPr>
      </w:pPr>
      <w:r>
        <w:rPr>
          <w:rFonts w:ascii="Courier New" w:cs="Courier New" w:eastAsia="Courier New" w:hAnsi="Courier New"/>
          <w:sz w:val="15"/>
          <w:szCs w:val="15"/>
          <w:color w:val="auto"/>
        </w:rPr>
        <w:t>We are giving this opinion in connection with the Registration Statement and in accordance with the requirements of Item 601(b)(5) of Regulation S-K of the General Rules and Regulations promulgated under the Securities Act.</w:t>
      </w:r>
    </w:p>
    <w:p>
      <w:pPr>
        <w:spacing w:after="0" w:line="176" w:lineRule="exact"/>
        <w:rPr>
          <w:sz w:val="20"/>
          <w:szCs w:val="20"/>
          <w:color w:val="auto"/>
        </w:rPr>
      </w:pPr>
    </w:p>
    <w:p>
      <w:pPr>
        <w:ind w:left="6" w:right="2899" w:firstLine="824"/>
        <w:spacing w:after="0" w:line="248" w:lineRule="auto"/>
        <w:rPr>
          <w:sz w:val="20"/>
          <w:szCs w:val="20"/>
          <w:color w:val="auto"/>
        </w:rPr>
      </w:pPr>
      <w:r>
        <w:rPr>
          <w:rFonts w:ascii="Courier New" w:cs="Courier New" w:eastAsia="Courier New" w:hAnsi="Courier New"/>
          <w:sz w:val="15"/>
          <w:szCs w:val="15"/>
          <w:color w:val="auto"/>
        </w:rPr>
        <w:t>In rendering this opinion, we have examined, among other things: (i) the Registration Statement; (ii) the Indenture; (iii) the form of the New Notes;</w:t>
      </w:r>
    </w:p>
    <w:p>
      <w:pPr>
        <w:spacing w:after="0" w:line="1" w:lineRule="exact"/>
        <w:rPr>
          <w:sz w:val="20"/>
          <w:szCs w:val="20"/>
          <w:color w:val="auto"/>
        </w:rPr>
      </w:pPr>
    </w:p>
    <w:p>
      <w:pPr>
        <w:ind w:left="6" w:right="2899" w:hanging="6"/>
        <w:spacing w:after="0" w:line="249" w:lineRule="auto"/>
        <w:tabs>
          <w:tab w:leader="none" w:pos="46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Company as currently in effect; (v) the Code of Regulations of the Company as currently in effect; (vi) the resolutions adopted by the Board of Directors of the Company and committees thereof relating to the Exchange Offer; and (v) the corporate documents and records of each of the Guarantors as currently in effect consisting of each of their respective Articles or Certificate of Incorporation (or similar organizational documents), Code of Regulations or By-laws (or similar organizational documents) and copies of the resolutions adopted by their Board of Directors or members.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 In addition, we have assumed that the terms of the Original Notes and the New Notes have been established in accordance with the terms of the Indenture.</w:t>
      </w:r>
    </w:p>
    <w:p>
      <w:pPr>
        <w:sectPr>
          <w:pgSz w:w="11900" w:h="16838" w:orient="portrait"/>
          <w:cols w:equalWidth="0" w:num="1">
            <w:col w:w="10225"/>
          </w:cols>
          <w:pgMar w:left="234" w:top="494" w:right="1440" w:bottom="1440" w:gutter="0" w:footer="0" w:header="0"/>
        </w:sectPr>
      </w:pPr>
    </w:p>
    <w:bookmarkStart w:id="90" w:name="page91"/>
    <w:bookmarkEnd w:id="90"/>
    <w:p>
      <w:pPr>
        <w:ind w:right="2979" w:firstLine="824"/>
        <w:spacing w:after="0" w:line="249" w:lineRule="auto"/>
        <w:rPr>
          <w:sz w:val="20"/>
          <w:szCs w:val="20"/>
          <w:color w:val="auto"/>
        </w:rPr>
      </w:pPr>
      <w:r>
        <w:rPr>
          <w:rFonts w:ascii="Courier New" w:cs="Courier New" w:eastAsia="Courier New" w:hAnsi="Courier New"/>
          <w:sz w:val="15"/>
          <w:szCs w:val="15"/>
          <w:color w:val="auto"/>
        </w:rPr>
        <w:t>Our opinion is subject to: (a) the effect of applicable bankruptcy, insolvency, reorganization, moratorium, fraudulent conveyance or other similar laws now or hereafter in effect relating to creditors' rights generally and (b) the limitations imposed by general principles of equity (regardless of whether enforceability is considered in a proceeding at law or in equity).</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are members of the Bar of the State of Ohio, and we do not express any opinion as to the laws of any other jurisdiction.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Based upon and subject to the foregoing, we are of the opinion that (i) the New Notes, when issued in accordance with the terms of the Indenture, duly executed by the Company, duly authenticated by the Trustee and issued and delivered against exchange of the Original Notes in accordance with the terms set forth in the Prospectus that forms a part of the Registration Statement, will constitute the legal and binding obligations of the Company and (ii) the Guarantees, when duly executed, issued and delivered by the Guarantors, will constitute the legal and binding obligations of each of the Guarantors, in each case, under the laws of the State of New York (which is the governing law with respect thereto).</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VORYS, SATER, SEYMOUR AND PEASE LLP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7" w:right="1440" w:bottom="1440" w:gutter="0" w:footer="0" w:header="0"/>
        </w:sectPr>
      </w:pPr>
    </w:p>
    <w:bookmarkStart w:id="91" w:name="page92"/>
    <w:bookmarkEnd w:id="91"/>
    <w:p>
      <w:pPr>
        <w:jc w:val="center"/>
        <w:ind w:right="2899"/>
        <w:spacing w:after="0"/>
        <w:rPr>
          <w:sz w:val="20"/>
          <w:szCs w:val="20"/>
          <w:color w:val="auto"/>
        </w:rPr>
      </w:pPr>
      <w:r>
        <w:rPr>
          <w:rFonts w:ascii="Courier New" w:cs="Courier New" w:eastAsia="Courier New" w:hAnsi="Courier New"/>
          <w:sz w:val="15"/>
          <w:szCs w:val="15"/>
          <w:color w:val="auto"/>
        </w:rPr>
        <w:t>STATEMENT OF COMPUTATION OF RATIO OF</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EARNINGS TO FIXED CHARGES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 12.1</w:t>
            </w:r>
          </w:p>
        </w:tc>
      </w:tr>
      <w:tr>
        <w:trPr>
          <w:trHeight w:val="352"/>
        </w:trPr>
        <w:tc>
          <w:tcPr>
            <w:tcW w:w="3200" w:type="dxa"/>
            <w:vAlign w:val="bottom"/>
          </w:tcPr>
          <w:p>
            <w:pPr>
              <w:spacing w:after="0"/>
              <w:rPr>
                <w:sz w:val="24"/>
                <w:szCs w:val="2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Pretax income from continuing</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operations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$116.3</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$163.3</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69.2</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factor on rents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Capitalized</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Interest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0.6</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Losses incurred by majority-</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owned subsidiaries not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recorded</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$246.4</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$ 76.3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$ 69.2</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capitalized</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Interest incurred</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96.0</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70.6</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Rent expense</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Estimated interest factor</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460"/>
              <w:spacing w:after="0"/>
              <w:rPr>
                <w:sz w:val="20"/>
                <w:szCs w:val="20"/>
                <w:color w:val="auto"/>
              </w:rPr>
            </w:pPr>
            <w:r>
              <w:rPr>
                <w:rFonts w:ascii="Courier New" w:cs="Courier New" w:eastAsia="Courier New" w:hAnsi="Courier New"/>
                <w:sz w:val="15"/>
                <w:szCs w:val="15"/>
                <w:color w:val="auto"/>
              </w:rPr>
              <w:t>Interest factor on rents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720"/>
              <w:spacing w:after="0"/>
              <w:rPr>
                <w:sz w:val="20"/>
                <w:szCs w:val="20"/>
                <w:color w:val="auto"/>
              </w:rPr>
            </w:pPr>
            <w:r>
              <w:rPr>
                <w:rFonts w:ascii="Courier New" w:cs="Courier New" w:eastAsia="Courier New" w:hAnsi="Courier New"/>
                <w:sz w:val="15"/>
                <w:szCs w:val="15"/>
                <w:color w:val="auto"/>
              </w:rPr>
              <w:t>Total fixed charges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$101.9</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$ 88.5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$ 84.1</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r>
      <w:tr>
        <w:trPr>
          <w:trHeight w:val="176"/>
        </w:trPr>
        <w:tc>
          <w:tcPr>
            <w:tcW w:w="32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94" w:right="1440" w:bottom="1440" w:gutter="0" w:footer="0" w:header="0"/>
        </w:sectPr>
      </w:pPr>
    </w:p>
    <w:bookmarkStart w:id="92" w:name="page93"/>
    <w:bookmarkEnd w:id="92"/>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of The Scotts Company of our reports dated December 5, 2003 relating to the financial statements and financial statement schedule, which appears in The Scotts Company's Annual Report on Form 10-K for the year ended September 30, 2003. We also consent to the references to us under the headings "Experts" in such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6, 2004</w:t>
      </w:r>
    </w:p>
    <w:p>
      <w:pPr>
        <w:sectPr>
          <w:pgSz w:w="11900" w:h="16838" w:orient="portrait"/>
          <w:cols w:equalWidth="0" w:num="1">
            <w:col w:w="10219"/>
          </w:cols>
          <w:pgMar w:left="240" w:top="318" w:right="1440" w:bottom="1440" w:gutter="0" w:footer="0" w:header="0"/>
        </w:sectPr>
      </w:pPr>
    </w:p>
    <w:bookmarkStart w:id="93" w:name="page94"/>
    <w:bookmarkEnd w:id="93"/>
    <w:p>
      <w:pPr>
        <w:ind w:left="6220"/>
        <w:spacing w:after="0"/>
        <w:rPr>
          <w:sz w:val="20"/>
          <w:szCs w:val="20"/>
          <w:color w:val="auto"/>
        </w:rPr>
      </w:pPr>
      <w:r>
        <w:rPr>
          <w:rFonts w:ascii="Courier New" w:cs="Courier New" w:eastAsia="Courier New" w:hAnsi="Courier New"/>
          <w:sz w:val="15"/>
          <w:szCs w:val="15"/>
          <w:color w:val="auto"/>
        </w:rPr>
        <w:t>EXHIBIT 25.1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T-1</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 OF ELIGIBILITY UNDER</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TRUST INDENTURE ACT OF 1939 OF A</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Check if an Application to Determine Eligibility of</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 Trustee Pursuant to Section 305(b)(2)</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31-0841368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I.R.S. Employer Identification No.</w:t>
      </w:r>
    </w:p>
    <w:p>
      <w:pPr>
        <w:sectPr>
          <w:pgSz w:w="11900" w:h="16838" w:orient="portrait"/>
          <w:cols w:equalWidth="0" w:num="1">
            <w:col w:w="10219"/>
          </w:cols>
          <w:pgMar w:left="240" w:top="494" w:right="1440" w:bottom="1440" w:gutter="0" w:footer="0" w:header="0"/>
        </w:sectPr>
      </w:pP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800 Nicollet Mall</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Minneapolis, Minnesota</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55402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0"/>
          <w:szCs w:val="20"/>
          <w:color w:val="auto"/>
        </w:rPr>
      </w:pPr>
    </w:p>
    <w:p>
      <w:pPr>
        <w:sectPr>
          <w:pgSz w:w="11900" w:h="16838" w:orient="portrait"/>
          <w:cols w:equalWidth="0" w:num="2">
            <w:col w:w="4780" w:space="720"/>
            <w:col w:w="4719"/>
          </w:cols>
          <w:pgMar w:left="240" w:top="494" w:right="1440" w:bottom="1440" w:gutter="0" w:footer="0" w:header="0"/>
          <w:type w:val="continuous"/>
        </w:sectPr>
      </w:pPr>
    </w:p>
    <w:p>
      <w:pPr>
        <w:ind w:left="3020"/>
        <w:spacing w:after="0"/>
        <w:rPr>
          <w:sz w:val="20"/>
          <w:szCs w:val="20"/>
          <w:color w:val="auto"/>
        </w:rPr>
      </w:pPr>
      <w:r>
        <w:rPr>
          <w:rFonts w:ascii="Courier New" w:cs="Courier New" w:eastAsia="Courier New" w:hAnsi="Courier New"/>
          <w:sz w:val="15"/>
          <w:szCs w:val="15"/>
          <w:color w:val="auto"/>
        </w:rPr>
        <w:t>Cauna M. Silva</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225 Asylum Street</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Hartford, CT 06103</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(860) 241-6833</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(Issuer with respect to the Securities)</w:t>
      </w:r>
    </w:p>
    <w:p>
      <w:pPr>
        <w:sectPr>
          <w:pgSz w:w="11900" w:h="16838" w:orient="portrait"/>
          <w:cols w:equalWidth="0" w:num="1">
            <w:col w:w="10219"/>
          </w:cols>
          <w:pgMar w:left="240" w:top="494" w:right="1440" w:bottom="1440" w:gutter="0" w:footer="0" w:header="0"/>
          <w:type w:val="continuous"/>
        </w:sectPr>
      </w:pP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OHIO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31-1414921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0"/>
          <w:szCs w:val="20"/>
          <w:color w:val="auto"/>
        </w:rPr>
      </w:pPr>
    </w:p>
    <w:p>
      <w:pPr>
        <w:sectPr>
          <w:pgSz w:w="11900" w:h="16838" w:orient="portrait"/>
          <w:cols w:equalWidth="0" w:num="2">
            <w:col w:w="3120" w:space="720"/>
            <w:col w:w="6379"/>
          </w:cols>
          <w:pgMar w:left="240" w:top="494" w:right="1440" w:bottom="1440" w:gutter="0" w:footer="0" w:header="0"/>
          <w:type w:val="continuous"/>
        </w:sectPr>
      </w:pPr>
    </w:p>
    <w:p>
      <w:pPr>
        <w:ind w:left="720"/>
        <w:spacing w:after="0"/>
        <w:rPr>
          <w:sz w:val="20"/>
          <w:szCs w:val="20"/>
          <w:color w:val="auto"/>
        </w:rPr>
      </w:pPr>
      <w:r>
        <w:rPr>
          <w:rFonts w:ascii="Courier New" w:cs="Courier New" w:eastAsia="Courier New" w:hAnsi="Courier New"/>
          <w:sz w:val="15"/>
          <w:szCs w:val="15"/>
          <w:color w:val="auto"/>
        </w:rPr>
        <w:t>14111 Scottslawn Road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Marysville, OH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43041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0"/>
          <w:szCs w:val="20"/>
          <w:color w:val="auto"/>
        </w:rPr>
      </w:pPr>
    </w:p>
    <w:p>
      <w:pPr>
        <w:sectPr>
          <w:pgSz w:w="11900" w:h="16838" w:orient="portrait"/>
          <w:cols w:equalWidth="0" w:num="2">
            <w:col w:w="4120" w:space="720"/>
            <w:col w:w="5379"/>
          </w:cols>
          <w:pgMar w:left="240" w:top="494" w:right="1440" w:bottom="1440"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6.625% Series A Senior Subordinated Notes Due 2013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94" w:right="1440" w:bottom="1440" w:gutter="0" w:footer="0" w:header="0"/>
          <w:type w:val="continuous"/>
        </w:sectPr>
      </w:pPr>
    </w:p>
    <w:bookmarkStart w:id="94" w:name="page95"/>
    <w:bookmarkEnd w:id="94"/>
    <w:p>
      <w:pPr>
        <w:ind w:left="2482"/>
        <w:spacing w:after="0"/>
        <w:rPr>
          <w:sz w:val="20"/>
          <w:szCs w:val="20"/>
          <w:color w:val="auto"/>
        </w:rPr>
      </w:pPr>
      <w:r>
        <w:rPr>
          <w:rFonts w:ascii="Courier New" w:cs="Courier New" w:eastAsia="Courier New" w:hAnsi="Courier New"/>
          <w:sz w:val="15"/>
          <w:szCs w:val="15"/>
          <w:color w:val="auto"/>
        </w:rPr>
        <w:t>FORM T-1</w:t>
      </w:r>
    </w:p>
    <w:p>
      <w:pPr>
        <w:spacing w:after="0" w:line="182" w:lineRule="exact"/>
        <w:rPr>
          <w:sz w:val="20"/>
          <w:szCs w:val="20"/>
          <w:color w:val="auto"/>
        </w:rPr>
      </w:pPr>
    </w:p>
    <w:p>
      <w:pPr>
        <w:ind w:left="2" w:right="3539" w:hanging="823"/>
        <w:spacing w:after="0" w:line="250" w:lineRule="auto"/>
        <w:rPr>
          <w:sz w:val="20"/>
          <w:szCs w:val="20"/>
          <w:color w:val="auto"/>
        </w:rPr>
      </w:pPr>
      <w:r>
        <w:rPr>
          <w:rFonts w:ascii="Courier New" w:cs="Courier New" w:eastAsia="Courier New" w:hAnsi="Courier New"/>
          <w:sz w:val="15"/>
          <w:szCs w:val="15"/>
          <w:color w:val="auto"/>
        </w:rPr>
        <w:t>Item 1.</w:t>
      </w:r>
      <w:r>
        <w:rPr>
          <w:sz w:val="20"/>
          <w:szCs w:val="20"/>
          <w:color w:val="auto"/>
        </w:rPr>
        <w:t xml:space="preserve"> </w:t>
      </w:r>
      <w:r>
        <w:rPr>
          <w:rFonts w:ascii="Courier New" w:cs="Courier New" w:eastAsia="Courier New" w:hAnsi="Courier New"/>
          <w:sz w:val="15"/>
          <w:szCs w:val="15"/>
          <w:color w:val="auto"/>
        </w:rPr>
        <w:t>GENERAL INFORMATION. Furnish the following information as to the Trustee.</w:t>
      </w:r>
    </w:p>
    <w:p>
      <w:pPr>
        <w:spacing w:after="0" w:line="175" w:lineRule="exact"/>
        <w:rPr>
          <w:sz w:val="20"/>
          <w:szCs w:val="20"/>
          <w:color w:val="auto"/>
        </w:rPr>
      </w:pPr>
    </w:p>
    <w:p>
      <w:pPr>
        <w:ind w:left="462" w:right="3259" w:hanging="462"/>
        <w:spacing w:after="0" w:line="248" w:lineRule="auto"/>
        <w:tabs>
          <w:tab w:leader="none" w:pos="46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 w:lineRule="exact"/>
        <w:rPr>
          <w:rFonts w:ascii="Courier New" w:cs="Courier New" w:eastAsia="Courier New" w:hAnsi="Courier New"/>
          <w:sz w:val="15"/>
          <w:szCs w:val="15"/>
          <w:color w:val="auto"/>
        </w:rPr>
      </w:pPr>
    </w:p>
    <w:p>
      <w:pPr>
        <w:ind w:left="742" w:right="61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spacing w:after="0" w:line="174" w:lineRule="exact"/>
        <w:rPr>
          <w:rFonts w:ascii="Courier New" w:cs="Courier New" w:eastAsia="Courier New" w:hAnsi="Courier New"/>
          <w:sz w:val="15"/>
          <w:szCs w:val="15"/>
          <w:color w:val="auto"/>
        </w:rPr>
      </w:pPr>
    </w:p>
    <w:p>
      <w:pPr>
        <w:ind w:left="742" w:right="3439" w:hanging="742"/>
        <w:spacing w:after="0" w:line="250" w:lineRule="auto"/>
        <w:tabs>
          <w:tab w:leader="none" w:pos="46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Yes</w:t>
      </w:r>
    </w:p>
    <w:p>
      <w:pPr>
        <w:spacing w:after="0" w:line="175" w:lineRule="exact"/>
        <w:rPr>
          <w:sz w:val="20"/>
          <w:szCs w:val="20"/>
          <w:color w:val="auto"/>
        </w:rPr>
      </w:pPr>
    </w:p>
    <w:p>
      <w:pPr>
        <w:ind w:left="2" w:right="3539" w:hanging="823"/>
        <w:spacing w:after="0" w:line="248" w:lineRule="auto"/>
        <w:rPr>
          <w:sz w:val="20"/>
          <w:szCs w:val="20"/>
          <w:color w:val="auto"/>
        </w:rPr>
      </w:pPr>
      <w:r>
        <w:rPr>
          <w:rFonts w:ascii="Courier New" w:cs="Courier New" w:eastAsia="Courier New" w:hAnsi="Courier New"/>
          <w:sz w:val="15"/>
          <w:szCs w:val="15"/>
          <w:color w:val="auto"/>
        </w:rPr>
        <w:t>Item 2.</w:t>
      </w:r>
      <w:r>
        <w:rPr>
          <w:sz w:val="20"/>
          <w:szCs w:val="20"/>
          <w:color w:val="auto"/>
        </w:rPr>
        <w:t xml:space="preserve"> </w:t>
      </w:r>
      <w:r>
        <w:rPr>
          <w:rFonts w:ascii="Courier New" w:cs="Courier New" w:eastAsia="Courier New" w:hAnsi="Courier New"/>
          <w:sz w:val="15"/>
          <w:szCs w:val="15"/>
          <w:color w:val="auto"/>
        </w:rPr>
        <w:t>AFFILIATIONS WITH OBLIGOR. If the obligor is an affiliate of the Trustee, describe each such affiliation.</w:t>
      </w:r>
    </w:p>
    <w:p>
      <w:pPr>
        <w:spacing w:after="0" w:line="1" w:lineRule="exact"/>
        <w:rPr>
          <w:sz w:val="20"/>
          <w:szCs w:val="20"/>
          <w:color w:val="auto"/>
        </w:rPr>
      </w:pPr>
    </w:p>
    <w:p>
      <w:pPr>
        <w:ind w:left="742"/>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182" w:right="3719" w:hanging="1007"/>
        <w:spacing w:after="0" w:line="249" w:lineRule="auto"/>
        <w:rPr>
          <w:sz w:val="20"/>
          <w:szCs w:val="20"/>
          <w:color w:val="auto"/>
        </w:rPr>
      </w:pPr>
      <w:r>
        <w:rPr>
          <w:rFonts w:ascii="Courier New" w:cs="Courier New" w:eastAsia="Courier New" w:hAnsi="Courier New"/>
          <w:sz w:val="15"/>
          <w:szCs w:val="15"/>
          <w:color w:val="auto"/>
        </w:rPr>
        <w:t>Items 3-15 Items 3-15 are not applicable because to the best of the Trustee's knowledge, the obligor is not in default under any Indenture for which the Trustee acts as Trustee.</w:t>
      </w:r>
    </w:p>
    <w:p>
      <w:pPr>
        <w:spacing w:after="0" w:line="176" w:lineRule="exact"/>
        <w:rPr>
          <w:sz w:val="20"/>
          <w:szCs w:val="20"/>
          <w:color w:val="auto"/>
        </w:rPr>
      </w:pPr>
    </w:p>
    <w:p>
      <w:pPr>
        <w:ind w:left="2" w:right="3439" w:hanging="823"/>
        <w:spacing w:after="0" w:line="250" w:lineRule="auto"/>
        <w:rPr>
          <w:sz w:val="20"/>
          <w:szCs w:val="20"/>
          <w:color w:val="auto"/>
        </w:rPr>
      </w:pPr>
      <w:r>
        <w:rPr>
          <w:rFonts w:ascii="Courier New" w:cs="Courier New" w:eastAsia="Courier New" w:hAnsi="Courier New"/>
          <w:sz w:val="15"/>
          <w:szCs w:val="15"/>
          <w:color w:val="auto"/>
        </w:rPr>
        <w:t>Item 16. LIST OF EXHIBITS: List below all exhibits filed as a part of this statement of eligibility and qualification.</w:t>
      </w:r>
    </w:p>
    <w:p>
      <w:pPr>
        <w:spacing w:after="0" w:line="175" w:lineRule="exact"/>
        <w:rPr>
          <w:sz w:val="20"/>
          <w:szCs w:val="20"/>
          <w:color w:val="auto"/>
        </w:rPr>
      </w:pPr>
    </w:p>
    <w:p>
      <w:pPr>
        <w:ind w:left="282" w:hanging="282"/>
        <w:spacing w:after="0"/>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w:t>
      </w:r>
    </w:p>
    <w:p>
      <w:pPr>
        <w:spacing w:after="0" w:line="182" w:lineRule="exact"/>
        <w:rPr>
          <w:rFonts w:ascii="Courier New" w:cs="Courier New" w:eastAsia="Courier New" w:hAnsi="Courier New"/>
          <w:sz w:val="15"/>
          <w:szCs w:val="15"/>
          <w:color w:val="auto"/>
        </w:rPr>
      </w:pPr>
    </w:p>
    <w:p>
      <w:pPr>
        <w:ind w:left="282" w:right="3179" w:hanging="282"/>
        <w:spacing w:after="0" w:line="250" w:lineRule="auto"/>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w:t>
      </w:r>
    </w:p>
    <w:p>
      <w:pPr>
        <w:spacing w:after="0" w:line="174" w:lineRule="exact"/>
        <w:rPr>
          <w:rFonts w:ascii="Courier New" w:cs="Courier New" w:eastAsia="Courier New" w:hAnsi="Courier New"/>
          <w:sz w:val="15"/>
          <w:szCs w:val="15"/>
          <w:color w:val="auto"/>
        </w:rPr>
      </w:pPr>
    </w:p>
    <w:p>
      <w:pPr>
        <w:ind w:left="282" w:right="3179" w:hanging="282"/>
        <w:spacing w:after="0" w:line="250" w:lineRule="auto"/>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exercise corporate trust powers.*</w:t>
      </w:r>
    </w:p>
    <w:p>
      <w:pPr>
        <w:spacing w:after="0" w:line="174" w:lineRule="exact"/>
        <w:rPr>
          <w:rFonts w:ascii="Courier New" w:cs="Courier New" w:eastAsia="Courier New" w:hAnsi="Courier New"/>
          <w:sz w:val="15"/>
          <w:szCs w:val="15"/>
          <w:color w:val="auto"/>
        </w:rPr>
      </w:pPr>
    </w:p>
    <w:p>
      <w:pPr>
        <w:ind w:left="282" w:hanging="282"/>
        <w:spacing w:after="0"/>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w:t>
      </w:r>
    </w:p>
    <w:p>
      <w:pPr>
        <w:spacing w:after="0" w:line="182" w:lineRule="exact"/>
        <w:rPr>
          <w:rFonts w:ascii="Courier New" w:cs="Courier New" w:eastAsia="Courier New" w:hAnsi="Courier New"/>
          <w:sz w:val="15"/>
          <w:szCs w:val="15"/>
          <w:color w:val="auto"/>
        </w:rPr>
      </w:pPr>
    </w:p>
    <w:p>
      <w:pPr>
        <w:ind w:left="282" w:hanging="282"/>
        <w:spacing w:after="0"/>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Not applicable.</w:t>
      </w:r>
    </w:p>
    <w:p>
      <w:pPr>
        <w:spacing w:after="0" w:line="182" w:lineRule="exact"/>
        <w:rPr>
          <w:rFonts w:ascii="Courier New" w:cs="Courier New" w:eastAsia="Courier New" w:hAnsi="Courier New"/>
          <w:sz w:val="15"/>
          <w:szCs w:val="15"/>
          <w:color w:val="auto"/>
        </w:rPr>
      </w:pPr>
    </w:p>
    <w:p>
      <w:pPr>
        <w:ind w:left="282" w:right="3079" w:hanging="282"/>
        <w:spacing w:after="0" w:line="250" w:lineRule="auto"/>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Trust Indenture Act of 1939, attached as Exhibit 6.</w:t>
      </w:r>
    </w:p>
    <w:p>
      <w:pPr>
        <w:spacing w:after="0" w:line="174" w:lineRule="exact"/>
        <w:rPr>
          <w:rFonts w:ascii="Courier New" w:cs="Courier New" w:eastAsia="Courier New" w:hAnsi="Courier New"/>
          <w:sz w:val="15"/>
          <w:szCs w:val="15"/>
          <w:color w:val="auto"/>
        </w:rPr>
      </w:pPr>
    </w:p>
    <w:p>
      <w:pPr>
        <w:ind w:left="282" w:right="2979" w:hanging="282"/>
        <w:spacing w:after="0" w:line="249" w:lineRule="auto"/>
        <w:tabs>
          <w:tab w:leader="none" w:pos="2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Condition of the Trustee as of September 30, 2003, published pursuant to law or the requirements of its supervising or examining authority, attached as Exhibit 7.</w:t>
      </w:r>
    </w:p>
    <w:p>
      <w:pPr>
        <w:spacing w:after="0" w:line="176" w:lineRule="exact"/>
        <w:rPr>
          <w:sz w:val="20"/>
          <w:szCs w:val="20"/>
          <w:color w:val="auto"/>
        </w:rPr>
      </w:pPr>
    </w:p>
    <w:p>
      <w:pPr>
        <w:jc w:val="center"/>
        <w:ind w:left="2842" w:right="3719" w:hanging="2750"/>
        <w:spacing w:after="0" w:line="499" w:lineRule="auto"/>
        <w:tabs>
          <w:tab w:leader="none" w:pos="27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Number 333-67188. 2</w:t>
      </w:r>
    </w:p>
    <w:p>
      <w:pPr>
        <w:sectPr>
          <w:pgSz w:w="11900" w:h="16838" w:orient="portrait"/>
          <w:cols w:equalWidth="0" w:num="1">
            <w:col w:w="9401"/>
          </w:cols>
          <w:pgMar w:left="1058" w:top="647" w:right="1440" w:bottom="1440" w:gutter="0" w:footer="0" w:header="0"/>
        </w:sectPr>
      </w:pPr>
    </w:p>
    <w:bookmarkStart w:id="95" w:name="page96"/>
    <w:bookmarkEnd w:id="95"/>
    <w:p>
      <w:pPr>
        <w:ind w:left="3480"/>
        <w:spacing w:after="0"/>
        <w:rPr>
          <w:sz w:val="20"/>
          <w:szCs w:val="20"/>
          <w:color w:val="auto"/>
        </w:rPr>
      </w:pPr>
      <w:r>
        <w:rPr>
          <w:rFonts w:ascii="Courier New" w:cs="Courier New" w:eastAsia="Courier New" w:hAnsi="Courier New"/>
          <w:sz w:val="15"/>
          <w:szCs w:val="15"/>
          <w:color w:val="auto"/>
        </w:rPr>
        <w:t>NOTE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8th day of December, 2003.</w:t>
      </w:r>
    </w:p>
    <w:p>
      <w:pPr>
        <w:spacing w:after="0" w:line="35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U.S. BANK NATIONAL ASSOCIATION</w:t>
      </w:r>
    </w:p>
    <w:p>
      <w:pPr>
        <w:spacing w:after="0" w:line="18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Cauna M. Silva</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Cauna M. Silva</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Melissa A. DuMont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Melissa A. DuMont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Assistant Vice President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6" w:right="1440" w:bottom="1440" w:gutter="0" w:footer="0" w:header="0"/>
        </w:sectPr>
      </w:pPr>
    </w:p>
    <w:bookmarkStart w:id="96" w:name="page97"/>
    <w:bookmarkEnd w:id="96"/>
    <w:p>
      <w:pPr>
        <w:jc w:val="center"/>
        <w:ind w:right="2819"/>
        <w:spacing w:after="0"/>
        <w:rPr>
          <w:sz w:val="20"/>
          <w:szCs w:val="20"/>
          <w:color w:val="auto"/>
        </w:rPr>
      </w:pPr>
      <w:r>
        <w:rPr>
          <w:rFonts w:ascii="Courier New" w:cs="Courier New" w:eastAsia="Courier New" w:hAnsi="Courier New"/>
          <w:sz w:val="15"/>
          <w:szCs w:val="15"/>
          <w:color w:val="auto"/>
        </w:rPr>
        <w:t>EXHIBIT 6</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CONSENT</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26, 2003</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U.S. BANK NATIONAL ASSOCIATION</w:t>
      </w:r>
    </w:p>
    <w:p>
      <w:pPr>
        <w:spacing w:after="0" w:line="18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Cauna M. Silva</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Cauna M. Silva</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Melissa A. DuMont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Melissa A. DuMont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Assistant Vice President</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6" w:right="1440" w:bottom="1440" w:gutter="0" w:footer="0" w:header="0"/>
        </w:sectPr>
      </w:pPr>
    </w:p>
    <w:bookmarkStart w:id="97" w:name="page98"/>
    <w:bookmarkEnd w:id="97"/>
    <w:p>
      <w:pPr>
        <w:jc w:val="center"/>
        <w:ind w:right="2819"/>
        <w:spacing w:after="0"/>
        <w:rPr>
          <w:sz w:val="20"/>
          <w:szCs w:val="20"/>
          <w:color w:val="auto"/>
        </w:rPr>
      </w:pPr>
      <w:r>
        <w:rPr>
          <w:rFonts w:ascii="Courier New" w:cs="Courier New" w:eastAsia="Courier New" w:hAnsi="Courier New"/>
          <w:sz w:val="15"/>
          <w:szCs w:val="15"/>
          <w:color w:val="auto"/>
        </w:rPr>
        <w:t>EXHIBIT 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 of Financial Condition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ind w:left="3020"/>
              <w:spacing w:after="0"/>
              <w:rPr>
                <w:sz w:val="20"/>
                <w:szCs w:val="20"/>
                <w:color w:val="auto"/>
              </w:rPr>
            </w:pPr>
            <w:r>
              <w:rPr>
                <w:rFonts w:ascii="Courier New" w:cs="Courier New" w:eastAsia="Courier New" w:hAnsi="Courier New"/>
                <w:sz w:val="15"/>
                <w:szCs w:val="15"/>
                <w:color w:val="auto"/>
              </w:rPr>
              <w:t>As of 9/30/2003</w:t>
            </w:r>
          </w:p>
        </w:tc>
        <w:tc>
          <w:tcPr>
            <w:tcW w:w="1500" w:type="dxa"/>
            <w:vAlign w:val="bottom"/>
          </w:tcPr>
          <w:p>
            <w:pPr>
              <w:spacing w:after="0"/>
              <w:rPr>
                <w:sz w:val="14"/>
                <w:szCs w:val="14"/>
                <w:color w:val="auto"/>
              </w:rPr>
            </w:pPr>
          </w:p>
        </w:tc>
      </w:tr>
      <w:tr>
        <w:trPr>
          <w:trHeight w:val="352"/>
        </w:trPr>
        <w:tc>
          <w:tcPr>
            <w:tcW w:w="4720" w:type="dxa"/>
            <w:vAlign w:val="bottom"/>
          </w:tcPr>
          <w:p>
            <w:pPr>
              <w:ind w:left="3300"/>
              <w:spacing w:after="0"/>
              <w:rPr>
                <w:sz w:val="20"/>
                <w:szCs w:val="20"/>
                <w:color w:val="auto"/>
              </w:rPr>
            </w:pPr>
            <w:r>
              <w:rPr>
                <w:rFonts w:ascii="Courier New" w:cs="Courier New" w:eastAsia="Courier New" w:hAnsi="Courier New"/>
                <w:sz w:val="15"/>
                <w:szCs w:val="15"/>
                <w:color w:val="auto"/>
              </w:rPr>
              <w:t>($000's)</w:t>
            </w:r>
          </w:p>
        </w:tc>
        <w:tc>
          <w:tcPr>
            <w:tcW w:w="1500" w:type="dxa"/>
            <w:vAlign w:val="bottom"/>
          </w:tcPr>
          <w:p>
            <w:pPr>
              <w:spacing w:after="0"/>
              <w:rPr>
                <w:sz w:val="24"/>
                <w:szCs w:val="24"/>
                <w:color w:val="auto"/>
              </w:rPr>
            </w:pPr>
          </w:p>
        </w:tc>
      </w:tr>
      <w:tr>
        <w:trPr>
          <w:trHeight w:val="352"/>
        </w:trPr>
        <w:tc>
          <w:tcPr>
            <w:tcW w:w="4720" w:type="dxa"/>
            <w:vAlign w:val="bottom"/>
          </w:tcPr>
          <w:p>
            <w:pPr>
              <w:spacing w:after="0"/>
              <w:rPr>
                <w:sz w:val="24"/>
                <w:szCs w:val="24"/>
                <w:color w:val="auto"/>
              </w:rPr>
            </w:pPr>
          </w:p>
        </w:tc>
        <w:tc>
          <w:tcPr>
            <w:tcW w:w="15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9/30/2003</w:t>
            </w:r>
          </w:p>
        </w:tc>
      </w:tr>
      <w:tr>
        <w:trPr>
          <w:trHeight w:val="176"/>
        </w:trPr>
        <w:tc>
          <w:tcPr>
            <w:tcW w:w="4720" w:type="dxa"/>
            <w:vAlign w:val="bottom"/>
          </w:tcPr>
          <w:p>
            <w:pPr>
              <w:spacing w:after="0"/>
              <w:rPr>
                <w:sz w:val="15"/>
                <w:szCs w:val="15"/>
                <w:color w:val="auto"/>
              </w:rPr>
            </w:pPr>
          </w:p>
        </w:tc>
        <w:tc>
          <w:tcPr>
            <w:tcW w:w="15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4"/>
                <w:szCs w:val="24"/>
                <w:color w:val="auto"/>
              </w:rPr>
            </w:pP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Cash and Due From Depository Institutions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9,363,408</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Federal Reserve Stock</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34,719,100</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Federal Funds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2,322,794</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Loans &amp; Lease Financing Receivables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118,943,010</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Fixed Assets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1,915,381</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9,648,952</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9,551,844</w:t>
            </w:r>
          </w:p>
        </w:tc>
      </w:tr>
      <w:tr>
        <w:trPr>
          <w:trHeight w:val="176"/>
        </w:trPr>
        <w:tc>
          <w:tcPr>
            <w:tcW w:w="4720" w:type="dxa"/>
            <w:vAlign w:val="bottom"/>
          </w:tcPr>
          <w:p>
            <w:pPr>
              <w:spacing w:after="0"/>
              <w:rPr>
                <w:sz w:val="15"/>
                <w:szCs w:val="15"/>
                <w:color w:val="auto"/>
              </w:rPr>
            </w:pPr>
          </w:p>
        </w:tc>
        <w:tc>
          <w:tcPr>
            <w:tcW w:w="15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ind w:left="640"/>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$186,464,489</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00" w:type="dxa"/>
            <w:vAlign w:val="bottom"/>
          </w:tcPr>
          <w:p>
            <w:pPr>
              <w:spacing w:after="0"/>
              <w:rPr>
                <w:sz w:val="24"/>
                <w:szCs w:val="24"/>
                <w:color w:val="auto"/>
              </w:rPr>
            </w:pP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Deposits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$122,910,311</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Fed Funds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6,285,092</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Treasury Demand Notes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3,226,368</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Trading Liabilities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246,528</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Other Borrowed Money</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21,879,472</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Acceptances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145,666</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Subordinated Notes and Debentures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6,148,678</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Other Liabilities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5,383,119</w:t>
            </w:r>
          </w:p>
        </w:tc>
      </w:tr>
      <w:tr>
        <w:trPr>
          <w:trHeight w:val="176"/>
        </w:trPr>
        <w:tc>
          <w:tcPr>
            <w:tcW w:w="4720" w:type="dxa"/>
            <w:vAlign w:val="bottom"/>
          </w:tcPr>
          <w:p>
            <w:pPr>
              <w:spacing w:after="0"/>
              <w:rPr>
                <w:sz w:val="15"/>
                <w:szCs w:val="15"/>
                <w:color w:val="auto"/>
              </w:rPr>
            </w:pPr>
          </w:p>
        </w:tc>
        <w:tc>
          <w:tcPr>
            <w:tcW w:w="15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$166,225,234</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500" w:type="dxa"/>
            <w:vAlign w:val="bottom"/>
          </w:tcPr>
          <w:p>
            <w:pPr>
              <w:spacing w:after="0"/>
              <w:rPr>
                <w:sz w:val="24"/>
                <w:szCs w:val="24"/>
                <w:color w:val="auto"/>
              </w:rPr>
            </w:pP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in Subsidiaries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$1,003,166</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Common and Preferred Stock</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18,200</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Surplus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11,676,398</w:t>
            </w:r>
          </w:p>
        </w:tc>
      </w:tr>
      <w:tr>
        <w:trPr>
          <w:trHeight w:val="176"/>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Undivided Profits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7,541,491</w:t>
            </w:r>
          </w:p>
        </w:tc>
      </w:tr>
      <w:tr>
        <w:trPr>
          <w:trHeight w:val="176"/>
        </w:trPr>
        <w:tc>
          <w:tcPr>
            <w:tcW w:w="4720" w:type="dxa"/>
            <w:vAlign w:val="bottom"/>
          </w:tcPr>
          <w:p>
            <w:pPr>
              <w:spacing w:after="0"/>
              <w:rPr>
                <w:sz w:val="15"/>
                <w:szCs w:val="15"/>
                <w:color w:val="auto"/>
              </w:rPr>
            </w:pPr>
          </w:p>
        </w:tc>
        <w:tc>
          <w:tcPr>
            <w:tcW w:w="15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ind w:left="640"/>
              <w:spacing w:after="0"/>
              <w:rPr>
                <w:sz w:val="20"/>
                <w:szCs w:val="20"/>
                <w:color w:val="auto"/>
              </w:rPr>
            </w:pPr>
            <w:r>
              <w:rPr>
                <w:rFonts w:ascii="Courier New" w:cs="Courier New" w:eastAsia="Courier New" w:hAnsi="Courier New"/>
                <w:sz w:val="15"/>
                <w:szCs w:val="15"/>
                <w:color w:val="auto"/>
              </w:rPr>
              <w:t>Total Equity Capital</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$ 20,239,255</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Total Liabilities and Equity Capital</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$186,464,489</w:t>
            </w:r>
          </w:p>
        </w:tc>
      </w:tr>
    </w:tbl>
    <w:p>
      <w:pPr>
        <w:spacing w:after="0" w:line="181"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To the best of the undersigned's determination, as of the date hereof, the above financial information is true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Cauna M. Silva</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Vice President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26, 2003</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98" w:name="page99"/>
    <w:bookmarkEnd w:id="98"/>
    <w:p>
      <w:pPr>
        <w:ind w:left="6140"/>
        <w:spacing w:after="0"/>
        <w:rPr>
          <w:sz w:val="20"/>
          <w:szCs w:val="20"/>
          <w:color w:val="auto"/>
        </w:rPr>
      </w:pPr>
      <w:r>
        <w:rPr>
          <w:rFonts w:ascii="Courier New" w:cs="Courier New" w:eastAsia="Courier New" w:hAnsi="Courier New"/>
          <w:sz w:val="15"/>
          <w:szCs w:val="15"/>
          <w:color w:val="auto"/>
        </w:rPr>
        <w:t>Exhibit 99.1</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LETTER OF TRANSMITTAL</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 TENDER FOR EXCHANGE</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A SENIOR SUBORDINATED NOTES DUE 2013</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EXCHANGE FOR</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B SENIOR SUBORDINATED NOTES DUE 2013</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PURSUANT TO THE PROSPECTUS</w:t>
      </w:r>
    </w:p>
    <w:p>
      <w:pPr>
        <w:spacing w:after="0" w:line="6" w:lineRule="exact"/>
        <w:rPr>
          <w:sz w:val="20"/>
          <w:szCs w:val="20"/>
          <w:color w:val="auto"/>
        </w:rPr>
      </w:pPr>
    </w:p>
    <w:p>
      <w:pPr>
        <w:ind w:left="2740"/>
        <w:spacing w:after="0"/>
        <w:tabs>
          <w:tab w:leader="none" w:pos="382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2004</w:t>
      </w:r>
    </w:p>
    <w:p>
      <w:pPr>
        <w:sectPr>
          <w:pgSz w:w="11900" w:h="16838" w:orient="portrait"/>
          <w:cols w:equalWidth="0" w:num="1">
            <w:col w:w="10219"/>
          </w:cols>
          <w:pgMar w:left="240" w:top="494"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 will expire at 5:00 p.m., New York City time,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unless extended (such time and date, as the same may be extended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time, the "Expiration Date"). Tenders may be withdrawn at any time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the Expiration Date.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33" w:lineRule="exact"/>
        <w:rPr>
          <w:sz w:val="20"/>
          <w:szCs w:val="20"/>
          <w:color w:val="auto"/>
        </w:rPr>
      </w:pPr>
    </w:p>
    <w:p>
      <w:pPr>
        <w:sectPr>
          <w:pgSz w:w="11900" w:h="16838" w:orient="portrait"/>
          <w:cols w:equalWidth="0" w:num="2">
            <w:col w:w="6860" w:space="100"/>
            <w:col w:w="3259"/>
          </w:cols>
          <w:pgMar w:left="240" w:top="494"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5"/>
          <w:szCs w:val="15"/>
          <w:color w:val="auto"/>
        </w:rPr>
        <w:t>The Exchange Agent for the Exchange Offer is:</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U.S. Bank National Association</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By Registered or Certified Mail or Hand or Overnight Delivery:</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U.S. Bank West Side Flats Operations Center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60 Livingston Ave.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St. Paul, MN 55107</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Attention: Specialized Finance</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Facsimile Transmissions (Eligible Institutions Only): (651) 495-8158</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Information: (800) 934-6802</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TO A FACSIMILE NUMBER OTHER THAN AS SET FORTH ABOVE WILL NOT CONSTITUTE VALID DELIVERY TO THE EXCHANGE AGENT.</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880" w:type="dxa"/>
            <w:vAlign w:val="bottom"/>
          </w:tcPr>
          <w:p>
            <w:pPr>
              <w:spacing w:after="0"/>
              <w:rPr>
                <w:sz w:val="20"/>
                <w:szCs w:val="20"/>
                <w:color w:val="auto"/>
              </w:rPr>
            </w:pPr>
            <w:r>
              <w:rPr>
                <w:rFonts w:ascii="Courier New" w:cs="Courier New" w:eastAsia="Courier New" w:hAnsi="Courier New"/>
                <w:sz w:val="15"/>
                <w:szCs w:val="15"/>
                <w:color w:val="auto"/>
              </w:rPr>
              <w:t>The undersigned acknowledges receipt of the Prospectus dated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2004</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"Prospectus"), of The Scotts Company, an Ohio corporation (the "Company"), and this Letter of Transmittal (the "Letter of Transmittal"), which together with the Prospectus constitutes the Company's offer (the "Exchange Offer") to exchange $1,000 principal amount of its 6.625% Series B Senior Subordinated Notes due 2013 (the "Exchange Notes") for each $1,000 principal amount of its outstanding 6.625% Series A Senior Subordinated Notes due 2013 (the "Original Notes"). Recipients of the Prospectus should read the requirements described in such Prospectus with respect to eligibility to participate in the Exchange Offer. Capitalized terms used but not defined herein have the meaning given to them in the Prospectus.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undersigned hereby tenders the Original Notes described in the box entitled "Description of Original Notes" below pursuant to the terms and conditions described in the Prospectus and this Letter of Transmittal. The undersigned is the registered holder of all the Original Notes (the "Holder") and the undersigned represents that it has received from each beneficial owner of Original Notes (the "Beneficial Owners") a duly completed and executed form of "Instruction to Registered Holder from Beneficial Owner" accompanying this Letter of Transmittal, instructing the undersigned to take the action described in this Letter of Transmittal.</w:t>
      </w:r>
    </w:p>
    <w:p>
      <w:pPr>
        <w:sectPr>
          <w:pgSz w:w="11900" w:h="16838" w:orient="portrait"/>
          <w:cols w:equalWidth="0" w:num="1">
            <w:col w:w="10219"/>
          </w:cols>
          <w:pgMar w:left="240" w:top="494" w:right="1440" w:bottom="1440" w:gutter="0" w:footer="0" w:header="0"/>
          <w:type w:val="continuous"/>
        </w:sectPr>
      </w:pPr>
    </w:p>
    <w:bookmarkStart w:id="99" w:name="page100"/>
    <w:bookmarkEnd w:id="99"/>
    <w:p>
      <w:pPr>
        <w:ind w:left="6" w:right="3179"/>
        <w:spacing w:after="0" w:line="250" w:lineRule="auto"/>
        <w:rPr>
          <w:sz w:val="20"/>
          <w:szCs w:val="20"/>
          <w:color w:val="auto"/>
        </w:rPr>
      </w:pPr>
      <w:r>
        <w:rPr>
          <w:rFonts w:ascii="Courier New" w:cs="Courier New" w:eastAsia="Courier New" w:hAnsi="Courier New"/>
          <w:sz w:val="15"/>
          <w:szCs w:val="15"/>
          <w:color w:val="auto"/>
        </w:rPr>
        <w:t>PLEASE READ THIS ENTIRE LETTER OF TRANSMITTAL CAREFULLY BEFORE COMPLETING ANY BOX BELOW.</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This Letter of Transmittal is to be used by a Holder (i) if certificates representing Original Notes are to be forwarded herewith and (ii) if a tender is made pursuant to the guaranteed delivery procedures in the section of the Prospectus entitled "The Exchange Offer -- Guaranteed Delivery Procedures." Holders that are tendering by book-entry transfer to the Exchange Agent's account at DTC can execute the tender through ATOP for which the Exchange Offer will be eligible. DTC participants that are accepting the Exchange Offer must transmit their acceptance to DTC which will verify the acceptance and execute a book-entry delivery to the Exchange Agent's account at DTC. DTC will then send an agent's message forming part of a book-entry transfer in which the participant agrees to be bound by the terms of the Letter of Transmittal (an "Agent's Message") to the Exchange Agent for its acceptance. Transmission of the Agent's Message by DTC will satisfy the terms of the Exchange Offer as to execution and delivery of a Letter of Transmittal by the participant identified in the Agent's Message.</w:t>
      </w:r>
    </w:p>
    <w:p>
      <w:pPr>
        <w:spacing w:after="0" w:line="18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Any Beneficial Owner whose Original Notes are registered in the name of a broker, dealer, commercial bank, trust company or other nominee and who wishes to tender should contact such Holder promptly and instruct such Holder to tender on behalf of the Beneficial Owner. If such Beneficial Owner wishes to tender on its own behalf, such Beneficial Owner must, prior to completing and executing this Letter of Transmittal and delivering its Original Notes, either make appropriate arrangements to register ownership of the Original Notes in such Beneficial Owner's name or obtain a properly completed bond power from the Holder. The transfer of record ownership may take considerable time.</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In order to properly complete this Letter of Transmittal, a Holder must (i) complete the box entitled "Description of Original Notes," (ii) if appropriate, check and complete the boxes relating to book-entry transfer, guaranteed delivery, Special Issuance Instructions and Special Delivery Instructions,</w:t>
      </w:r>
    </w:p>
    <w:p>
      <w:pPr>
        <w:spacing w:after="0" w:line="2" w:lineRule="exact"/>
        <w:rPr>
          <w:sz w:val="20"/>
          <w:szCs w:val="20"/>
          <w:color w:val="auto"/>
        </w:rPr>
      </w:pPr>
    </w:p>
    <w:p>
      <w:pPr>
        <w:ind w:left="6" w:right="3079" w:hanging="6"/>
        <w:spacing w:after="0" w:line="249" w:lineRule="auto"/>
        <w:tabs>
          <w:tab w:leader="none" w:pos="55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the Letter of Transmittal by completing the box entitled "Sign Here To Tender Your Notes" and (iv) complete the Substitute Form W-9. Each Holder should carefully read the detailed instructions below prior to completing the Letter of Transmittal.</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Holders of Original Notes who desire to tender their Original Notes for exchange and (i) whose Original Notes are not immediately available or (ii) who cannot deliver their Original Notes, this Letter of Transmittal and all other documents required hereby to the Exchange Agent on or prior to the Expiration Date, must tender the Original Notes pursuant to the guaranteed delivery procedures set forth in the section of the Prospectus entitled "The Exchange Offer -- Guaranteed Delivery Procedures." See Instruction 2.</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Holders of Original Notes who wish to tender their Original Notes for exchange must complete columns (1) through (3) in the box below entitled "Description of Original Notes," and sign the box below entitled "Sign Here To Tender Your Notes." If only those columns are completed, such Holder will have tendered for exchange all Original Notes listed in column (3) below. If the Holder wishes to tender for exchange less than all of such Original Notes, column (4) must be completed in full. In such case, such Holder should refer to Instruction 5.</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Exchange Offer may be extended, terminated or amended, as provided in the Prospectus. During any such extension of the Exchange Offer, all Original Notes previously tendered and not withdrawn pursuant to the Exchange Offer will remain subject to such Exchange Offer.</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undersigned hereby tenders for exchange the Original Notes described in the box entitled "Description of Original Notes" below pursuant to the terms and conditions described in the Prospectus and this Letter of Transmittal.</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7" w:right="1440" w:bottom="1440" w:gutter="0" w:footer="0" w:header="0"/>
        </w:sectPr>
      </w:pPr>
    </w:p>
    <w:bookmarkStart w:id="100" w:name="page101"/>
    <w:bookmarkEnd w:id="100"/>
    <w:p>
      <w:pPr>
        <w:ind w:left="186" w:hanging="186"/>
        <w:spacing w:after="0"/>
        <w:tabs>
          <w:tab w:leader="none" w:pos="18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8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ORIGINAL NOTES TENDERED</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Name(s) and Address(es) of Registered Owner(s)</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Certificate</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Aggregate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Principal</w:t>
            </w:r>
          </w:p>
        </w:tc>
      </w:tr>
      <w:tr>
        <w:trPr>
          <w:trHeight w:val="176"/>
        </w:trPr>
        <w:tc>
          <w:tcPr>
            <w:tcW w:w="6460" w:type="dxa"/>
            <w:vAlign w:val="bottom"/>
            <w:gridSpan w:val="2"/>
          </w:tcPr>
          <w:p>
            <w:pPr>
              <w:spacing w:after="0"/>
              <w:rPr>
                <w:sz w:val="20"/>
                <w:szCs w:val="20"/>
                <w:color w:val="auto"/>
              </w:rPr>
            </w:pPr>
            <w:r>
              <w:rPr>
                <w:rFonts w:ascii="Courier New" w:cs="Courier New" w:eastAsia="Courier New" w:hAnsi="Courier New"/>
                <w:sz w:val="15"/>
                <w:szCs w:val="15"/>
                <w:color w:val="auto"/>
              </w:rPr>
              <w:t>(Please fill in, if blank, exactly as Name(s) appear(s) on Number(s)*</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Principal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5080" w:type="dxa"/>
            <w:vAlign w:val="bottom"/>
          </w:tcPr>
          <w:p>
            <w:pPr>
              <w:ind w:left="1820"/>
              <w:spacing w:after="0"/>
              <w:rPr>
                <w:sz w:val="20"/>
                <w:szCs w:val="20"/>
                <w:color w:val="auto"/>
              </w:rPr>
            </w:pPr>
            <w:r>
              <w:rPr>
                <w:rFonts w:ascii="Courier New" w:cs="Courier New" w:eastAsia="Courier New" w:hAnsi="Courier New"/>
                <w:sz w:val="15"/>
                <w:szCs w:val="15"/>
                <w:color w:val="auto"/>
              </w:rPr>
              <w:t>Original Note(s))</w:t>
            </w:r>
          </w:p>
        </w:tc>
        <w:tc>
          <w:tcPr>
            <w:tcW w:w="13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w w:val="99"/>
              </w:rPr>
              <w:t>Original Notes</w:t>
            </w:r>
          </w:p>
        </w:tc>
      </w:tr>
      <w:tr>
        <w:trPr>
          <w:trHeight w:val="176"/>
        </w:trPr>
        <w:tc>
          <w:tcPr>
            <w:tcW w:w="5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Represented by</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Tendered **</w:t>
            </w:r>
          </w:p>
        </w:tc>
      </w:tr>
      <w:tr>
        <w:trPr>
          <w:trHeight w:val="176"/>
        </w:trPr>
        <w:tc>
          <w:tcPr>
            <w:tcW w:w="5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spacing w:after="0"/>
              <w:rPr>
                <w:sz w:val="15"/>
                <w:szCs w:val="15"/>
                <w:color w:val="auto"/>
              </w:rPr>
            </w:pPr>
          </w:p>
        </w:tc>
      </w:tr>
      <w:tr>
        <w:trPr>
          <w:trHeight w:val="176"/>
        </w:trPr>
        <w:tc>
          <w:tcPr>
            <w:tcW w:w="5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Original Notes</w:t>
            </w:r>
          </w:p>
        </w:tc>
        <w:tc>
          <w:tcPr>
            <w:tcW w:w="134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(If you need more space, attach a list and sign the list)</w:t>
      </w:r>
    </w:p>
    <w:p>
      <w:pPr>
        <w:spacing w:after="0" w:line="6"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7966"/>
        <w:spacing w:after="0"/>
        <w:rPr>
          <w:sz w:val="20"/>
          <w:szCs w:val="20"/>
          <w:color w:val="auto"/>
        </w:rPr>
      </w:pPr>
      <w:r>
        <w:rPr>
          <w:rFonts w:ascii="Courier New" w:cs="Courier New" w:eastAsia="Courier New" w:hAnsi="Courier New"/>
          <w:sz w:val="15"/>
          <w:szCs w:val="15"/>
          <w:color w:val="auto"/>
        </w:rPr>
        <w:t>Total Amount</w:t>
      </w:r>
    </w:p>
    <w:p>
      <w:pPr>
        <w:spacing w:after="0" w:line="6" w:lineRule="exact"/>
        <w:rPr>
          <w:sz w:val="20"/>
          <w:szCs w:val="20"/>
          <w:color w:val="auto"/>
        </w:rPr>
      </w:pPr>
    </w:p>
    <w:p>
      <w:pPr>
        <w:ind w:left="7966"/>
        <w:spacing w:after="0"/>
        <w:rPr>
          <w:sz w:val="20"/>
          <w:szCs w:val="20"/>
          <w:color w:val="auto"/>
        </w:rPr>
      </w:pPr>
      <w:r>
        <w:rPr>
          <w:rFonts w:ascii="Courier New" w:cs="Courier New" w:eastAsia="Courier New" w:hAnsi="Courier New"/>
          <w:sz w:val="15"/>
          <w:szCs w:val="15"/>
          <w:color w:val="auto"/>
        </w:rPr>
        <w:t>Tendered:</w:t>
      </w:r>
    </w:p>
    <w:p>
      <w:pPr>
        <w:spacing w:after="0" w:line="6" w:lineRule="exact"/>
        <w:rPr>
          <w:sz w:val="20"/>
          <w:szCs w:val="20"/>
          <w:color w:val="auto"/>
        </w:rPr>
      </w:pPr>
    </w:p>
    <w:p>
      <w:pPr>
        <w:ind w:left="186" w:hanging="186"/>
        <w:spacing w:after="0"/>
        <w:tabs>
          <w:tab w:leader="none" w:pos="18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6" w:hanging="266"/>
        <w:spacing w:after="0"/>
        <w:tabs>
          <w:tab w:leader="none" w:pos="26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Need not be completed by book-entry holders.</w:t>
      </w:r>
    </w:p>
    <w:p>
      <w:pPr>
        <w:spacing w:after="0" w:line="6" w:lineRule="exact"/>
        <w:rPr>
          <w:sz w:val="20"/>
          <w:szCs w:val="20"/>
          <w:color w:val="auto"/>
        </w:rPr>
      </w:pPr>
    </w:p>
    <w:p>
      <w:pPr>
        <w:ind w:left="266" w:right="3179" w:hanging="266"/>
        <w:spacing w:after="0" w:line="250" w:lineRule="auto"/>
        <w:tabs>
          <w:tab w:leader="none" w:pos="26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Original Notes held shall be deemed tendered unless a lesser number is specified in this column.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[_]CHECK HERE IF TENDERED ORIGINAL NOTES ARE ENCLOSED HEREWITH.</w:t>
      </w:r>
    </w:p>
    <w:p>
      <w:pPr>
        <w:spacing w:after="0" w:line="182" w:lineRule="exact"/>
        <w:rPr>
          <w:sz w:val="20"/>
          <w:szCs w:val="20"/>
          <w:color w:val="auto"/>
        </w:rPr>
      </w:pPr>
    </w:p>
    <w:p>
      <w:pPr>
        <w:ind w:left="266" w:right="3179" w:hanging="274"/>
        <w:spacing w:after="0" w:line="249" w:lineRule="auto"/>
        <w:rPr>
          <w:sz w:val="20"/>
          <w:szCs w:val="20"/>
          <w:color w:val="auto"/>
        </w:rPr>
      </w:pPr>
      <w:r>
        <w:rPr>
          <w:rFonts w:ascii="Courier New" w:cs="Courier New" w:eastAsia="Courier New" w:hAnsi="Courier New"/>
          <w:sz w:val="15"/>
          <w:szCs w:val="15"/>
          <w:color w:val="auto"/>
        </w:rPr>
        <w:t>[_]CHECK HERE AND ENCLOSE A PHOTOCOPY OF THE NOTICE OF GUARANTEED DELIVERY IF TENDERED ORIGINAL NOTES ARE BEING DELIVERED PURSUANT TO A NOTICE OF GUARANTEED DELIVERY PREVIOUSLY SENT TO THE EXCHANGE AGENT AND COMPLETE THE FOLLOWING (FOR USE BY ELIGIBLE INSTITUTIONS ONLY):</w:t>
      </w:r>
    </w:p>
    <w:p>
      <w:pPr>
        <w:spacing w:after="0" w:line="17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Name(s) of Registered Holder(s) _____________________________________________</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Window Ticket Number (if any) _______________________________________________</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Date of Execution of Notice of Guaranteed Delivery __________________________</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Name of Institution which Guaranteed Delivery _______________________________</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If Guaranteed Delivery is to be made by Book-Entry Transfer:</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Name of Tendering Institution_____________________________________________</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DTC Book-Entry Account Number_____________________________________________</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Transaction Code Number___________________________________________________</w:t>
      </w:r>
    </w:p>
    <w:p>
      <w:pPr>
        <w:spacing w:after="0" w:line="182" w:lineRule="exact"/>
        <w:rPr>
          <w:sz w:val="20"/>
          <w:szCs w:val="20"/>
          <w:color w:val="auto"/>
        </w:rPr>
      </w:pPr>
    </w:p>
    <w:p>
      <w:pPr>
        <w:jc w:val="both"/>
        <w:ind w:left="266" w:right="3439" w:hanging="274"/>
        <w:spacing w:after="0" w:line="249" w:lineRule="auto"/>
        <w:rPr>
          <w:sz w:val="20"/>
          <w:szCs w:val="20"/>
          <w:color w:val="auto"/>
        </w:rPr>
      </w:pPr>
      <w:r>
        <w:rPr>
          <w:rFonts w:ascii="Courier New" w:cs="Courier New" w:eastAsia="Courier New" w:hAnsi="Courier New"/>
          <w:sz w:val="15"/>
          <w:szCs w:val="15"/>
          <w:color w:val="auto"/>
        </w:rPr>
        <w:t>[_]CHECK HERE IF YOU ARE A BROKER-DEALER AND WISH TO RECEIVE 10 ADDITIONAL COPIES OF THE PROSPECTUS AND 10 COPIES OF ANY AMENDMENTS OR SUPPLEMENTS THERETO.</w:t>
      </w:r>
    </w:p>
    <w:p>
      <w:pPr>
        <w:spacing w:after="0" w:line="17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Name:________________________________________________________________________</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Address:_____________________________________________________________________</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999" w:right="1440" w:bottom="1440" w:gutter="0" w:footer="0" w:header="0"/>
        </w:sectPr>
      </w:pPr>
    </w:p>
    <w:bookmarkStart w:id="101" w:name="page102"/>
    <w:bookmarkEnd w:id="101"/>
    <w:p>
      <w:pPr>
        <w:ind w:left="6" w:right="2979" w:firstLine="275"/>
        <w:spacing w:after="0" w:line="248" w:lineRule="auto"/>
        <w:rPr>
          <w:sz w:val="20"/>
          <w:szCs w:val="20"/>
          <w:color w:val="auto"/>
        </w:rPr>
      </w:pPr>
      <w:r>
        <w:rPr>
          <w:rFonts w:ascii="Courier New" w:cs="Courier New" w:eastAsia="Courier New" w:hAnsi="Courier New"/>
          <w:sz w:val="15"/>
          <w:szCs w:val="15"/>
          <w:color w:val="auto"/>
        </w:rPr>
        <w:t>Only Holders are entitled to tender their Original Notes for exchange in the Exchange Offer. Any financial institution that is a participant in DTC's system and whose name appears on a security position listing as the record owner of the Original Notes and who wishes to make book-entry delivery of Original Notes as described above must complete and execute a participant's letter (which will be distributed to participants by DTC) instructing DTC's nominee to tender such Original Notes for exchange. Persons who are Beneficial Owners of Original Notes but are not Holders and who seek to tender Original Notes should (i) contact the Holder and instruct such Holder to tender on his or her behalf,</w:t>
      </w:r>
    </w:p>
    <w:p>
      <w:pPr>
        <w:spacing w:after="0" w:line="5" w:lineRule="exact"/>
        <w:rPr>
          <w:sz w:val="20"/>
          <w:szCs w:val="20"/>
          <w:color w:val="auto"/>
        </w:rPr>
      </w:pPr>
    </w:p>
    <w:p>
      <w:pPr>
        <w:ind w:left="6" w:right="2979" w:hanging="6"/>
        <w:spacing w:after="0" w:line="248" w:lineRule="auto"/>
        <w:tabs>
          <w:tab w:leader="none" w:pos="46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and include with this Letter of Transmittal, Original Notes properly endorsed for transfer by the Holder or accompanied by a properly completed bond power from the Holder, with signatures on the endorsement or bond power guaranteed by a firm that is an eligible guarantor institution within the meaning of Rule 17Ad-5 under the Exchange Act, including a firm that is a member of a registered national securities exchange, a member of the National Association of Securities Dealers, Inc., a commercial bank or trading company having an office in the United States or certain other eligible guarantors (each, an "Eligible Institution"), or (iii) effect a record transfer of such Original Notes from the Holder to such Beneficial Owner and comply with the requirements applicable to Holders for tendering Original Notes prior to the Expiration Date. See the section of the Prospectus entitled "The Exchange Offer -- Procedures for Tendering."</w:t>
      </w:r>
    </w:p>
    <w:p>
      <w:pPr>
        <w:spacing w:after="0" w:line="184"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SIGNATURES MUST BE PROVIDED BELOW.</w:t>
      </w:r>
    </w:p>
    <w:p>
      <w:pPr>
        <w:spacing w:after="0" w:line="6"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SPECIAL ISSUANCE INSTRUCTIONS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(See Instructions 1, 6, 7 and 8)</w:t>
      </w:r>
    </w:p>
    <w:p>
      <w:pPr>
        <w:spacing w:after="0" w:line="182"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To be completed ONLY (i) if Exchange Notes issued in exchange for the Original Notes, certificates for Original Notes in a principal amount not exchanged for Exchange Notes or Original Notes (if any) not tendered for exchange are to be issued in the name of someone other than the undersigned or</w:t>
      </w:r>
    </w:p>
    <w:p>
      <w:pPr>
        <w:spacing w:after="0" w:line="2" w:lineRule="exact"/>
        <w:rPr>
          <w:sz w:val="20"/>
          <w:szCs w:val="20"/>
          <w:color w:val="auto"/>
        </w:rPr>
      </w:pPr>
    </w:p>
    <w:p>
      <w:pPr>
        <w:ind w:left="6" w:right="3079" w:hanging="6"/>
        <w:spacing w:after="0" w:line="250" w:lineRule="auto"/>
        <w:tabs>
          <w:tab w:leader="none" w:pos="46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Original Notes tendered by book-entry transfer which are not exchanged are to be returned by credit to an account maintained at DTC.</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Issue to:</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Name(s):________________________________________________________________________</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Address:________________________________________________________________________</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(Include Zip Code)</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6"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Taxpayer Identification or Social Security Number</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SPECIAL DELIVERY INSTRUCTIONS</w:t>
      </w:r>
    </w:p>
    <w:p>
      <w:pPr>
        <w:spacing w:after="0" w:line="6"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(See Instructions 1, 6, 7 and 8)</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To be completed ONLY if the Exchange Notes issued in exchange for Original Notes, certificates for Original Notes in a principal amount not exchanged for Exchange Notes or Original Notes (if any) not tendered for exchange are to be mailed or delivered (i) to someone other than the undersigned or (ii) to the undersigned at an address other than the address shown below the undersigned's signature.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Mail or deliver to:</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Name(s):________________________________________________________________________</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Address:________________________________________________________________________</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(Include Zip Code)</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Taxpayer Identification or Social Security Number</w:t>
      </w:r>
    </w:p>
    <w:p>
      <w:pPr>
        <w:spacing w:after="0" w:line="182" w:lineRule="exact"/>
        <w:rPr>
          <w:sz w:val="20"/>
          <w:szCs w:val="20"/>
          <w:color w:val="auto"/>
        </w:rPr>
      </w:pPr>
    </w:p>
    <w:p>
      <w:pPr>
        <w:jc w:val="center"/>
        <w:ind w:right="317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647" w:right="1440" w:bottom="1440" w:gutter="0" w:footer="0" w:header="0"/>
        </w:sectPr>
      </w:pPr>
    </w:p>
    <w:bookmarkStart w:id="102" w:name="page103"/>
    <w:bookmarkEnd w:id="102"/>
    <w:p>
      <w:pPr>
        <w:ind w:left="6"/>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Upon the terms and subject to the conditions of the Exchange Offer, the undersigned hereby tenders to the Company for exchange the Original Notes indicated above. Subject to, and effective upon, acceptance for exchange of the Original Notes tendered for exchange herewith, the undersigned will have irrevocably sold, assigned, transferred and exchanged, to the Company, all right, title and interest in, to and under all of the Original Notes tendered for exchange hereby, and hereby will have appointed the Exchange Agent as the true and lawful agent and attorney-in-fact (with full knowledge that the Exchange Agent also acts as agent of the Company) of such Holder with respect to such Original Notes, with full power of substitution to (i) deliver certificates representing such Original Notes, or transfer ownership of such Original Notes on the account books maintained by DTC (together, in any such case, with all accompanying evidences of transfer and authenticity), to the Company, (ii) present and deliver such Original Notes for transfer on the books of the Company and (iii) receive all benefits and otherwise exercise all rights and incidents of beneficial ownership with respect to such Original Notes, all in accordance with the terms of the Exchange Offer. The power of attorney granted in this paragraph shall be deemed to be irrevocable and coupled with an interest.</w:t>
      </w:r>
    </w:p>
    <w:p>
      <w:pPr>
        <w:spacing w:after="0" w:line="363"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undersigned hereby represents and warrants that it has full power and authority to tender, exchange, assign and transfer the Original Notes; and that when such Original Notes are accepted for exchange by the Company, the Company will acquire good and marketable title thereto, free and clear of all liens, restrictions, charges and encumbrances and not subject to any adverse claims. The undersigned further warrants that it will, upon request, execute and deliver any additional documents deemed by the Exchange Agent or the Company to be necessary or desirable to complete the exchange, assignment and transfer of the Original Notes tendered for exchange hereby. The undersigned further agrees that acceptance of any and all validly tendered Original Notes by the Company and the issuance of Exchange Notes in exchange therefor shall constitute performance in full by the Company of its obligations under the Registration Rights Agreement.</w:t>
      </w:r>
    </w:p>
    <w:p>
      <w:pPr>
        <w:spacing w:after="0" w:line="351"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By tendering, the undersigned hereby further represents to the Company that</w:t>
      </w:r>
    </w:p>
    <w:p>
      <w:pPr>
        <w:spacing w:after="0" w:line="6" w:lineRule="exact"/>
        <w:rPr>
          <w:sz w:val="20"/>
          <w:szCs w:val="20"/>
          <w:color w:val="auto"/>
        </w:rPr>
      </w:pPr>
    </w:p>
    <w:p>
      <w:pPr>
        <w:ind w:left="6" w:right="2979" w:hanging="6"/>
        <w:spacing w:after="0" w:line="248" w:lineRule="auto"/>
        <w:tabs>
          <w:tab w:leader="none" w:pos="3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to be acquired by the undersigned in exchange for the Original Notes tendered hereby and any Beneficial Owner(s) of such Original Notes in connection with the Exchange Offer will be acquired by the undersigned and such Beneficial Owner(s) in the ordinary course of their respective businesses, (ii) the undersigned is not engaged in, and does not intend to engage in, a distribution of the Exchange Notes, (iii) the undersigned and each Beneficial Owner acknowledge and agree that any person who is a broker-dealer registered under the Exchange Act or is participating in the Exchange Offer for the purpose of distributing the Exchange Notes must comply with the registration and prospectus delivery requirements of Section 10 of the Securities Act in connection with a secondary resale transaction of the Exchange Notes acquired by such person and cannot rely on the position of the staff of the Securities and Commission (the "Commission") set forth in certain no-action letters, (iv) the undersigned and each Beneficial Owner understand that a secondary resale transaction described in clause (iii) above and any resales of Exchange Notes obtained by the undersigned in exchange for the Original Notes acquired by the undersigned directly from the Company should be covered by an effective registration statement containing the selling security holder information required by Item 507 or Item 508, as applicable, of Regulation S-K of the Commission and (v) neither the undersigned nor any Beneficial Owner is an "affiliate," as defined under Rule 405 under the Securities Act, of the Company.</w:t>
      </w:r>
    </w:p>
    <w:p>
      <w:pPr>
        <w:spacing w:after="0" w:line="36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If the undersigned is a broker-dealer that will receive Exchange Notes for its own account in exchange for Original Notes that were acquired as a result of market-making activities or other trading activities, it acknowledges that it will deliver a prospectus meeting the requirements of Section 10 of the Securities Act in connection with any resale of such Exchange Notes; however, by so acknowledging and by delivering such prospectus, the undersigned will not be deemed to admit that it is an "underwriter" within the meaning of the Securities Act. A broker-dealer may not participate in the Exchange Offer with respect to the Original Notes acquired other than as a result of market-making activities or other trading activities.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647" w:right="1440" w:bottom="1440" w:gutter="0" w:footer="0" w:header="0"/>
        </w:sectPr>
      </w:pPr>
    </w:p>
    <w:bookmarkStart w:id="103" w:name="page104"/>
    <w:bookmarkEnd w:id="103"/>
    <w:p>
      <w:pPr>
        <w:ind w:right="3079" w:firstLine="275"/>
        <w:spacing w:after="0" w:line="249" w:lineRule="auto"/>
        <w:rPr>
          <w:sz w:val="20"/>
          <w:szCs w:val="20"/>
          <w:color w:val="auto"/>
        </w:rPr>
      </w:pPr>
      <w:r>
        <w:rPr>
          <w:rFonts w:ascii="Courier New" w:cs="Courier New" w:eastAsia="Courier New" w:hAnsi="Courier New"/>
          <w:sz w:val="15"/>
          <w:szCs w:val="15"/>
          <w:color w:val="auto"/>
        </w:rPr>
        <w:t>For purposes of the Exchange Offer, the Company will be deemed to have accepted for exchange, and to have exchanged, validly tendered Original Notes, if, as and when the Company gives oral or written notice thereof to the Exchange Agent. Tenders of Original Notes for exchange may be withdrawn at any time prior to 5:00 p.m., New York City time, on the Expiration Date. See "The Exchange Offer -- Withdrawal of Tenders" in the Prospectus. Any Original Notes tendered by the undersigned and not accepted for exchange will be returned to the undersigned at the address set forth above unless otherwise indicated in the box above entitled "Special Delivery Instructions" as promptly as practicable after the Expiration Date.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undersigned acknowledges that the Company's acceptance of Original Notes validly tendered for exchange pursuant to any one of the procedures described in the section of the Prospectus entitled "The Exchange Offer" and in the instructions hereto will constitute a binding agreement between the undersigned and the Company upon the terms and subject to the conditions of the Exchange Offer.</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Unless otherwise indicated in the box entitled "Special Issuance Instructions," please return any Original Notes not tendered for exchange in the name(s) of the undersigned. Similarly, unless otherwise indicated in the box entitled "Special Delivery Instructions," please mail any certificates for Original Notes not tendered or exchanged (and accompanying documents, as appropriate) to the undersigned at the address shown below the undersigned's signature(s). In the event that both "Special Issuance Instructions" and "Special Delivery Instructions" are completed, please issue the certificates representing the Exchange Notes issued in exchange for the Original Notes accepted for exchange in the name(s) of, and return any Original Notes not tendered for exchange or not exchanged to, the person(s) so indicated. The undersigned recognizes that the Company has no obligation pursuant to the "Special Issuance Instructions" and "Special Delivery Instructions" to transfer any Original Notes from the name of the Holder(s) thereof if the Company does not accept for exchange any of the Original Notes so tendered for exchange or if such transfer would not be in compliance with any transfer restrictions applicable to such Original Note(s).</w:t>
      </w:r>
    </w:p>
    <w:p>
      <w:pPr>
        <w:spacing w:after="0" w:line="186" w:lineRule="exact"/>
        <w:rPr>
          <w:sz w:val="20"/>
          <w:szCs w:val="20"/>
          <w:color w:val="auto"/>
        </w:rPr>
      </w:pPr>
    </w:p>
    <w:p>
      <w:pPr>
        <w:ind w:right="3719" w:firstLine="275"/>
        <w:spacing w:after="0" w:line="250" w:lineRule="auto"/>
        <w:rPr>
          <w:sz w:val="20"/>
          <w:szCs w:val="20"/>
          <w:color w:val="auto"/>
        </w:rPr>
      </w:pPr>
      <w:r>
        <w:rPr>
          <w:rFonts w:ascii="Courier New" w:cs="Courier New" w:eastAsia="Courier New" w:hAnsi="Courier New"/>
          <w:sz w:val="15"/>
          <w:szCs w:val="15"/>
          <w:color w:val="auto"/>
        </w:rPr>
        <w:t>IN ORDER TO VALIDLY TENDER ORIGINAL NOTES FOR EXCHANGE, HOLDERS MUST COMPLETE, EXECUTE, AND DELIVER THIS LETTER OF TRANSMITTAL.</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Except as stated in the Prospectus, all authority herein conferred or agreed to be conferred shall survive the death, incapacity or dissolution of the undersigned, and any obligation of the undersigned hereunder shall be binding upon the heirs, personal representatives, successors and assigns of the undersigned. Except as otherwise stated in the Prospectus, this tender for exchange of Original Notes is irrevocable.</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HOLDER(S) SIGN HERE TO TENDER YOUR ORIGINAL NOTES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(Please Complete Substitute Form W-9 in This Letter of Transmittal)</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(right arrow)_________________________________________________________________</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(right arrow)_________________________________________________________________</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(Signature(s) of Holder(s))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Dated: ____________, 2004</w:t>
      </w:r>
    </w:p>
    <w:p>
      <w:pPr>
        <w:spacing w:after="0" w:line="182" w:lineRule="exact"/>
        <w:rPr>
          <w:sz w:val="20"/>
          <w:szCs w:val="20"/>
          <w:color w:val="auto"/>
        </w:rPr>
      </w:pPr>
    </w:p>
    <w:p>
      <w:pPr>
        <w:ind w:left="180" w:right="2979"/>
        <w:spacing w:after="0" w:line="249" w:lineRule="auto"/>
        <w:rPr>
          <w:sz w:val="20"/>
          <w:szCs w:val="20"/>
          <w:color w:val="auto"/>
        </w:rPr>
      </w:pPr>
      <w:r>
        <w:rPr>
          <w:rFonts w:ascii="Courier New" w:cs="Courier New" w:eastAsia="Courier New" w:hAnsi="Courier New"/>
          <w:sz w:val="15"/>
          <w:szCs w:val="15"/>
          <w:color w:val="auto"/>
        </w:rPr>
        <w:t>(Must be signed by registered Holder(s) exactly as name(s) appear(s) on Certificate(s) for the Original Notes hereby tendered or on a security position listing, or by any person(s) authorized to become the registered Holder(s) by endorsements and documents transmitted herewith (including such opinions of counsel, certificates and other information as may be required by Scotts for the Original Notes to comply with any restrictions on transfer applicable to the Original Notes). If signature is by an attorney-in-fact, executor, administrator, trustee, guardian, officer of a corporation or another acting in a fiduciary capacity or representative capacity, please provide the following information. See Instruction 6.)</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6"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Name(s):______________________________________________________________________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 (full title):________________________________________________________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(Include Zip Code)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place of business (if different from address listed above:__________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Daytime Area Code and Telephone No.:__________________________________________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 or Social Security No.:_______________________________</w:t>
      </w:r>
    </w:p>
    <w:p>
      <w:pPr>
        <w:spacing w:after="0" w:line="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Substitute Form W-9 Included Herein)</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GUARANTEE OF SIGNATURE(S)</w:t>
      </w:r>
    </w:p>
    <w:p>
      <w:pPr>
        <w:spacing w:after="0" w:line="6" w:lineRule="exact"/>
        <w:rPr>
          <w:sz w:val="20"/>
          <w:szCs w:val="20"/>
          <w:color w:val="auto"/>
        </w:rPr>
      </w:pPr>
    </w:p>
    <w:p>
      <w:pPr>
        <w:ind w:right="2899" w:firstLine="550"/>
        <w:spacing w:after="0" w:line="497" w:lineRule="auto"/>
        <w:rPr>
          <w:sz w:val="20"/>
          <w:szCs w:val="20"/>
          <w:color w:val="auto"/>
        </w:rPr>
      </w:pPr>
      <w:r>
        <w:rPr>
          <w:rFonts w:ascii="Courier New" w:cs="Courier New" w:eastAsia="Courier New" w:hAnsi="Courier New"/>
          <w:sz w:val="15"/>
          <w:szCs w:val="15"/>
          <w:color w:val="auto"/>
        </w:rPr>
        <w:t>(Signature(s) Must Be Guaranteed If Required by Instruction 1) Authorized Signature:_________________________________________________________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Name:_________________________________________________________________________</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Firm:_________________________________________________________________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Address:______________________________________________________________________</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(Include Zip Code)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 Telephone No.:__________________________________________________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 2004</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39"/>
          </w:cols>
          <w:pgMar w:left="420" w:top="646" w:right="1440" w:bottom="1440" w:gutter="0" w:footer="0" w:header="0"/>
        </w:sectPr>
      </w:pPr>
    </w:p>
    <w:bookmarkStart w:id="105" w:name="page106"/>
    <w:bookmarkEnd w:id="105"/>
    <w:p>
      <w:pPr>
        <w:jc w:val="center"/>
        <w:ind w:right="3079"/>
        <w:spacing w:after="0"/>
        <w:rPr>
          <w:sz w:val="20"/>
          <w:szCs w:val="20"/>
          <w:color w:val="auto"/>
        </w:rPr>
      </w:pPr>
      <w:r>
        <w:rPr>
          <w:rFonts w:ascii="Courier New" w:cs="Courier New" w:eastAsia="Courier New" w:hAnsi="Courier New"/>
          <w:sz w:val="15"/>
          <w:szCs w:val="15"/>
          <w:color w:val="auto"/>
        </w:rPr>
        <w:t>INSTRUCTIONS</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FORMING PART OF THE TERMS AND CONDITIONS OF THE EXCHANGE OFFER</w:t>
      </w:r>
    </w:p>
    <w:p>
      <w:pPr>
        <w:spacing w:after="0" w:line="182" w:lineRule="exact"/>
        <w:rPr>
          <w:sz w:val="20"/>
          <w:szCs w:val="20"/>
          <w:color w:val="auto"/>
        </w:rPr>
      </w:pPr>
    </w:p>
    <w:p>
      <w:pPr>
        <w:ind w:right="2979" w:firstLine="269"/>
        <w:spacing w:after="0" w:line="249" w:lineRule="auto"/>
        <w:tabs>
          <w:tab w:leader="none" w:pos="55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Except as otherwise provided below, all signatures on this Letter of Transmittal must be guaranteed by an institution which is (1) a member of a registered national securities exchange or of the National Association of Securities Dealers, Inc., (2) a commercial bank or trust company having an office or correspondent in the United States, or (3) an Eligible Institution that is a member of one of the following recognized Signature Guarantee Programs:</w:t>
      </w:r>
    </w:p>
    <w:p>
      <w:pPr>
        <w:spacing w:after="0" w:line="175" w:lineRule="exact"/>
        <w:rPr>
          <w:rFonts w:ascii="Courier New" w:cs="Courier New" w:eastAsia="Courier New" w:hAnsi="Courier New"/>
          <w:sz w:val="15"/>
          <w:szCs w:val="15"/>
          <w:color w:val="auto"/>
        </w:rPr>
      </w:pPr>
    </w:p>
    <w:p>
      <w:pPr>
        <w:ind w:left="920" w:hanging="376"/>
        <w:spacing w:after="0"/>
        <w:tabs>
          <w:tab w:leader="none" w:pos="92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Transfer Agents Medallion Program (STAMP);</w:t>
      </w:r>
    </w:p>
    <w:p>
      <w:pPr>
        <w:spacing w:after="0" w:line="182" w:lineRule="exact"/>
        <w:rPr>
          <w:rFonts w:ascii="Courier New" w:cs="Courier New" w:eastAsia="Courier New" w:hAnsi="Courier New"/>
          <w:sz w:val="15"/>
          <w:szCs w:val="15"/>
          <w:color w:val="auto"/>
        </w:rPr>
      </w:pPr>
    </w:p>
    <w:p>
      <w:pPr>
        <w:ind w:left="920" w:hanging="376"/>
        <w:spacing w:after="0"/>
        <w:tabs>
          <w:tab w:leader="none" w:pos="92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York Stock Exchange Medallion Signature Program (MSP); or</w:t>
      </w:r>
    </w:p>
    <w:p>
      <w:pPr>
        <w:spacing w:after="0" w:line="182" w:lineRule="exact"/>
        <w:rPr>
          <w:rFonts w:ascii="Courier New" w:cs="Courier New" w:eastAsia="Courier New" w:hAnsi="Courier New"/>
          <w:sz w:val="15"/>
          <w:szCs w:val="15"/>
          <w:color w:val="auto"/>
        </w:rPr>
      </w:pPr>
    </w:p>
    <w:p>
      <w:pPr>
        <w:ind w:left="920" w:hanging="376"/>
        <w:spacing w:after="0"/>
        <w:tabs>
          <w:tab w:leader="none" w:pos="92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Exchange Medallion Program (SEMP).</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Signatures on this Letter of Transmittal need not be guaranteed (i) if this Letter of Transmittal is signed by the Holder(s) of the Original Notes tendered herewith and such Holder(s) have not completed the box entitled "Special Issuance Instructions" or the box entitled "Special Delivery Instructions" on this Letter of Transmittal or (ii) if such Original Notes are tendered for the account of an Eligible Institution. In all other cases, all signatures must be guaranteed by an Eligible Institution.</w:t>
      </w:r>
    </w:p>
    <w:p>
      <w:pPr>
        <w:spacing w:after="0" w:line="175" w:lineRule="exact"/>
        <w:rPr>
          <w:sz w:val="20"/>
          <w:szCs w:val="20"/>
          <w:color w:val="auto"/>
        </w:rPr>
      </w:pPr>
    </w:p>
    <w:p>
      <w:pPr>
        <w:ind w:right="2979" w:firstLine="269"/>
        <w:spacing w:after="0" w:line="249" w:lineRule="auto"/>
        <w:tabs>
          <w:tab w:leader="none" w:pos="55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this Letter of Transmittal and Original Notes; Guaranteed Delivery Procedures. This Letter of Transmittal is to be completed by Holders if certificates representing Original Notes are to be forwarded herewith. All physically delivered Original Notes, as well as a properly completed and duly executed Letter of Transmittal (or manually signed facsimile thereof) and any other required documents, must be received by the Exchange Agent at its address set forth herein prior to the Expiration Date or the tendering holder must comply with the guaranteed delivery procedures set forth below. Delivery of the documents to DTC does not constitute delivery to the Exchange Agent.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method of delivery of Original Notes, this Letter of Transmittal and all other required documents to the Exchange Agent is at the election and risk of the Holder. Except as otherwise provided below, the delivery will be deemed made only when actually received or confirmed by the Exchange Agent. Instead of delivery by mail, it is recommended that Holders use an overnight or hand delivery service, properly insured. In all cases, sufficient time should be allowed to assure delivery to the Exchange Agent before the Expiration Date. Neither this Letter of Transmittal nor any Original Notes should be sent to the Company. Holders may request their respective brokers, dealers, commercial banks, trust companies or nominees to effect the above transactions for such Holders.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Holders of Original Notes who elect to tender Original Notes and (i) whose Original Notes are not immediately available or (ii) who cannot deliver the Original Notes, this Letter of Transmittal or other required documents to the Exchange Agent prior the Expiration Date must tender their Original Notes according to the guaranteed delivery procedures set forth in the Prospectus. Holders may have such tender effected if:</w:t>
      </w:r>
    </w:p>
    <w:p>
      <w:pPr>
        <w:spacing w:after="0" w:line="176" w:lineRule="exact"/>
        <w:rPr>
          <w:sz w:val="20"/>
          <w:szCs w:val="20"/>
          <w:color w:val="auto"/>
        </w:rPr>
      </w:pPr>
    </w:p>
    <w:p>
      <w:pPr>
        <w:ind w:left="920" w:hanging="376"/>
        <w:spacing w:after="0"/>
        <w:tabs>
          <w:tab w:leader="none" w:pos="9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through an Eligible Institution;</w:t>
      </w:r>
    </w:p>
    <w:p>
      <w:pPr>
        <w:spacing w:after="0" w:line="182" w:lineRule="exact"/>
        <w:rPr>
          <w:rFonts w:ascii="Courier New" w:cs="Courier New" w:eastAsia="Courier New" w:hAnsi="Courier New"/>
          <w:sz w:val="15"/>
          <w:szCs w:val="15"/>
          <w:color w:val="auto"/>
        </w:rPr>
      </w:pPr>
    </w:p>
    <w:p>
      <w:pPr>
        <w:ind w:left="260" w:right="2979" w:firstLine="284"/>
        <w:spacing w:after="0" w:line="249" w:lineRule="auto"/>
        <w:tabs>
          <w:tab w:leader="none" w:pos="90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5:00 p.m., New York City time, on the Expiration Date, the Exchange Agent has received from such Eligible Institution a properly completed and duly executed Notice of Guaranteed Delivery, setting forth the name and address of the Holder, the certificate number(s) of such Original Notes and the principal amount of Original Notes tendered for exchange, stating that tender is being made thereby and guaranteeing that, within three New York Stock Exchange trading days after the Expiration Date, this Letter of Transmittal (or facsimile thereof), together with the certificate(s) representing such Original Notes (or a Book-Entry Confirmation), in proper form for transfer, and any other documents required by this Letter of Transmittal, will be deposited by such Eligible Institution with the Exchange Agent; and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06" w:name="page107"/>
    <w:bookmarkEnd w:id="106"/>
    <w:p>
      <w:pPr>
        <w:ind w:left="260" w:right="2979" w:firstLine="284"/>
        <w:spacing w:after="0" w:line="249" w:lineRule="auto"/>
        <w:tabs>
          <w:tab w:leader="none" w:pos="90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executed Letter of Transmittal (or facsimile thereof), as well as the certificate(s) for all tendered Original Notes in proper form for transfer or a Book-Entry Confirmation, together with any other documents required by this Letter of Transmittal, are received by the Exchange Agent within five New York Stock Exchange trading days after the Expiration Date.</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No alternative, conditional or contingent tenders will be accepted. All tendering Holders, by execution of this Letter of Transmittal (or facsimile thereof), waive any right to receive notice of the acceptance of their Original Notes for exchange.</w:t>
      </w:r>
    </w:p>
    <w:p>
      <w:pPr>
        <w:spacing w:after="0" w:line="176" w:lineRule="exact"/>
        <w:rPr>
          <w:sz w:val="20"/>
          <w:szCs w:val="20"/>
          <w:color w:val="auto"/>
        </w:rPr>
      </w:pPr>
    </w:p>
    <w:p>
      <w:pPr>
        <w:ind w:right="3079" w:firstLine="269"/>
        <w:spacing w:after="0" w:line="249" w:lineRule="auto"/>
        <w:tabs>
          <w:tab w:leader="none" w:pos="5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in the box entitled "Description of Original Notes" above is inadequate, the certificate numbers and principal amounts of Original Notes being tendered should be listed on a separate signed schedule affixed hereto.</w:t>
      </w:r>
    </w:p>
    <w:p>
      <w:pPr>
        <w:spacing w:after="0" w:line="175" w:lineRule="exact"/>
        <w:rPr>
          <w:rFonts w:ascii="Courier New" w:cs="Courier New" w:eastAsia="Courier New" w:hAnsi="Courier New"/>
          <w:sz w:val="15"/>
          <w:szCs w:val="15"/>
          <w:color w:val="auto"/>
        </w:rPr>
      </w:pPr>
    </w:p>
    <w:p>
      <w:pPr>
        <w:ind w:right="2979" w:firstLine="269"/>
        <w:spacing w:after="0" w:line="248" w:lineRule="auto"/>
        <w:tabs>
          <w:tab w:leader="none" w:pos="5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Withdrawals. A tender of Original Notes may be withdrawn at any time prior to the Expiration Date by delivery of written notice of withdrawal (or facsimile thereof) to the Exchange Agent at the address set forth on the cover of this Letter of Transmittal. To be effective, a notice of withdrawal of Original Notes must (i) specify the name of the person who tendered the Original Notes to be withdrawn (the "Depositor"), (ii) identify the Original Notes to be withdrawn (including the certificate number(s) and the aggregate principal amount of Original Notes to be withdrawn), and (iii) be signed by the Holder in the same manner as the original signature on the Letter of Transmittal by which such Original Notes were tendered (including any required signature guarantees). All questions as to the validity, form and eligibility (including time of receipt) of such notices will be determined by the Company in its sole discretion, whose determination shall be final and binding on all parties. Any Original Notes so withdrawn will thereafter be deemed not validly tendered for purposes of the Exchange Offer and no Exchange Notes will be issued with respect thereto unless the Original Notes so withdrawn are validly retendered. Properly withdrawn Original Notes may be retendered by following one of the procedures described in the section of the Prospectus entitled "The Exchange Offer -- Procedures for Tendering" at any time prior to the Expiration Date.</w:t>
      </w:r>
    </w:p>
    <w:p>
      <w:pPr>
        <w:spacing w:after="0" w:line="363" w:lineRule="exact"/>
        <w:rPr>
          <w:rFonts w:ascii="Courier New" w:cs="Courier New" w:eastAsia="Courier New" w:hAnsi="Courier New"/>
          <w:sz w:val="15"/>
          <w:szCs w:val="15"/>
          <w:color w:val="auto"/>
        </w:rPr>
      </w:pPr>
    </w:p>
    <w:p>
      <w:pPr>
        <w:ind w:right="2979" w:firstLine="269"/>
        <w:spacing w:after="0" w:line="249" w:lineRule="auto"/>
        <w:tabs>
          <w:tab w:leader="none" w:pos="5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Tenders of Original Notes will be accepted only in integral multiples of $1,000 principal amount. If a tender for exchange is to be made with respect to less than the entire principal amount of any Original Notes, fill in the principal amount of Original Notes which are tendered for exchange in column (4) of the box entitled "Description of Original Notes," as more fully described in the footnotes thereto. In the case of a partial tender for exchange, a new certificate, in fully registered form, for the remainder of the principal amount of the Original Notes, will be sent to the Holders unless otherwise indicated in the appropriate box on this Letter of Transmittal as promptly as practicable after the expiration or termination of the Exchange Offer.</w:t>
      </w:r>
    </w:p>
    <w:p>
      <w:pPr>
        <w:spacing w:after="0" w:line="175" w:lineRule="exact"/>
        <w:rPr>
          <w:rFonts w:ascii="Courier New" w:cs="Courier New" w:eastAsia="Courier New" w:hAnsi="Courier New"/>
          <w:sz w:val="15"/>
          <w:szCs w:val="15"/>
          <w:color w:val="auto"/>
        </w:rPr>
      </w:pPr>
    </w:p>
    <w:p>
      <w:pPr>
        <w:ind w:right="3819" w:firstLine="269"/>
        <w:spacing w:after="0" w:line="250" w:lineRule="auto"/>
        <w:tabs>
          <w:tab w:leader="none" w:pos="55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this Letter of Transmittal, Powers of Attorney and Endorsements.</w:t>
      </w:r>
    </w:p>
    <w:p>
      <w:pPr>
        <w:spacing w:after="0" w:line="174" w:lineRule="exact"/>
        <w:rPr>
          <w:rFonts w:ascii="Courier New" w:cs="Courier New" w:eastAsia="Courier New" w:hAnsi="Courier New"/>
          <w:sz w:val="15"/>
          <w:szCs w:val="15"/>
          <w:color w:val="auto"/>
        </w:rPr>
      </w:pPr>
    </w:p>
    <w:p>
      <w:pPr>
        <w:jc w:val="both"/>
        <w:ind w:left="260" w:right="3359" w:firstLine="284"/>
        <w:spacing w:after="0" w:line="249" w:lineRule="auto"/>
        <w:tabs>
          <w:tab w:leader="none" w:pos="9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signature(s) of the Holder on this Letter of Transmittal must correspond with the name(s) as written on the face of the Original Notes without alternation, enlargement or any change whatsoever.</w:t>
      </w:r>
    </w:p>
    <w:p>
      <w:pPr>
        <w:spacing w:after="0" w:line="175" w:lineRule="exact"/>
        <w:rPr>
          <w:rFonts w:ascii="Courier New" w:cs="Courier New" w:eastAsia="Courier New" w:hAnsi="Courier New"/>
          <w:sz w:val="15"/>
          <w:szCs w:val="15"/>
          <w:color w:val="auto"/>
        </w:rPr>
      </w:pPr>
    </w:p>
    <w:p>
      <w:pPr>
        <w:ind w:left="260" w:right="3179" w:firstLine="284"/>
        <w:spacing w:after="0" w:line="250" w:lineRule="auto"/>
        <w:tabs>
          <w:tab w:leader="none" w:pos="9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tendered Original Notes are owned of record by two or more joint owners, all such owners must sign this Letter of Transmittal.</w:t>
      </w:r>
    </w:p>
    <w:p>
      <w:pPr>
        <w:spacing w:after="0" w:line="174" w:lineRule="exact"/>
        <w:rPr>
          <w:rFonts w:ascii="Courier New" w:cs="Courier New" w:eastAsia="Courier New" w:hAnsi="Courier New"/>
          <w:sz w:val="15"/>
          <w:szCs w:val="15"/>
          <w:color w:val="auto"/>
        </w:rPr>
      </w:pPr>
    </w:p>
    <w:p>
      <w:pPr>
        <w:ind w:left="260" w:right="3179" w:firstLine="284"/>
        <w:spacing w:after="0" w:line="249" w:lineRule="auto"/>
        <w:tabs>
          <w:tab w:leader="none" w:pos="9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tendered Original Notes are registered in different names on several certificates, it will be necessary to complete, sign and submit as many separate copies of this Letter of Transmittal and any necessary or required documents as there are different registrations or certificates.</w:t>
      </w:r>
    </w:p>
    <w:p>
      <w:pPr>
        <w:spacing w:after="0" w:line="175" w:lineRule="exact"/>
        <w:rPr>
          <w:rFonts w:ascii="Courier New" w:cs="Courier New" w:eastAsia="Courier New" w:hAnsi="Courier New"/>
          <w:sz w:val="15"/>
          <w:szCs w:val="15"/>
          <w:color w:val="auto"/>
        </w:rPr>
      </w:pPr>
    </w:p>
    <w:p>
      <w:pPr>
        <w:ind w:left="260" w:right="3079" w:firstLine="284"/>
        <w:spacing w:after="0" w:line="249" w:lineRule="auto"/>
        <w:tabs>
          <w:tab w:leader="none" w:pos="9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this Letter of Transmittal is signed by the Holder listed and transmitted hereby, no endorsements of Original Notes or bond powers are required. If, however, Original Notes not tendered or not accepted, are to be issued or returned in the name of a person other than the Holder, then the Original Notes transmitted hereby must be endorsed or accompanied by a properly completed bond power, in a form satisfactory to the Company, in either case signed exactly as the name(s) of the Holder(s) appear(s) on the Original Notes. Signatures on such Original Notes or bond powers must be guaranteed by an Eligible Institution (unless signed by an Eligible Institution).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6" w:right="1440" w:bottom="1440" w:gutter="0" w:footer="0" w:header="0"/>
        </w:sectPr>
      </w:pPr>
    </w:p>
    <w:bookmarkStart w:id="107" w:name="page108"/>
    <w:bookmarkEnd w:id="107"/>
    <w:p>
      <w:pPr>
        <w:ind w:left="-9" w:right="2979" w:firstLine="284"/>
        <w:spacing w:after="0" w:line="249" w:lineRule="auto"/>
        <w:tabs>
          <w:tab w:leader="none" w:pos="63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Letter of Transmittal or Original Notes or bond powers are signed by trustees, executors, administrators, guardians, attorneys-in-fact, officers of corporations or others acting in a fiduciary or representative capacity, such persons should so indicate when signing, and unless waived by the Company, evidence satisfactory to the Company of their authority to so act must be submitted with this Letter of Transmittal.</w:t>
      </w:r>
    </w:p>
    <w:p>
      <w:pPr>
        <w:spacing w:after="0" w:line="175" w:lineRule="exact"/>
        <w:rPr>
          <w:rFonts w:ascii="Courier New" w:cs="Courier New" w:eastAsia="Courier New" w:hAnsi="Courier New"/>
          <w:sz w:val="15"/>
          <w:szCs w:val="15"/>
          <w:color w:val="auto"/>
        </w:rPr>
      </w:pPr>
    </w:p>
    <w:p>
      <w:pPr>
        <w:ind w:left="-9" w:right="3079" w:firstLine="284"/>
        <w:spacing w:after="0" w:line="249" w:lineRule="auto"/>
        <w:tabs>
          <w:tab w:leader="none" w:pos="63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Letter of Transmittal is signed by a person other than the Holder listed, the Original Notes must be endorsed or accompanied by a properly completed bond power, in either case signed by such Holder exactly as the name(s) of the Holder appear(s) on the certificates. Signatures on such Original Notes or bond powers must be guaranteed by an Eligible Institution (unless signed by an Eligible Institution).</w:t>
      </w:r>
    </w:p>
    <w:p>
      <w:pPr>
        <w:spacing w:after="0" w:line="175" w:lineRule="exact"/>
        <w:rPr>
          <w:rFonts w:ascii="Courier New" w:cs="Courier New" w:eastAsia="Courier New" w:hAnsi="Courier New"/>
          <w:sz w:val="15"/>
          <w:szCs w:val="15"/>
          <w:color w:val="auto"/>
        </w:rPr>
      </w:pPr>
    </w:p>
    <w:p>
      <w:pPr>
        <w:ind w:left="-269" w:right="3079" w:firstLine="269"/>
        <w:spacing w:after="0" w:line="249" w:lineRule="auto"/>
        <w:tabs>
          <w:tab w:leader="none" w:pos="28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Taxes. Except as set forth in this Instruction 7, the Company will pay all transfer taxes, if any, applicable to the exchange of Original Notes pursuant to the Exchange Offer. If, however, a transfer tax is imposed for any reason other than the exchange of Original Notes pursuant to the Exchange Offer, then the amount of such transfer taxes (whether imposed on the Holder or any other persons) will be payable by the tendering holder. If satisfactory evidence of payment of such taxes or exemptions therefrom is not submitted with this Letter of Transmittal, the amount of such transfer taxes will be billed directly to such tendering holder.</w:t>
      </w:r>
    </w:p>
    <w:p>
      <w:pPr>
        <w:spacing w:after="0" w:line="175" w:lineRule="exact"/>
        <w:rPr>
          <w:rFonts w:ascii="Courier New" w:cs="Courier New" w:eastAsia="Courier New" w:hAnsi="Courier New"/>
          <w:sz w:val="15"/>
          <w:szCs w:val="15"/>
          <w:color w:val="auto"/>
        </w:rPr>
      </w:pPr>
    </w:p>
    <w:p>
      <w:pPr>
        <w:ind w:left="-269" w:right="2979" w:firstLine="269"/>
        <w:spacing w:after="0" w:line="249" w:lineRule="auto"/>
        <w:tabs>
          <w:tab w:leader="none" w:pos="28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Issuance and Delivery Instructions. If the Exchange Notes are to be issued, or if any Original Notes not tendered for exchange are to be issued or sent to someone other than the Holder or to an address other than that shown above, the appropriate boxes on this Letter of Transmittal should be completed. Holders of Original Notes tendering Original Notes by book-entry transfer may request that Original Notes not accepted be credited to such account maintained at DTC as such Holder may designate.</w:t>
      </w:r>
    </w:p>
    <w:p>
      <w:pPr>
        <w:spacing w:after="0" w:line="175" w:lineRule="exact"/>
        <w:rPr>
          <w:rFonts w:ascii="Courier New" w:cs="Courier New" w:eastAsia="Courier New" w:hAnsi="Courier New"/>
          <w:sz w:val="15"/>
          <w:szCs w:val="15"/>
          <w:color w:val="auto"/>
        </w:rPr>
      </w:pPr>
    </w:p>
    <w:p>
      <w:pPr>
        <w:ind w:left="-269" w:right="2979" w:firstLine="269"/>
        <w:spacing w:after="0" w:line="248" w:lineRule="auto"/>
        <w:tabs>
          <w:tab w:leader="none" w:pos="28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Irregularities. All questions as to the validity, form, eligibility (including time of receipt), compliance with conditions, acceptance and withdrawal of tendered Original Notes will be determined by the Company in its sole discretion, which determination shall be final and binding. The Company reserves the absolute right to reject any and all Original Notes not properly tendered or any Original Notes the Company's acceptance of which would, in the opinion of counsel for the Company, be unlawful. The Company also reserves the right to waive any defects, irregularities or conditions of tender as to particular Original Notes. The Company's interpretation of the terms and conditions of the Exchange Offer (including the instructions in the Letter of Transmittal) will be final and binding on all parties. Unless waived, any defects or irregularities in connection with tenders of Original Notes must be cured within such time as the Company shall determine. Although the Company intends to notify Holders of defects or irregularities with respect to tenders of Original Notes, neither the Company, the Exchange Agent nor any other person shall incur any liability for failure to give such notification. Tenders of Original Notes will not be deemed to have been made until such defects or irregularities have been cured or waived. Any Original Notes received by the Exchange Agent that are not properly tendered and as to which the defects or irregularities have not been cured or waived will be returned by the Exchange Agent to the tendering holders, unless otherwise provided in this Letter of Transmittal, as soon as practicable following the Expiration Date.</w:t>
      </w:r>
    </w:p>
    <w:p>
      <w:pPr>
        <w:spacing w:after="0" w:line="189" w:lineRule="exact"/>
        <w:rPr>
          <w:rFonts w:ascii="Courier New" w:cs="Courier New" w:eastAsia="Courier New" w:hAnsi="Courier New"/>
          <w:sz w:val="15"/>
          <w:szCs w:val="15"/>
          <w:color w:val="auto"/>
        </w:rPr>
      </w:pPr>
    </w:p>
    <w:p>
      <w:pPr>
        <w:ind w:left="-269" w:right="3079" w:firstLine="269"/>
        <w:spacing w:after="0" w:line="249" w:lineRule="auto"/>
        <w:tabs>
          <w:tab w:leader="none" w:pos="3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Conditions. The Company reserves the absolute right to waive, amend or modify certain of the specified conditions as described under "The Exchange Offer -- Conditions" in the Prospectus in the case of any Original Notes tendered (except as otherwise provided in the Prospectus).</w:t>
      </w:r>
    </w:p>
    <w:p>
      <w:pPr>
        <w:spacing w:after="0" w:line="175" w:lineRule="exact"/>
        <w:rPr>
          <w:rFonts w:ascii="Courier New" w:cs="Courier New" w:eastAsia="Courier New" w:hAnsi="Courier New"/>
          <w:sz w:val="15"/>
          <w:szCs w:val="15"/>
          <w:color w:val="auto"/>
        </w:rPr>
      </w:pPr>
    </w:p>
    <w:p>
      <w:pPr>
        <w:ind w:left="-269" w:right="3179" w:firstLine="269"/>
        <w:spacing w:after="0" w:line="249" w:lineRule="auto"/>
        <w:tabs>
          <w:tab w:leader="none" w:pos="3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Mutilated, Lost, Stolen or Destroyed Original Notes. Any tendering Holder whose Original Notes have been mutilated, lost, stolen or destroyed, should contact the Exchange Agent at the address indicated herein for further instructions.</w:t>
      </w:r>
    </w:p>
    <w:p>
      <w:pPr>
        <w:spacing w:after="0" w:line="175" w:lineRule="exact"/>
        <w:rPr>
          <w:rFonts w:ascii="Courier New" w:cs="Courier New" w:eastAsia="Courier New" w:hAnsi="Courier New"/>
          <w:sz w:val="15"/>
          <w:szCs w:val="15"/>
          <w:color w:val="auto"/>
        </w:rPr>
      </w:pPr>
    </w:p>
    <w:p>
      <w:pPr>
        <w:ind w:left="-269" w:right="3079" w:firstLine="269"/>
        <w:spacing w:after="0" w:line="249" w:lineRule="auto"/>
        <w:tabs>
          <w:tab w:leader="none" w:pos="37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Information or Additional Copies. Requests for information or for additional copies of the Prospectus and this Letter of Transmittal may be directed to the Exchange Agent at the address or telephone number set forth on the cover of this Letter of Transmittal.</w:t>
      </w:r>
    </w:p>
    <w:p>
      <w:pPr>
        <w:spacing w:after="0" w:line="176" w:lineRule="exact"/>
        <w:rPr>
          <w:sz w:val="20"/>
          <w:szCs w:val="20"/>
          <w:color w:val="auto"/>
        </w:rPr>
      </w:pPr>
    </w:p>
    <w:p>
      <w:pPr>
        <w:ind w:left="3211"/>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0"/>
          </w:cols>
          <w:pgMar w:left="509" w:top="646" w:right="1440" w:bottom="1440" w:gutter="0" w:footer="0" w:header="0"/>
        </w:sectPr>
      </w:pPr>
    </w:p>
    <w:bookmarkStart w:id="108" w:name="page109"/>
    <w:bookmarkEnd w:id="108"/>
    <w:p>
      <w:pPr>
        <w:ind w:left="6" w:right="2979" w:firstLine="275"/>
        <w:spacing w:after="0" w:line="249" w:lineRule="auto"/>
        <w:rPr>
          <w:sz w:val="20"/>
          <w:szCs w:val="20"/>
          <w:color w:val="auto"/>
        </w:rPr>
      </w:pPr>
      <w:r>
        <w:rPr>
          <w:rFonts w:ascii="Courier New" w:cs="Courier New" w:eastAsia="Courier New" w:hAnsi="Courier New"/>
          <w:sz w:val="15"/>
          <w:szCs w:val="15"/>
          <w:color w:val="auto"/>
        </w:rPr>
        <w:t>IMPORTANT: THIS LETTER OF TRANSMITTAL (OR A FACSIMILE THEREOF) TOGETHER WITH CERTIFICATES, OR CONFIRMATION OF BOOK-ENTRY OR THE NOTICE OF GUARANTEED DELIVERY, AND ALL OTHER REQUIRED DOCUMENTS MUST BE RECEIVED BY THE EXCHANGE AGENT PRIOR THE EXPIRATION DATE.</w:t>
      </w:r>
    </w:p>
    <w:p>
      <w:pPr>
        <w:spacing w:after="0" w:line="17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IMPORTANT INFORMATION</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Under current federal income tax law, a Holder whose tendered Original Notes are accepted for exchange may be subject to backup withholding unless the Holder provides the Company (as payor), through the Exchange Agent, with either</w:t>
      </w:r>
    </w:p>
    <w:p>
      <w:pPr>
        <w:spacing w:after="0" w:line="2" w:lineRule="exact"/>
        <w:rPr>
          <w:sz w:val="20"/>
          <w:szCs w:val="20"/>
          <w:color w:val="auto"/>
        </w:rPr>
      </w:pPr>
    </w:p>
    <w:p>
      <w:pPr>
        <w:ind w:left="6" w:right="2979" w:hanging="6"/>
        <w:spacing w:after="0" w:line="249" w:lineRule="auto"/>
        <w:tabs>
          <w:tab w:leader="none" w:pos="372"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Holder's correct taxpayer identification number ("TIN") on Substitute Form W-9 attached hereto, certifying that the TIN provided on Substitute Form W-9 is correct (or that such Holder is awaiting a TIN) and that (A) the Holder has not been notified by the Internal Revenue Service that he or she is subject to backup withholding as a result of a failure to report all interest or dividends or (B) the Internal Revenue Service has notified the Holder that he or she is no longer subject to backup withholding; or (ii) an adequate basis for exemption from backup withholding. If such Holder is an individual, the TIN is such Holder's social security number. If the Exchange Agent is not provided with the correct taxpayer identification number, the Holder may be subject to certain penalties imposed by the Internal Revenue Service.</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Certain Holders (including, among others, all corporations and certain foreign individuals) are not subject to these backup withholding and reporting requirements. Exempt Holders should indicate their exempt status on Substitute Form W-9. A foreign individual may qualify as an exempt recipient by submitting to the Exchange Agent a properly completed Internal Revenue Service Form W-8 (which the Exchange Agent will provide upon request) signed under penalty of perjury, attesting to the Holder's exempt status. See the enclosed Guidelines for Certification of Taxpayer Identification Number on Substitute Form W-9 (the "Guidelines") for additional instructions.</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If backup withholding applies, the Company is required to withhold a portion of any payment made to the Holder or other payee. Backup withholding is not an additional federal income tax. Rather, the federal income tax liability of persons subject to backup withholding will be reduced by the amount of tax withheld. If withholding results in an overpayment of taxes, a refund may be obtained from the Internal Revenue Service.</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Holder is required to give the Exchange Agent the TIN (e.g., social security number or employer identification number) of the record owner of the Original Notes. If the Original Notes are held in more than one name or are not held in the name of the actual owner, consult the enclosed Guidelines for additional guidance regarding which number to report.</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647" w:right="1440" w:bottom="1440" w:gutter="0" w:footer="0" w:header="0"/>
        </w:sectPr>
      </w:pPr>
    </w:p>
    <w:bookmarkStart w:id="109" w:name="page110"/>
    <w:bookmarkEnd w:id="109"/>
    <w:p>
      <w:pPr>
        <w:ind w:left="2660"/>
        <w:spacing w:after="0"/>
        <w:rPr>
          <w:sz w:val="20"/>
          <w:szCs w:val="20"/>
          <w:color w:val="auto"/>
        </w:rPr>
      </w:pPr>
      <w:r>
        <w:rPr>
          <w:rFonts w:ascii="Courier New" w:cs="Courier New" w:eastAsia="Courier New" w:hAnsi="Courier New"/>
          <w:sz w:val="15"/>
          <w:szCs w:val="15"/>
          <w:color w:val="auto"/>
        </w:rPr>
        <w:t>PAYER'S NAME:[insert payer's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1160" w:type="dxa"/>
            <w:vAlign w:val="bottom"/>
          </w:tcPr>
          <w:p>
            <w:pPr>
              <w:ind w:left="420"/>
              <w:spacing w:after="0"/>
              <w:rPr>
                <w:sz w:val="20"/>
                <w:szCs w:val="20"/>
                <w:color w:val="auto"/>
              </w:rPr>
            </w:pPr>
            <w:r>
              <w:rPr>
                <w:rFonts w:ascii="Courier New" w:cs="Courier New" w:eastAsia="Courier New" w:hAnsi="Courier New"/>
                <w:sz w:val="15"/>
                <w:szCs w:val="15"/>
                <w:color w:val="auto"/>
                <w:w w:val="99"/>
              </w:rPr>
              <w:t>Part 1--</w:t>
            </w:r>
          </w:p>
        </w:tc>
        <w:tc>
          <w:tcPr>
            <w:tcW w:w="4660" w:type="dxa"/>
            <w:vAlign w:val="bottom"/>
          </w:tcPr>
          <w:p>
            <w:pPr>
              <w:spacing w:after="0"/>
              <w:rPr>
                <w:sz w:val="20"/>
                <w:szCs w:val="20"/>
                <w:color w:val="auto"/>
              </w:rPr>
            </w:pPr>
            <w:r>
              <w:rPr>
                <w:rFonts w:ascii="Courier New" w:cs="Courier New" w:eastAsia="Courier New" w:hAnsi="Courier New"/>
                <w:sz w:val="15"/>
                <w:szCs w:val="15"/>
                <w:color w:val="auto"/>
              </w:rPr>
              <w:t>PLEASE PROVIDE YOUR NAME AND TIN IN THE</w:t>
            </w:r>
          </w:p>
        </w:tc>
        <w:tc>
          <w:tcPr>
            <w:tcW w:w="2760" w:type="dxa"/>
            <w:vAlign w:val="bottom"/>
          </w:tcPr>
          <w:p>
            <w:pPr>
              <w:spacing w:after="0"/>
              <w:rPr>
                <w:sz w:val="14"/>
                <w:szCs w:val="14"/>
                <w:color w:val="auto"/>
              </w:rPr>
            </w:pPr>
          </w:p>
        </w:tc>
      </w:tr>
      <w:tr>
        <w:trPr>
          <w:trHeight w:val="176"/>
        </w:trPr>
        <w:tc>
          <w:tcPr>
            <w:tcW w:w="2780" w:type="dxa"/>
            <w:vAlign w:val="bottom"/>
          </w:tcPr>
          <w:p>
            <w:pPr>
              <w:spacing w:after="0"/>
              <w:rPr>
                <w:sz w:val="15"/>
                <w:szCs w:val="15"/>
                <w:color w:val="auto"/>
              </w:rPr>
            </w:pP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BOX AT RIGHT AND CERTIFY BY SIGNING AND DATING</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_________________________</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FORM W-9</w:t>
            </w:r>
          </w:p>
        </w:tc>
        <w:tc>
          <w:tcPr>
            <w:tcW w:w="1160" w:type="dxa"/>
            <w:vAlign w:val="bottom"/>
          </w:tcPr>
          <w:p>
            <w:pPr>
              <w:ind w:left="420"/>
              <w:spacing w:after="0"/>
              <w:rPr>
                <w:sz w:val="20"/>
                <w:szCs w:val="20"/>
                <w:color w:val="auto"/>
              </w:rPr>
            </w:pPr>
            <w:r>
              <w:rPr>
                <w:rFonts w:ascii="Courier New" w:cs="Courier New" w:eastAsia="Courier New" w:hAnsi="Courier New"/>
                <w:sz w:val="15"/>
                <w:szCs w:val="15"/>
                <w:color w:val="auto"/>
              </w:rPr>
              <w:t>BELOW.</w:t>
            </w:r>
          </w:p>
        </w:tc>
        <w:tc>
          <w:tcPr>
            <w:tcW w:w="4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9"/>
              </w:rPr>
              <w:t>Name</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Department of the Treasury</w:t>
            </w:r>
          </w:p>
        </w:tc>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_________________________</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Internal Revenue Service</w:t>
            </w:r>
          </w:p>
        </w:tc>
        <w:tc>
          <w:tcPr>
            <w:tcW w:w="1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Social Security Number</w:t>
            </w:r>
          </w:p>
        </w:tc>
      </w:tr>
      <w:tr>
        <w:trPr>
          <w:trHeight w:val="352"/>
        </w:trPr>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OR</w:t>
            </w:r>
          </w:p>
        </w:tc>
      </w:tr>
      <w:tr>
        <w:trPr>
          <w:trHeight w:val="176"/>
        </w:trPr>
        <w:tc>
          <w:tcPr>
            <w:tcW w:w="2780" w:type="dxa"/>
            <w:vAlign w:val="bottom"/>
          </w:tcPr>
          <w:p>
            <w:pPr>
              <w:spacing w:after="0"/>
              <w:rPr>
                <w:sz w:val="15"/>
                <w:szCs w:val="15"/>
                <w:color w:val="auto"/>
              </w:rPr>
            </w:pP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spacing w:after="0"/>
              <w:rPr>
                <w:sz w:val="15"/>
                <w:szCs w:val="15"/>
                <w:color w:val="auto"/>
              </w:rPr>
            </w:pP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Payer's Request for</w:t>
            </w:r>
          </w:p>
        </w:tc>
        <w:tc>
          <w:tcPr>
            <w:tcW w:w="1160" w:type="dxa"/>
            <w:vAlign w:val="bottom"/>
          </w:tcPr>
          <w:p>
            <w:pPr>
              <w:ind w:left="420"/>
              <w:spacing w:after="0"/>
              <w:rPr>
                <w:sz w:val="20"/>
                <w:szCs w:val="20"/>
                <w:color w:val="auto"/>
              </w:rPr>
            </w:pPr>
            <w:r>
              <w:rPr>
                <w:rFonts w:ascii="Courier New" w:cs="Courier New" w:eastAsia="Courier New" w:hAnsi="Courier New"/>
                <w:sz w:val="15"/>
                <w:szCs w:val="15"/>
                <w:color w:val="auto"/>
              </w:rPr>
              <w:t>Part 2</w:t>
            </w:r>
          </w:p>
        </w:tc>
        <w:tc>
          <w:tcPr>
            <w:tcW w:w="46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_________________________</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Taxpayer</w:t>
            </w: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Certification--Under penalty of perjury, I</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Employer Identification Number</w:t>
            </w: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Identification</w:t>
            </w: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certify that:</w:t>
            </w:r>
          </w:p>
        </w:tc>
        <w:tc>
          <w:tcPr>
            <w:tcW w:w="2760" w:type="dxa"/>
            <w:vAlign w:val="bottom"/>
          </w:tcPr>
          <w:p>
            <w:pPr>
              <w:spacing w:after="0"/>
              <w:rPr>
                <w:sz w:val="15"/>
                <w:szCs w:val="15"/>
                <w:color w:val="auto"/>
              </w:rPr>
            </w:pPr>
          </w:p>
        </w:tc>
      </w:tr>
      <w:tr>
        <w:trPr>
          <w:trHeight w:val="176"/>
        </w:trPr>
        <w:tc>
          <w:tcPr>
            <w:tcW w:w="2780" w:type="dxa"/>
            <w:vAlign w:val="bottom"/>
          </w:tcPr>
          <w:p>
            <w:pPr>
              <w:spacing w:after="0"/>
              <w:rPr>
                <w:sz w:val="20"/>
                <w:szCs w:val="20"/>
                <w:color w:val="auto"/>
              </w:rPr>
            </w:pPr>
            <w:r>
              <w:rPr>
                <w:rFonts w:ascii="Courier New" w:cs="Courier New" w:eastAsia="Courier New" w:hAnsi="Courier New"/>
                <w:sz w:val="15"/>
                <w:szCs w:val="15"/>
                <w:color w:val="auto"/>
              </w:rPr>
              <w:t>Number (TIN)</w:t>
            </w: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(1)The number shown on this form is my correct</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______________________________</w:t>
            </w:r>
          </w:p>
        </w:tc>
      </w:tr>
      <w:tr>
        <w:trPr>
          <w:trHeight w:val="176"/>
        </w:trPr>
        <w:tc>
          <w:tcPr>
            <w:tcW w:w="2780" w:type="dxa"/>
            <w:vAlign w:val="bottom"/>
          </w:tcPr>
          <w:p>
            <w:pPr>
              <w:spacing w:after="0"/>
              <w:rPr>
                <w:sz w:val="15"/>
                <w:szCs w:val="15"/>
                <w:color w:val="auto"/>
              </w:rPr>
            </w:pPr>
          </w:p>
        </w:tc>
        <w:tc>
          <w:tcPr>
            <w:tcW w:w="5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Taxpayer Identification Number (or I am</w:t>
            </w:r>
          </w:p>
        </w:tc>
        <w:tc>
          <w:tcPr>
            <w:tcW w:w="27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Part 3--</w:t>
            </w:r>
          </w:p>
        </w:tc>
      </w:tr>
      <w:tr>
        <w:trPr>
          <w:trHeight w:val="176"/>
        </w:trPr>
        <w:tc>
          <w:tcPr>
            <w:tcW w:w="2780" w:type="dxa"/>
            <w:vAlign w:val="bottom"/>
          </w:tcPr>
          <w:p>
            <w:pPr>
              <w:spacing w:after="0"/>
              <w:rPr>
                <w:sz w:val="15"/>
                <w:szCs w:val="15"/>
                <w:color w:val="auto"/>
              </w:rPr>
            </w:pPr>
          </w:p>
        </w:tc>
        <w:tc>
          <w:tcPr>
            <w:tcW w:w="5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waiting for a number to be issued to me), and</w:t>
            </w:r>
          </w:p>
        </w:tc>
        <w:tc>
          <w:tcPr>
            <w:tcW w:w="2760" w:type="dxa"/>
            <w:vAlign w:val="bottom"/>
          </w:tcPr>
          <w:p>
            <w:pPr>
              <w:spacing w:after="0"/>
              <w:rPr>
                <w:sz w:val="15"/>
                <w:szCs w:val="15"/>
                <w:color w:val="auto"/>
              </w:rPr>
            </w:pPr>
          </w:p>
        </w:tc>
      </w:tr>
      <w:tr>
        <w:trPr>
          <w:trHeight w:val="176"/>
        </w:trPr>
        <w:tc>
          <w:tcPr>
            <w:tcW w:w="2780" w:type="dxa"/>
            <w:vAlign w:val="bottom"/>
          </w:tcPr>
          <w:p>
            <w:pPr>
              <w:spacing w:after="0"/>
              <w:rPr>
                <w:sz w:val="15"/>
                <w:szCs w:val="15"/>
                <w:color w:val="auto"/>
              </w:rPr>
            </w:pPr>
          </w:p>
        </w:tc>
        <w:tc>
          <w:tcPr>
            <w:tcW w:w="5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(2)I am not subject to backup withholding because</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rPr>
              <w:t>[_] Awaiting TIN</w:t>
            </w:r>
          </w:p>
        </w:tc>
      </w:tr>
    </w:tbl>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 I am exempt from backup withholding, or</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 I have not been notified by the Internal</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Revenue Service (the "IRS") that I am subject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to backup withholding as a result of a failure</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to report all interest or dividends, or (c)</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the IRS has notified me that I am no longer</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subject to backup withholding, and</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(3)I am a U.S. person (including a U.S. resident</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alien).</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200" w:right="1000"/>
        <w:spacing w:after="0" w:line="248" w:lineRule="auto"/>
        <w:rPr>
          <w:sz w:val="20"/>
          <w:szCs w:val="20"/>
          <w:color w:val="auto"/>
        </w:rPr>
      </w:pPr>
      <w:r>
        <w:rPr>
          <w:rFonts w:ascii="Courier New" w:cs="Courier New" w:eastAsia="Courier New" w:hAnsi="Courier New"/>
          <w:sz w:val="15"/>
          <w:szCs w:val="15"/>
          <w:color w:val="auto"/>
        </w:rPr>
        <w:t>CERTIFICATE INSTRUCTIONS--You must cross out item (2) above if you have been notified by the IRS that you are currently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such item (2).</w:t>
      </w:r>
    </w:p>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200" w:right="900"/>
        <w:spacing w:after="0" w:line="250" w:lineRule="auto"/>
        <w:rPr>
          <w:sz w:val="20"/>
          <w:szCs w:val="20"/>
          <w:color w:val="auto"/>
        </w:rPr>
      </w:pPr>
      <w:r>
        <w:rPr>
          <w:rFonts w:ascii="Courier New" w:cs="Courier New" w:eastAsia="Courier New" w:hAnsi="Courier New"/>
          <w:sz w:val="15"/>
          <w:szCs w:val="15"/>
          <w:color w:val="auto"/>
        </w:rPr>
        <w:t>The Internal Revenue Service does not require your consent to any provision of this document other than the certifications required to avoid backup withholding.</w:t>
      </w:r>
    </w:p>
    <w:p>
      <w:pPr>
        <w:spacing w:after="0" w:line="175" w:lineRule="exact"/>
        <w:rPr>
          <w:sz w:val="20"/>
          <w:szCs w:val="20"/>
          <w:color w:val="auto"/>
        </w:rPr>
      </w:pPr>
    </w:p>
    <w:p>
      <w:pPr>
        <w:ind w:left="3200" w:hanging="1099"/>
        <w:spacing w:after="0"/>
        <w:tabs>
          <w:tab w:leader="none" w:pos="32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SIGNATURE_________________________________________________________________  DATE __</w:t>
      </w:r>
    </w:p>
    <w:p>
      <w:pPr>
        <w:spacing w:after="0" w:line="359" w:lineRule="exact"/>
        <w:rPr>
          <w:sz w:val="20"/>
          <w:szCs w:val="20"/>
          <w:color w:val="auto"/>
        </w:rPr>
      </w:pPr>
    </w:p>
    <w:p>
      <w:pPr>
        <w:jc w:val="center"/>
        <w:ind w:right="4280"/>
        <w:spacing w:after="0" w:line="249" w:lineRule="auto"/>
        <w:rPr>
          <w:sz w:val="20"/>
          <w:szCs w:val="20"/>
          <w:color w:val="auto"/>
        </w:rPr>
      </w:pPr>
      <w:r>
        <w:rPr>
          <w:rFonts w:ascii="Courier New" w:cs="Courier New" w:eastAsia="Courier New" w:hAnsi="Courier New"/>
          <w:sz w:val="15"/>
          <w:szCs w:val="15"/>
          <w:color w:val="auto"/>
        </w:rPr>
        <w:t>NOTE: FAILURE TO COMPLETE AND RETURN THIS FORM MAY RESULT IN BACKUP WITHHOLDING OF UP TO 28% OF ANY PAYMENTS MADE TO YOU PURSUANT TO THE OFFER. PLEASE REVIEW THE ENCLOSED GUIDELINES FOR CERTIFICATION OF TAXPAYER IDENTIFICATION NUMBER ON SUBSTITUTE FORM W-9 FOR ADDITIONAL DETAILS.</w:t>
      </w:r>
    </w:p>
    <w:p>
      <w:pPr>
        <w:spacing w:after="0" w:line="17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YOU MUST COMPLETE THE FOLLOWING CERTIFICATE IF YOU CHECKED THE BOX IN PART 3 OF</w:t>
      </w:r>
    </w:p>
    <w:p>
      <w:pPr>
        <w:spacing w:after="0" w:line="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SUBSTITUTE FORM W-9.</w:t>
      </w:r>
    </w:p>
    <w:p>
      <w:pPr>
        <w:spacing w:after="0" w:line="359"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82" w:lineRule="exact"/>
        <w:rPr>
          <w:sz w:val="20"/>
          <w:szCs w:val="20"/>
          <w:color w:val="auto"/>
        </w:rPr>
      </w:pPr>
    </w:p>
    <w:p>
      <w:pPr>
        <w:ind w:left="180" w:right="4380"/>
        <w:spacing w:after="0" w:line="248" w:lineRule="auto"/>
        <w:rPr>
          <w:sz w:val="20"/>
          <w:szCs w:val="20"/>
          <w:color w:val="auto"/>
        </w:rPr>
      </w:pPr>
      <w:r>
        <w:rPr>
          <w:rFonts w:ascii="Courier New" w:cs="Courier New" w:eastAsia="Courier New" w:hAnsi="Courier New"/>
          <w:sz w:val="15"/>
          <w:szCs w:val="15"/>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w:t>
      </w:r>
    </w:p>
    <w:p>
      <w:pPr>
        <w:spacing w:after="0" w:line="2" w:lineRule="exact"/>
        <w:rPr>
          <w:sz w:val="20"/>
          <w:szCs w:val="20"/>
          <w:color w:val="auto"/>
        </w:rPr>
      </w:pPr>
    </w:p>
    <w:p>
      <w:pPr>
        <w:ind w:left="180" w:right="4480" w:hanging="3"/>
        <w:spacing w:after="0" w:line="249" w:lineRule="auto"/>
        <w:tabs>
          <w:tab w:leader="none" w:pos="5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intend to mail or deliver an application in the near future. I understand that if I do not provide a taxpayer identification number by the time of payment, up to 28% of all reportable payments made to me will be withheld.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Signature ____________________________ Date ____________________________, 20__</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0"/>
          </w:cols>
          <w:pgMar w:left="240" w:top="1175" w:right="139" w:bottom="1440" w:gutter="0" w:footer="0" w:header="0"/>
        </w:sectPr>
      </w:pPr>
    </w:p>
    <w:bookmarkStart w:id="110" w:name="page111"/>
    <w:bookmarkEnd w:id="110"/>
    <w:p>
      <w:pPr>
        <w:ind w:left="6140"/>
        <w:spacing w:after="0"/>
        <w:rPr>
          <w:sz w:val="20"/>
          <w:szCs w:val="20"/>
          <w:color w:val="auto"/>
        </w:rPr>
      </w:pPr>
      <w:r>
        <w:rPr>
          <w:rFonts w:ascii="Courier New" w:cs="Courier New" w:eastAsia="Courier New" w:hAnsi="Courier New"/>
          <w:sz w:val="15"/>
          <w:szCs w:val="15"/>
          <w:color w:val="auto"/>
        </w:rPr>
        <w:t>Exhibit 99.2</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NOTICE OF GUARANTEED DELIVERY</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WITH RESPECT TO TENDER OF</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ANY AND ALL OUTSTANDING</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A SENIOR SUBORDINATED NOTES DUE 2013</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EXCHANGE FOR</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B SENIOR SUBORDINATED NOTES DUE 2013</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ind w:left="1560"/>
        <w:spacing w:after="0"/>
        <w:tabs>
          <w:tab w:leader="none" w:pos="5020" w:val="left"/>
        </w:tabs>
        <w:rPr>
          <w:sz w:val="20"/>
          <w:szCs w:val="20"/>
          <w:color w:val="auto"/>
        </w:rPr>
      </w:pPr>
      <w:r>
        <w:rPr>
          <w:rFonts w:ascii="Courier New" w:cs="Courier New" w:eastAsia="Courier New" w:hAnsi="Courier New"/>
          <w:sz w:val="15"/>
          <w:szCs w:val="15"/>
          <w:color w:val="auto"/>
        </w:rPr>
        <w:t>PURSUANT TO THE PROSPECTUS DATED</w:t>
      </w:r>
      <w:r>
        <w:rPr>
          <w:sz w:val="20"/>
          <w:szCs w:val="20"/>
          <w:color w:val="auto"/>
        </w:rPr>
        <w:tab/>
      </w:r>
      <w:r>
        <w:rPr>
          <w:rFonts w:ascii="Courier New" w:cs="Courier New" w:eastAsia="Courier New" w:hAnsi="Courier New"/>
          <w:sz w:val="14"/>
          <w:szCs w:val="14"/>
          <w:color w:val="auto"/>
        </w:rPr>
        <w:t>, 2004</w:t>
      </w:r>
    </w:p>
    <w:p>
      <w:pPr>
        <w:spacing w:after="0" w:line="182"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5"/>
          <w:szCs w:val="15"/>
          <w:color w:val="auto"/>
        </w:rPr>
        <w:t>THE EXCHANGE OFFER WILL EXPIRE AT 5:00 P.M., NEW YORK CITY TIME, ON</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2004, UNLESS EXTENDED (SUCH TIME AND DATE, AS THE SAME MAY BE EXTENDED FROM TIME TO TIME, THE "EXPIRATION DATE"). TENDERS MAY BE WITHDRAWN AT ANY TIME PRIOR THE EXPIRATION DATE.</w:t>
      </w:r>
    </w:p>
    <w:p>
      <w:pPr>
        <w:spacing w:after="0" w:line="17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Exchange Agent for the Exchange Offer is:</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U.S. Bank National Association</w:t>
      </w:r>
    </w:p>
    <w:p>
      <w:pPr>
        <w:spacing w:after="0" w:line="18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By Registered or Certified Mail or Hand or Overnight Delivery:</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U.S. Bank West Side Flats Operations Center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60 Livingston Ave.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St. Paul, MN 55107</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Attention: Specialized Finance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Facsimile Transmissions: (Eligible Institutions Only) 651-495-8158</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TO A FACSIMILE NUMBER OTHER THAN AS SET FORTH ABOVE WILL NOT CONSTITUTE A VALID DELIVERY.</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THIS NOTICE OF GUARANTEED DELIVERY IS NOT TO BE USED TO GUARANTEE SIGNATURES.</w:t>
      </w:r>
    </w:p>
    <w:p>
      <w:pPr>
        <w:spacing w:after="0" w:line="182"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As set forth in the prospectus (the "Prospectus") dated , 2004 of The Scotts Company (the "Company") and in the accompanying Letter of Transmittal and instructions thereto (the "Letter of Transmittal"), this form or one substantially equivalent thereto must be used to accept the Company's offer (the "Exchange Offer") to exchange new 6.625% Series B Senior Subordinated Notes due 2013 (the "Exchange Notes") that have been registered under the Securities Act of 1933, as amended (the "Securities Act"), for all of its outstanding 6.625% Series A Senior Subordinated Notes due 2013 (the "Original Notes") if the Letter of Transmittal or any other documents required thereby cannot be delivered to the Exchange Agent, or Original Notes cannot be delivered or if the procedures for book-entry transfer cannot be completed prior to the Expiration Date. This form may be delivered by an Eligible Institution (as defined in the Prospectus) by mail or hand delivery or transmitted via facsimile to the Exchange Agent as set forth above. Capitalized terms used but not defined herein shall have the meaning given to them in the Prospectus.</w:t>
      </w:r>
    </w:p>
    <w:p>
      <w:pPr>
        <w:sectPr>
          <w:pgSz w:w="11900" w:h="16838" w:orient="portrait"/>
          <w:cols w:equalWidth="0" w:num="1">
            <w:col w:w="10219"/>
          </w:cols>
          <w:pgMar w:left="240" w:top="494" w:right="1440" w:bottom="1440" w:gutter="0" w:footer="0" w:header="0"/>
        </w:sectPr>
      </w:pPr>
    </w:p>
    <w:bookmarkStart w:id="111" w:name="page112"/>
    <w:bookmarkEnd w:id="111"/>
    <w:p>
      <w:pPr>
        <w:ind w:left="1180"/>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undersigned hereby tenders to the Company upon the terms and subject to the conditions set forth in the Prospectus and the related Letter of Transmittal, receipt of which is hereby acknowledged, the principal amount of Original Notes specified below pursuant to the guaranteed delivery procedures set forth in the section of the Prospectus entitled "The Exchange Offer -- Guaranteed Delivery Procedures." By so tendering, the undersigned does hereby make, at and as of the date hereof, the representations and warranties of a tendering Holder of Original Notes set forth in the Letter of Transmittal.</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undersigned understands that tenders of Original Notes may be withdrawn if the Exchange Agent receives at one of its addresses specified on the cover of this Notice of Guaranteed Delivery, prior to the Expiration Date, a facsimile transmission or letter which specifies the name of the person who deposited the Original Notes to be withdrawn and the aggregate principal amount of Original Notes delivered for exchange, including the certificate number(s) (if any) of the Original Notes, and which is signed in the same manner as the original signature on the Letter of Transmittal by which the Original Notes were tendered, including any signature guarantees, all in accordance with the procedures set forth in the Prospectus.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incapacity, or dissolution of the undersigned and every obligation of the undersigned hereunder shall be binding upon the heirs, personal representatives, successors and assigns of the undersigned.</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undersigned hereby tenders the Original Notes listed 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Tendered: ___________________________________________</w:t>
      </w:r>
    </w:p>
    <w:p>
      <w:pPr>
        <w:spacing w:after="0" w:line="182"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Name(s) of Registered Holder(s):</w:t>
        <w:tab/>
        <w:t>______________________________________________</w:t>
      </w:r>
    </w:p>
    <w:p>
      <w:pPr>
        <w:spacing w:after="0" w:line="6"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Certificate Nos.:</w:t>
        <w:tab/>
        <w:t>_____________________________________________________________</w:t>
      </w:r>
    </w:p>
    <w:p>
      <w:pPr>
        <w:spacing w:after="0" w:line="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(If available)</w:t>
      </w:r>
    </w:p>
    <w:p>
      <w:pPr>
        <w:spacing w:after="0" w:line="182"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Address of Registered Holder(s):</w:t>
        <w:tab/>
        <w:t>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Daytime Area Code and Telephone No.:</w:t>
      </w:r>
    </w:p>
    <w:p>
      <w:pPr>
        <w:spacing w:after="0" w:line="182"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Check box if Original Notes will be delivered by book-entry transfer and provide account number: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[_]The Depository Trust Company</w:t>
      </w:r>
    </w:p>
    <w:p>
      <w:pPr>
        <w:spacing w:after="0" w:line="6" w:lineRule="exact"/>
        <w:rPr>
          <w:sz w:val="20"/>
          <w:szCs w:val="20"/>
          <w:color w:val="auto"/>
        </w:rPr>
      </w:pPr>
    </w:p>
    <w:p>
      <w:pPr>
        <w:ind w:left="260"/>
        <w:spacing w:after="0"/>
        <w:tabs>
          <w:tab w:leader="none" w:pos="3180" w:val="left"/>
        </w:tabs>
        <w:rPr>
          <w:sz w:val="20"/>
          <w:szCs w:val="20"/>
          <w:color w:val="auto"/>
        </w:rPr>
      </w:pPr>
      <w:r>
        <w:rPr>
          <w:rFonts w:ascii="Courier New" w:cs="Courier New" w:eastAsia="Courier New" w:hAnsi="Courier New"/>
          <w:sz w:val="15"/>
          <w:szCs w:val="15"/>
          <w:color w:val="auto"/>
        </w:rPr>
        <w:t>DTC Book-Entry Account Number:</w:t>
        <w:tab/>
        <w:t>_____________________________________________</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Signature(s)</w:t>
        <w:tab/>
        <w:t>__________________________________________________________________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6" w:right="1440" w:bottom="1440" w:gutter="0" w:footer="0" w:header="0"/>
        </w:sectPr>
      </w:pPr>
    </w:p>
    <w:bookmarkStart w:id="112" w:name="page113"/>
    <w:bookmarkEnd w:id="112"/>
    <w:p>
      <w:pPr>
        <w:jc w:val="center"/>
        <w:ind w:right="2979"/>
        <w:spacing w:after="0"/>
        <w:rPr>
          <w:sz w:val="20"/>
          <w:szCs w:val="20"/>
          <w:color w:val="auto"/>
        </w:rPr>
      </w:pPr>
      <w:r>
        <w:rPr>
          <w:rFonts w:ascii="Courier New" w:cs="Courier New" w:eastAsia="Courier New" w:hAnsi="Courier New"/>
          <w:sz w:val="15"/>
          <w:szCs w:val="15"/>
          <w:color w:val="auto"/>
        </w:rPr>
        <w:t>GUARANTEE OF DELIVERY</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undersigned, a participant in a recognized Signature Guarantee Medallion Program, guarantees deposit with the Exchange Agent of the Letter of Transmittal (or facsimile thereof), together with the Original Notes tendered hereby in proper form for transfer, or confirmation of the book-entry transfer of such Original Notes into the Exchange Agent's account at The Depository Trust Company, pursuant to the procedure for book-entry transfer set forth in the Prospectus, and any other required documents, all by 5:00 p.m., New York City time, on the third New York Stock Exchange trading day following the Expiration Date (as defined in the Prospectus).</w:t>
      </w:r>
    </w:p>
    <w:p>
      <w:pPr>
        <w:spacing w:after="0" w:line="17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Name of Firm:</w:t>
        <w:tab/>
        <w:t>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_______________________________________________________________________</w:t>
      </w:r>
    </w:p>
    <w:p>
      <w:pPr>
        <w:spacing w:after="0" w:line="6"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AUTHORIZED SIGNATURE:</w:t>
        <w:tab/>
        <w:t>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__________________________________________________________________________</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_________________________________________________________________________</w:t>
      </w:r>
    </w:p>
    <w:p>
      <w:pPr>
        <w:spacing w:after="0" w:line="18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5"/>
          <w:szCs w:val="15"/>
          <w:color w:val="auto"/>
        </w:rPr>
        <w:t>Daytime Area Code and Telephone No.:</w:t>
        <w:tab/>
        <w:t>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___________________________</w:t>
      </w:r>
    </w:p>
    <w:p>
      <w:pPr>
        <w:spacing w:after="0" w:line="182" w:lineRule="exact"/>
        <w:rPr>
          <w:sz w:val="20"/>
          <w:szCs w:val="20"/>
          <w:color w:val="auto"/>
        </w:rPr>
      </w:pPr>
    </w:p>
    <w:p>
      <w:pPr>
        <w:ind w:left="820" w:right="4179" w:hanging="549"/>
        <w:spacing w:after="0" w:line="249" w:lineRule="auto"/>
        <w:rPr>
          <w:sz w:val="20"/>
          <w:szCs w:val="20"/>
          <w:color w:val="auto"/>
        </w:rPr>
      </w:pPr>
      <w:r>
        <w:rPr>
          <w:rFonts w:ascii="Courier New" w:cs="Courier New" w:eastAsia="Courier New" w:hAnsi="Courier New"/>
          <w:sz w:val="15"/>
          <w:szCs w:val="15"/>
          <w:color w:val="auto"/>
        </w:rPr>
        <w:t>NOTE: DO NOT SEND ORIGINAL NOTES WITH THIS NOTICE OF GUARANTEED DELIVERY. ACTUAL SURRENDER OF ORIGINAL NOTES MUST BE MADE PURSUANT TO, AND BE ACCOMPANIED BY, A PROPERLY COMPLETED AND DULY EXECUTED LETTER OF TRANSMITTAL AND ANY OTHER REQUIRED DOCUMENTS.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113" w:name="page114"/>
    <w:bookmarkEnd w:id="113"/>
    <w:p>
      <w:pPr>
        <w:ind w:left="2751"/>
        <w:spacing w:after="0"/>
        <w:rPr>
          <w:sz w:val="20"/>
          <w:szCs w:val="20"/>
          <w:color w:val="auto"/>
        </w:rPr>
      </w:pPr>
      <w:r>
        <w:rPr>
          <w:rFonts w:ascii="Courier New" w:cs="Courier New" w:eastAsia="Courier New" w:hAnsi="Courier New"/>
          <w:sz w:val="15"/>
          <w:szCs w:val="15"/>
          <w:color w:val="auto"/>
        </w:rPr>
        <w:t>INSTRUCTIONS</w:t>
      </w:r>
    </w:p>
    <w:p>
      <w:pPr>
        <w:spacing w:after="0" w:line="182" w:lineRule="exact"/>
        <w:rPr>
          <w:sz w:val="20"/>
          <w:szCs w:val="20"/>
          <w:color w:val="auto"/>
        </w:rPr>
      </w:pPr>
    </w:p>
    <w:p>
      <w:pPr>
        <w:ind w:left="-269" w:right="2979" w:firstLine="269"/>
        <w:spacing w:after="0" w:line="249" w:lineRule="auto"/>
        <w:tabs>
          <w:tab w:leader="none" w:pos="28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this Notice of Guaranteed Delivery. A properly completed and duly executed copy of this Notice of Guaranteed Delivery and any other documents required by this Notice of Guaranteed Delivery must be received by the Exchange Agent at one of its addresses set forth on the cover hereof prior to the Expiration Date. The method of delivery of this Notice of Guaranteed Delivery and all other required documents to the Exchange Agent is at the election and risk of the Holder but, except as otherwise provided below, the delivery will be deemed made only when actually received by the Exchange Agent. Instead of delivery by mail, it is recommended that Holders use an overnight or hand delivery service, properly insured. If such delivery is by mail, it is recommended that the Holder use properly insured, registered mail with return receipt requested. For a full description of the guaranteed delivery procedures, see the Prospectus under the caption "The Exchange Offer -- Guaranteed Delivery Procedures." In all cases, sufficient time should be allowed to assure timely delivery. No Notice of Guaranteed Delivery should be sent to the Company.</w:t>
      </w:r>
    </w:p>
    <w:p>
      <w:pPr>
        <w:spacing w:after="0" w:line="350" w:lineRule="exact"/>
        <w:rPr>
          <w:rFonts w:ascii="Courier New" w:cs="Courier New" w:eastAsia="Courier New" w:hAnsi="Courier New"/>
          <w:sz w:val="15"/>
          <w:szCs w:val="15"/>
          <w:color w:val="auto"/>
        </w:rPr>
      </w:pPr>
    </w:p>
    <w:p>
      <w:pPr>
        <w:ind w:left="-269" w:right="2979" w:firstLine="269"/>
        <w:spacing w:after="0" w:line="248" w:lineRule="auto"/>
        <w:tabs>
          <w:tab w:leader="none" w:pos="28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on this Notice of Guaranteed Delivery; Guarantee of Signatures. If this Notice of Guaranteed Delivery is signed by the Holder(s) referred to herein, then the signature must correspond with the name(s) as written on the face of the Original Notes without alteration, enlargement or any change whatsoever. If this Notice of Guaranteed Delivery is signed by a person other than the Holder(s) listed, this Notice of Guaranteed Delivery must be accompanied by a properly completed bond power signed as the name of the Holder(s) appear(s) on the face of the Original Notes without alteration, enlargement or any change whatsoever. If this Notice of Guaranteed Delivery is signed by a trustee, executor, administrator, guardian, attorney-in-fact, officer of a corporation or other person acting in a fiduciary or representative capacity, such person should so indicate when signing, and, unless waived by the Company, evidence satisfactory to the Company of their authority so to act must be submitted with this Notice of Guaranteed Delivery.</w:t>
      </w:r>
    </w:p>
    <w:p>
      <w:pPr>
        <w:spacing w:after="0" w:line="184" w:lineRule="exact"/>
        <w:rPr>
          <w:rFonts w:ascii="Courier New" w:cs="Courier New" w:eastAsia="Courier New" w:hAnsi="Courier New"/>
          <w:sz w:val="15"/>
          <w:szCs w:val="15"/>
          <w:color w:val="auto"/>
        </w:rPr>
      </w:pPr>
    </w:p>
    <w:p>
      <w:pPr>
        <w:ind w:left="-269" w:right="3079" w:firstLine="269"/>
        <w:spacing w:after="0" w:line="249" w:lineRule="auto"/>
        <w:tabs>
          <w:tab w:leader="none" w:pos="28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Assistance or Additional Copies. Questions relating to the Exchange Offer or the procedure for consenting and tendering as well as requests for assistance or for additional copies of the Prospectus, the Letter of Transmittal and this Notice of Guaranteed Delivery, may be directed to the Exchange Agent at the address set forth on the cover hereof or to your broker, dealer, commercial bank or trust company.</w:t>
      </w:r>
    </w:p>
    <w:p>
      <w:pPr>
        <w:spacing w:after="0" w:line="176" w:lineRule="exact"/>
        <w:rPr>
          <w:sz w:val="20"/>
          <w:szCs w:val="20"/>
          <w:color w:val="auto"/>
        </w:rPr>
      </w:pPr>
    </w:p>
    <w:p>
      <w:pPr>
        <w:ind w:left="3211"/>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0"/>
          </w:cols>
          <w:pgMar w:left="509" w:top="646" w:right="1440" w:bottom="1440" w:gutter="0" w:footer="0" w:header="0"/>
        </w:sectPr>
      </w:pPr>
    </w:p>
    <w:bookmarkStart w:id="114" w:name="page115"/>
    <w:bookmarkEnd w:id="114"/>
    <w:p>
      <w:pPr>
        <w:ind w:left="6140"/>
        <w:spacing w:after="0"/>
        <w:rPr>
          <w:sz w:val="20"/>
          <w:szCs w:val="20"/>
          <w:color w:val="auto"/>
        </w:rPr>
      </w:pPr>
      <w:r>
        <w:rPr>
          <w:rFonts w:ascii="Courier New" w:cs="Courier New" w:eastAsia="Courier New" w:hAnsi="Courier New"/>
          <w:sz w:val="15"/>
          <w:szCs w:val="15"/>
          <w:color w:val="auto"/>
        </w:rPr>
        <w:t>Exhibit 99.3</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LETTER TO DTC PARTICIPANTS REGARDING THE OFFER TO EXCHANGE</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ANY AND ALL OUTSTANDING</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A SENIOR SUBORDINATED NOTES DUE 2013</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FOR</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B SENIOR SUBORDINATED NOTES DUE 2013</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ind w:left="1560"/>
        <w:spacing w:after="0"/>
        <w:tabs>
          <w:tab w:leader="none" w:pos="5020" w:val="left"/>
        </w:tabs>
        <w:rPr>
          <w:sz w:val="20"/>
          <w:szCs w:val="20"/>
          <w:color w:val="auto"/>
        </w:rPr>
      </w:pPr>
      <w:r>
        <w:rPr>
          <w:rFonts w:ascii="Courier New" w:cs="Courier New" w:eastAsia="Courier New" w:hAnsi="Courier New"/>
          <w:sz w:val="15"/>
          <w:szCs w:val="15"/>
          <w:color w:val="auto"/>
        </w:rPr>
        <w:t>PURSUANT TO THE PROSPECTUS DATED</w:t>
      </w:r>
      <w:r>
        <w:rPr>
          <w:sz w:val="20"/>
          <w:szCs w:val="20"/>
          <w:color w:val="auto"/>
        </w:rPr>
        <w:tab/>
      </w:r>
      <w:r>
        <w:rPr>
          <w:rFonts w:ascii="Courier New" w:cs="Courier New" w:eastAsia="Courier New" w:hAnsi="Courier New"/>
          <w:sz w:val="14"/>
          <w:szCs w:val="14"/>
          <w:color w:val="auto"/>
        </w:rPr>
        <w:t>, 2004</w:t>
      </w:r>
    </w:p>
    <w:p>
      <w:pPr>
        <w:spacing w:after="0" w:line="182"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THE EXCHANGE OFFER WILL EXPIRE AT 5:00 P.M., NEW YORK CITY TIME, ON , 2004, UNLESS EXTENDED (SUCH TIME AND DATE, AS THE SAME MAY BE EXTENDED FROM TIME TO TIME, THE "EXPIRATION DATE"). TENDERS MAY BE WITHDRAWN AT ANY TIME PRIOR THE EXPIRATION DATE.</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 2004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Securities Dealers, Commercial Banks Trust Companies and Other Nominees:</w:t>
      </w:r>
    </w:p>
    <w:p>
      <w:pPr>
        <w:spacing w:after="0" w:line="182" w:lineRule="exact"/>
        <w:rPr>
          <w:sz w:val="20"/>
          <w:szCs w:val="20"/>
          <w:color w:val="auto"/>
        </w:rPr>
      </w:pPr>
    </w:p>
    <w:p>
      <w:pPr>
        <w:ind w:left="260"/>
        <w:spacing w:after="0"/>
        <w:tabs>
          <w:tab w:leader="none" w:pos="5660" w:val="left"/>
        </w:tabs>
        <w:rPr>
          <w:sz w:val="20"/>
          <w:szCs w:val="20"/>
          <w:color w:val="auto"/>
        </w:rPr>
      </w:pPr>
      <w:r>
        <w:rPr>
          <w:rFonts w:ascii="Courier New" w:cs="Courier New" w:eastAsia="Courier New" w:hAnsi="Courier New"/>
          <w:sz w:val="15"/>
          <w:szCs w:val="15"/>
          <w:color w:val="auto"/>
        </w:rPr>
        <w:t>Enclosed for your consideration is a Prospectus dated</w:t>
      </w:r>
      <w:r>
        <w:rPr>
          <w:sz w:val="20"/>
          <w:szCs w:val="20"/>
          <w:color w:val="auto"/>
        </w:rPr>
        <w:tab/>
      </w:r>
      <w:r>
        <w:rPr>
          <w:rFonts w:ascii="Courier New" w:cs="Courier New" w:eastAsia="Courier New" w:hAnsi="Courier New"/>
          <w:sz w:val="15"/>
          <w:szCs w:val="15"/>
          <w:color w:val="auto"/>
        </w:rPr>
        <w:t>, 2004 (the</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"Prospectus") and a Letter of Transmittal (the "Letter of Transmittal") that together constitute the offer (the "Exchange Offer") by The Scotts Company, an Ohio corporation (the "Company"), to exchange up to $200,000,000 in principal amount of its 6.625% Series B Senior Subordinated Notes due 2013 (the "Exchange Notes"), which have been registered under the Securities Act of 1933, as amended (the "Securities Act"), for any and all outstanding 6.625% Series A Senior Subordinated Notes due 2013 (the "Original Notes"), upon the terms and conditions set forth in the Prospectus. The Prospectus and Letter of Transmittal more fully describe the Exchange Offer. Capitalized terms used but not defined herein have the meanings given to them in the Prospectus.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are asking you to contact your clients for whom you hold Original Notes registered in your name or in the name of your nominee. In addition, we ask you to contact your clients who, to your knowledge, hold Original Notes registered in their own name.</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Enclosed are copies of the following documents:</w:t>
      </w:r>
    </w:p>
    <w:p>
      <w:pPr>
        <w:spacing w:after="0" w:line="182" w:lineRule="exact"/>
        <w:rPr>
          <w:sz w:val="20"/>
          <w:szCs w:val="20"/>
          <w:color w:val="auto"/>
        </w:rPr>
      </w:pPr>
    </w:p>
    <w:p>
      <w:pPr>
        <w:ind w:left="820" w:hanging="276"/>
        <w:spacing w:after="0"/>
        <w:tabs>
          <w:tab w:leader="none" w:pos="8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w:t>
      </w:r>
    </w:p>
    <w:p>
      <w:pPr>
        <w:spacing w:after="0" w:line="182" w:lineRule="exact"/>
        <w:rPr>
          <w:rFonts w:ascii="Courier New" w:cs="Courier New" w:eastAsia="Courier New" w:hAnsi="Courier New"/>
          <w:sz w:val="15"/>
          <w:szCs w:val="15"/>
          <w:color w:val="auto"/>
        </w:rPr>
      </w:pPr>
    </w:p>
    <w:p>
      <w:pPr>
        <w:ind w:left="260" w:right="3179" w:firstLine="284"/>
        <w:spacing w:after="0" w:line="250" w:lineRule="auto"/>
        <w:tabs>
          <w:tab w:leader="none" w:pos="81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for your use in connection with the tender of Original Notes and for the information of your clients;</w:t>
      </w:r>
    </w:p>
    <w:p>
      <w:pPr>
        <w:spacing w:after="0" w:line="174" w:lineRule="exact"/>
        <w:rPr>
          <w:rFonts w:ascii="Courier New" w:cs="Courier New" w:eastAsia="Courier New" w:hAnsi="Courier New"/>
          <w:sz w:val="15"/>
          <w:szCs w:val="15"/>
          <w:color w:val="auto"/>
        </w:rPr>
      </w:pPr>
    </w:p>
    <w:p>
      <w:pPr>
        <w:ind w:left="260" w:right="3259" w:firstLine="284"/>
        <w:spacing w:after="0" w:line="249" w:lineRule="auto"/>
        <w:tabs>
          <w:tab w:leader="none" w:pos="81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Guaranteed Delivery to be used to accept the Exchange Offer if the Original Notes and all other required documents cannot be delivered to the Exchange Agent prior to the Expiration Date;</w:t>
      </w:r>
    </w:p>
    <w:p>
      <w:pPr>
        <w:spacing w:after="0" w:line="175" w:lineRule="exact"/>
        <w:rPr>
          <w:rFonts w:ascii="Courier New" w:cs="Courier New" w:eastAsia="Courier New" w:hAnsi="Courier New"/>
          <w:sz w:val="15"/>
          <w:szCs w:val="15"/>
          <w:color w:val="auto"/>
        </w:rPr>
      </w:pPr>
    </w:p>
    <w:p>
      <w:pPr>
        <w:ind w:left="260" w:right="2979" w:firstLine="284"/>
        <w:spacing w:after="0" w:line="249" w:lineRule="auto"/>
        <w:tabs>
          <w:tab w:leader="none" w:pos="81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letter that may be sent to your clients for whose accounts you hold Original Notes registered in your name or the name of your nominee, with space provided for obtaining the clients' instructions with regard to the Exchange Offer; and</w:t>
      </w:r>
    </w:p>
    <w:p>
      <w:pPr>
        <w:spacing w:after="0" w:line="175" w:lineRule="exact"/>
        <w:rPr>
          <w:rFonts w:ascii="Courier New" w:cs="Courier New" w:eastAsia="Courier New" w:hAnsi="Courier New"/>
          <w:sz w:val="15"/>
          <w:szCs w:val="15"/>
          <w:color w:val="auto"/>
        </w:rPr>
      </w:pPr>
    </w:p>
    <w:p>
      <w:pPr>
        <w:ind w:left="260" w:right="3439" w:firstLine="284"/>
        <w:spacing w:after="0" w:line="250" w:lineRule="auto"/>
        <w:tabs>
          <w:tab w:leader="none" w:pos="81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for Certification of Taxpayer Identification Number on Substitute Form W-9.</w:t>
      </w:r>
    </w:p>
    <w:p>
      <w:pPr>
        <w:spacing w:after="0" w:line="175"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DTC participants will be able to execute tenders through the DTC Automated Tender Offer Program.</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PLEASE NOTE THAT THE EXCHANGE OFFER WILL EXPIRE AT 5:00 P.M., NEW YORK CITY</w:t>
      </w:r>
    </w:p>
    <w:p>
      <w:pPr>
        <w:spacing w:after="0" w:line="6"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TIME, ON , 2004, UNLESS EXTENDED BY THE COMPANY. WE URGE YOU TO CONTACT YOUR CLIENTS AS PROMPTLY AS POSSIBLE.</w:t>
      </w:r>
    </w:p>
    <w:p>
      <w:pPr>
        <w:sectPr>
          <w:pgSz w:w="11900" w:h="16838" w:orient="portrait"/>
          <w:cols w:equalWidth="0" w:num="1">
            <w:col w:w="10219"/>
          </w:cols>
          <w:pgMar w:left="240" w:top="494" w:right="1440" w:bottom="1440" w:gutter="0" w:footer="0" w:header="0"/>
        </w:sectPr>
      </w:pPr>
    </w:p>
    <w:bookmarkStart w:id="115" w:name="page116"/>
    <w:bookmarkEnd w:id="115"/>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You will be reimbursed by the Company for customary mailing and handling expenses incurred by you in forwarding any of the enclosed materials to your clients. Additional copies of the enclosed material may be obtained form the Exchange Agent, at the address and telephone numbers set forth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U.S. Bank National Association</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U.S. Bank West Side Flats Operations Center</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60 Livingston Ave.</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St. Paul, MN 55107</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Attention: Specialized Finance</w:t>
      </w:r>
    </w:p>
    <w:p>
      <w:pPr>
        <w:spacing w:after="0" w:line="6" w:lineRule="exact"/>
        <w:rPr>
          <w:sz w:val="20"/>
          <w:szCs w:val="20"/>
          <w:color w:val="auto"/>
        </w:rPr>
      </w:pPr>
    </w:p>
    <w:p>
      <w:pPr>
        <w:ind w:left="3480" w:hanging="554"/>
        <w:spacing w:after="0"/>
        <w:tabs>
          <w:tab w:leader="none" w:pos="34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934-6802</w:t>
      </w:r>
    </w:p>
    <w:p>
      <w:pPr>
        <w:spacing w:after="0" w:line="182" w:lineRule="exact"/>
        <w:rPr>
          <w:rFonts w:ascii="Courier New" w:cs="Courier New" w:eastAsia="Courier New" w:hAnsi="Courier New"/>
          <w:sz w:val="15"/>
          <w:szCs w:val="15"/>
          <w:color w:val="auto"/>
        </w:rPr>
      </w:pPr>
    </w:p>
    <w:p>
      <w:pPr>
        <w:ind w:left="2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NOTHING HEREIN OR IN THE ENCLOSED DOCUMENTS SHALL CONSTITUTE YOU OR ANY PERSON AS AN AGENT OF THE COMPANY OR THE EXCHANGE AGENT, OR AUTHORIZE YOU OR ANY OTHER PERSON TO MAKE ANY STATEMENTS ON BEHALF OF EITHER OF THEM WITH RESPECT TO THE EXCHANGE OFFER, EXCEPT FOR STATEMENTS EXPRESSLY MADE IN THE PROSPECTUS AND THE LETTER OF TRANSMITTAL.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7" w:right="1440" w:bottom="1440" w:gutter="0" w:footer="0" w:header="0"/>
        </w:sectPr>
      </w:pPr>
    </w:p>
    <w:bookmarkStart w:id="116" w:name="page117"/>
    <w:bookmarkEnd w:id="116"/>
    <w:p>
      <w:pPr>
        <w:jc w:val="right"/>
        <w:ind w:right="2979"/>
        <w:spacing w:after="0"/>
        <w:rPr>
          <w:sz w:val="20"/>
          <w:szCs w:val="20"/>
          <w:color w:val="auto"/>
        </w:rPr>
      </w:pPr>
      <w:r>
        <w:rPr>
          <w:rFonts w:ascii="Courier New" w:cs="Courier New" w:eastAsia="Courier New" w:hAnsi="Courier New"/>
          <w:sz w:val="15"/>
          <w:szCs w:val="15"/>
          <w:color w:val="auto"/>
        </w:rPr>
        <w:t>Exhibit 99.4</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LETTER TO BENEFICIAL HOLDERS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REGARDING THE OFFER TO EXCHANGE</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ANY AND ALL OUTSTANDING</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6.625% SERIES A SENIOR SUBORDINATED NOTES DUE 2013 FOR</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6.625% SERIES B SENIOR SUBORDINATED NOTES DUE 2013</w:t>
      </w:r>
    </w:p>
    <w:p>
      <w:pPr>
        <w:spacing w:after="0" w:line="6"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348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OF</w:t>
            </w:r>
          </w:p>
        </w:tc>
        <w:tc>
          <w:tcPr>
            <w:tcW w:w="820" w:type="dxa"/>
            <w:vAlign w:val="bottom"/>
          </w:tcPr>
          <w:p>
            <w:pPr>
              <w:spacing w:after="0"/>
              <w:rPr>
                <w:sz w:val="14"/>
                <w:szCs w:val="14"/>
                <w:color w:val="auto"/>
              </w:rPr>
            </w:pPr>
          </w:p>
        </w:tc>
      </w:tr>
      <w:tr>
        <w:trPr>
          <w:trHeight w:val="176"/>
        </w:trPr>
        <w:tc>
          <w:tcPr>
            <w:tcW w:w="3480" w:type="dxa"/>
            <w:vAlign w:val="bottom"/>
          </w:tcPr>
          <w:p>
            <w:pPr>
              <w:jc w:val="center"/>
              <w:ind w:left="664"/>
              <w:spacing w:after="0"/>
              <w:rPr>
                <w:sz w:val="20"/>
                <w:szCs w:val="20"/>
                <w:color w:val="auto"/>
              </w:rPr>
            </w:pPr>
            <w:r>
              <w:rPr>
                <w:rFonts w:ascii="Courier New" w:cs="Courier New" w:eastAsia="Courier New" w:hAnsi="Courier New"/>
                <w:sz w:val="15"/>
                <w:szCs w:val="15"/>
                <w:color w:val="auto"/>
              </w:rPr>
              <w:t>THE SCOTTS COMPANY</w:t>
            </w:r>
          </w:p>
        </w:tc>
        <w:tc>
          <w:tcPr>
            <w:tcW w:w="82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PURSUANT TO THE PROSPECTUS DATED,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 WILL EXPIRE AT 5:00 P.M., NEW YORK CITY TIME, ON,</w:t>
      </w:r>
    </w:p>
    <w:p>
      <w:pPr>
        <w:spacing w:after="0" w:line="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2003, UNLESS EXTENDED (SUCH TIME AND DATE, AS THE SAME MAY BE EXTENDED FROM TIME TO TIME, THE "EXPIRATION DATE"). TENDERS MAY BE WITHDRAWN AT ANY TIME PRIOR THE EXPIRATION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2004</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To Our Clients:</w:t>
            </w:r>
          </w:p>
        </w:tc>
        <w:tc>
          <w:tcPr>
            <w:tcW w:w="1560" w:type="dxa"/>
            <w:vAlign w:val="bottom"/>
          </w:tcPr>
          <w:p>
            <w:pPr>
              <w:spacing w:after="0"/>
              <w:rPr>
                <w:sz w:val="24"/>
                <w:szCs w:val="24"/>
                <w:color w:val="auto"/>
              </w:rPr>
            </w:pPr>
          </w:p>
        </w:tc>
      </w:tr>
      <w:tr>
        <w:trPr>
          <w:trHeight w:val="352"/>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Enclosed for your consideration is a Prospectus dated,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 (the</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"Prospectus") and a Letter of Transmittal (the "Letter of Transmittal") that together constitute the offer (the "Exchange Offer") by The Scotts Company, an Ohio corporation (the "Company"), to exchange up to $200,000,000 in principal amount of its 6.625% Series B Senior Subordinated Notes due 2013 (the "Exchange Notes"), which have been registered under the Securities Act of 1933, as amended (the "Securities Act"), for any and all outstanding 6.625% Series A Senior Subordinated Notes due 2013 (the "Original Notes"), upon the terms and conditions set forth in the Prospectus. The Prospectus and Letter of Transmittal more fully describe the Exchange Offer. Capitalized terms used but not defined herein have the meanings given to them in the Prospectus.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These materials are being forwarded to you as the beneficial owner of Original Notes carried by us for your account or benefit but not registered in your name. A tender of any Original Notes may be made only by us as the registered holder and pursuant to your instructions. Therefore, the Company urges beneficial owners of Original Notes registered in the name of a broker, dealer, commercial bank, trust company or other nominee to contact such registered holder promptly if they wish to tender Original Notes in the Exchange Offer.</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Accordingly, we request instructions as to whether you wish us to tender any or all of your Original Notes, pursuant to the terms and conditions set forth in the Prospectus and Letter of Transmittal. We urge you to read carefully the Prospectus and Letter of Transmittal before instructing us to tender your Original Notes.</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Your instructions to us should be forwarded as promptly as possible in order to permit us to tender Original Notes on your behalf in accordance with the provisions of the Exchange Offer. THE EXCHANGE OFFER WILL EXPIRE AT 5:00 P.M.,</w:t>
      </w:r>
    </w:p>
    <w:p>
      <w:pPr>
        <w:spacing w:after="0" w:line="2"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NEW YORK CITY TIME, ON , 2004. Original Notes tendered pursuant to the Exchange Offer may be withdrawn, subject to the procedures described in the Prospectus, at any time prior to the Expiration Date.</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If you wish to have us tender any or all of your Original Notes held by us for your account or benefit, please so instruct us by completing, executing and returning to us the instruction form that appears below. The accompanying Letter of Transmittal is furnished to you for informational purposes only and may not be used by you to tender Original Notes held by us and registered in our name for your account or benefit.</w:t>
      </w:r>
    </w:p>
    <w:p>
      <w:pPr>
        <w:sectPr>
          <w:pgSz w:w="11900" w:h="16838" w:orient="portrait"/>
          <w:cols w:equalWidth="0" w:num="1">
            <w:col w:w="10219"/>
          </w:cols>
          <w:pgMar w:left="240" w:top="494" w:right="1440" w:bottom="1440" w:gutter="0" w:footer="0" w:header="0"/>
        </w:sectPr>
      </w:pPr>
    </w:p>
    <w:bookmarkStart w:id="117" w:name="page118"/>
    <w:bookmarkEnd w:id="117"/>
    <w:p>
      <w:pPr>
        <w:jc w:val="center"/>
        <w:ind w:right="3073"/>
        <w:spacing w:after="0"/>
        <w:rPr>
          <w:sz w:val="20"/>
          <w:szCs w:val="20"/>
          <w:color w:val="auto"/>
        </w:rPr>
      </w:pPr>
      <w:r>
        <w:rPr>
          <w:rFonts w:ascii="Courier New" w:cs="Courier New" w:eastAsia="Courier New" w:hAnsi="Courier New"/>
          <w:sz w:val="15"/>
          <w:szCs w:val="15"/>
          <w:color w:val="auto"/>
        </w:rPr>
        <w:t>INSTRUCTION TO REGISTERED HOLDER</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FROM BENEFICIAL OWNER</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OF</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6.625% SERIES A SENIOR SUBORDINATED NOTES DUE 2013</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OF THE SCOTTS COMPANY</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undersigned acknowledge(s) receipt of your letter and the enclosed materials referred to therein relating to the Exchange Offer of the Company. Capitalized terms used but not defined herein have the meanings ascribed to them in the Prospectus. This will instruct you to tender the principal amount of Original Notes indicated below held by you for the account or benefit of the undersigned, pursuant to the terms of and conditions set forth in the Prospectus and the Letter of Transmittal.</w:t>
      </w:r>
    </w:p>
    <w:p>
      <w:pPr>
        <w:spacing w:after="0" w:line="175" w:lineRule="exact"/>
        <w:rPr>
          <w:sz w:val="20"/>
          <w:szCs w:val="20"/>
          <w:color w:val="auto"/>
        </w:rPr>
      </w:pPr>
    </w:p>
    <w:p>
      <w:pPr>
        <w:ind w:left="6" w:right="3079" w:firstLine="275"/>
        <w:spacing w:after="0" w:line="250" w:lineRule="auto"/>
        <w:rPr>
          <w:sz w:val="20"/>
          <w:szCs w:val="20"/>
          <w:color w:val="auto"/>
        </w:rPr>
      </w:pPr>
      <w:r>
        <w:rPr>
          <w:rFonts w:ascii="Courier New" w:cs="Courier New" w:eastAsia="Courier New" w:hAnsi="Courier New"/>
          <w:sz w:val="15"/>
          <w:szCs w:val="15"/>
          <w:color w:val="auto"/>
        </w:rPr>
        <w:t>The aggregate face amount of the Original Notes held by you for the account of the undersigned is (fill in amount): $ ________________ .</w:t>
      </w:r>
    </w:p>
    <w:p>
      <w:pPr>
        <w:spacing w:after="0" w:line="175" w:lineRule="exact"/>
        <w:rPr>
          <w:sz w:val="20"/>
          <w:szCs w:val="20"/>
          <w:color w:val="auto"/>
        </w:rPr>
      </w:pPr>
    </w:p>
    <w:p>
      <w:pPr>
        <w:ind w:left="6" w:right="3359" w:firstLine="275"/>
        <w:spacing w:after="0" w:line="250" w:lineRule="auto"/>
        <w:rPr>
          <w:sz w:val="20"/>
          <w:szCs w:val="20"/>
          <w:color w:val="auto"/>
        </w:rPr>
      </w:pPr>
      <w:r>
        <w:rPr>
          <w:rFonts w:ascii="Courier New" w:cs="Courier New" w:eastAsia="Courier New" w:hAnsi="Courier New"/>
          <w:sz w:val="15"/>
          <w:szCs w:val="15"/>
          <w:color w:val="auto"/>
        </w:rPr>
        <w:t>With respect to the Exchange Offer, the undersigned hereby instructs you (check appropriate box):</w:t>
      </w:r>
    </w:p>
    <w:p>
      <w:pPr>
        <w:spacing w:after="0" w:line="175" w:lineRule="exact"/>
        <w:rPr>
          <w:sz w:val="20"/>
          <w:szCs w:val="20"/>
          <w:color w:val="auto"/>
        </w:rPr>
      </w:pPr>
    </w:p>
    <w:p>
      <w:pPr>
        <w:jc w:val="both"/>
        <w:ind w:left="266" w:right="3259" w:hanging="274"/>
        <w:spacing w:after="0" w:line="249" w:lineRule="auto"/>
        <w:rPr>
          <w:sz w:val="20"/>
          <w:szCs w:val="20"/>
          <w:color w:val="auto"/>
        </w:rPr>
      </w:pPr>
      <w:r>
        <w:rPr>
          <w:rFonts w:ascii="Courier New" w:cs="Courier New" w:eastAsia="Courier New" w:hAnsi="Courier New"/>
          <w:sz w:val="15"/>
          <w:szCs w:val="15"/>
          <w:color w:val="auto"/>
        </w:rPr>
        <w:t>[_]To TENDER the following Original Notes held by you for the account of the undersigned (insert principal amount of Original Notes to be tendered, if any): $ ________________ .</w:t>
      </w:r>
    </w:p>
    <w:p>
      <w:pPr>
        <w:spacing w:after="0" w:line="176" w:lineRule="exact"/>
        <w:rPr>
          <w:sz w:val="20"/>
          <w:szCs w:val="20"/>
          <w:color w:val="auto"/>
        </w:rPr>
      </w:pPr>
    </w:p>
    <w:p>
      <w:pPr>
        <w:ind w:left="266" w:right="3819" w:hanging="274"/>
        <w:spacing w:after="0" w:line="250" w:lineRule="auto"/>
        <w:rPr>
          <w:sz w:val="20"/>
          <w:szCs w:val="20"/>
          <w:color w:val="auto"/>
        </w:rPr>
      </w:pPr>
      <w:r>
        <w:rPr>
          <w:rFonts w:ascii="Courier New" w:cs="Courier New" w:eastAsia="Courier New" w:hAnsi="Courier New"/>
          <w:sz w:val="15"/>
          <w:szCs w:val="15"/>
          <w:color w:val="auto"/>
        </w:rPr>
        <w:t>[_]NOT to TENDER any Original Notes held by you for the account of the undersigned.</w:t>
      </w:r>
    </w:p>
    <w:p>
      <w:pPr>
        <w:spacing w:after="0" w:line="175" w:lineRule="exact"/>
        <w:rPr>
          <w:sz w:val="20"/>
          <w:szCs w:val="20"/>
          <w:color w:val="auto"/>
        </w:rPr>
      </w:pPr>
    </w:p>
    <w:p>
      <w:pPr>
        <w:ind w:left="6" w:right="3259" w:firstLine="275"/>
        <w:spacing w:after="0" w:line="248" w:lineRule="auto"/>
        <w:rPr>
          <w:sz w:val="20"/>
          <w:szCs w:val="20"/>
          <w:color w:val="auto"/>
        </w:rPr>
      </w:pPr>
      <w:r>
        <w:rPr>
          <w:rFonts w:ascii="Courier New" w:cs="Courier New" w:eastAsia="Courier New" w:hAnsi="Courier New"/>
          <w:sz w:val="15"/>
          <w:szCs w:val="15"/>
          <w:color w:val="auto"/>
        </w:rPr>
        <w:t>If the undersigned instructs you to tender the Original Notes held by you for the account of the undersigned, it is understood that you are authorized</w:t>
      </w:r>
    </w:p>
    <w:p>
      <w:pPr>
        <w:spacing w:after="0" w:line="1" w:lineRule="exact"/>
        <w:rPr>
          <w:sz w:val="20"/>
          <w:szCs w:val="20"/>
          <w:color w:val="auto"/>
        </w:rPr>
      </w:pPr>
    </w:p>
    <w:p>
      <w:pPr>
        <w:ind w:left="6" w:right="3079" w:hanging="6"/>
        <w:spacing w:after="0" w:line="248" w:lineRule="auto"/>
        <w:tabs>
          <w:tab w:leader="none" w:pos="37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on behalf of the undersigned (and the undersigned, by its signature below, hereby makes to you), the representations and warranties contained in the Letter of Transmittal that are to be made with respect to the undersigned as a beneficial owner of the Original Notes, including but not</w:t>
      </w:r>
    </w:p>
    <w:p>
      <w:pPr>
        <w:spacing w:after="0" w:line="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to the representations that (i) the undersigned's principal residence</w:t>
      </w:r>
    </w:p>
    <w:p>
      <w:pPr>
        <w:spacing w:after="0" w:line="179" w:lineRule="exact"/>
        <w:rPr>
          <w:sz w:val="20"/>
          <w:szCs w:val="20"/>
          <w:color w:val="auto"/>
        </w:rPr>
      </w:pPr>
    </w:p>
    <w:p>
      <w:pPr>
        <w:ind w:left="6" w:right="3619"/>
        <w:spacing w:after="0" w:line="248" w:lineRule="auto"/>
        <w:rPr>
          <w:sz w:val="20"/>
          <w:szCs w:val="20"/>
          <w:color w:val="auto"/>
        </w:rPr>
      </w:pPr>
      <w:r>
        <w:rPr>
          <w:rFonts w:ascii="Courier New" w:cs="Courier New" w:eastAsia="Courier New" w:hAnsi="Courier New"/>
          <w:sz w:val="15"/>
          <w:szCs w:val="15"/>
          <w:color w:val="auto"/>
        </w:rPr>
        <w:t>is in the state of (fill in state) , (ii) the undersigned is acquiring the Exchange Notes in the ordinary course of business of the</w:t>
      </w:r>
    </w:p>
    <w:p>
      <w:pPr>
        <w:spacing w:after="0" w:line="1"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undersigned, (iii) the undersigned has no arrangement or understanding with any person to participate in the distribution of Exchange Notes, (iv) the undersigned acknowledges that any person who is a broker-dealer registered under the Exchange Act or is participating in the Exchange Offer for the purpose of distributing the Exchange Notes must comply with the registration and prospectus delivery requirements of Section 10 of the Securities Act in connection with a secondary resale transaction of the Exchange Notes acquired by such person and cannot rely on the position of the Staff of the Securities and Exchange Commission set forth in certain no action letters (See the section of the Prospectus entitled "The Exchange Offer -- Resale of the Exchange Notes"), (v) the undersigned understands that a secondary resale transaction described in clause (iv) above and any resales of Exchange Notes obtained by the undersigned in exchange for the Original Notes acquired by the undersigned directly from the Company should be covered by an effective registration statement containing the selling securityholder information required by Item</w:t>
      </w:r>
    </w:p>
    <w:p>
      <w:pPr>
        <w:spacing w:after="0" w:line="9"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507 or Item 508, if applicable, of Regulation S-K of the Commission, (vi) the undersigned is not an "affiliate," as defined in Rule 405 under the Securities Act, of the Company, and (vii) if the undersigned is a broker-dealer that will receive Exchange Notes for its own account in exchange for Original Notes that were acquired as a result of market-making activities or other trading activities, it acknowledges that it will deliver a prospectus meeting the requirements of Section 10 of the Securities Act in connection with any resale of such Exchange Notes; however, by so acknowledging and by delivering such prospectus, the undersigned will not be deemed to admit that it is an "underwriter" within the meaning of the Securities Act; (b) to agree, on behalf of the undersigned, as set forth in the Letter of Transmittal; and (c) to take such other action as necessary under the Prospectus or the Letter of Transmittal to effect the valid tender of Original Notes.</w:t>
      </w:r>
    </w:p>
    <w:p>
      <w:pPr>
        <w:spacing w:after="0" w:line="184"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The purchaser status of the undersigned is (check the box that applies):</w:t>
      </w:r>
    </w:p>
    <w:p>
      <w:pPr>
        <w:spacing w:after="0" w:line="182" w:lineRule="exact"/>
        <w:rPr>
          <w:sz w:val="20"/>
          <w:szCs w:val="20"/>
          <w:color w:val="auto"/>
        </w:rPr>
      </w:pPr>
    </w:p>
    <w:p>
      <w:pPr>
        <w:ind w:left="260" w:right="3719" w:hanging="274"/>
        <w:spacing w:after="0" w:line="250" w:lineRule="auto"/>
        <w:rPr>
          <w:sz w:val="20"/>
          <w:szCs w:val="20"/>
          <w:color w:val="auto"/>
        </w:rPr>
      </w:pPr>
      <w:r>
        <w:rPr>
          <w:rFonts w:ascii="Courier New" w:cs="Courier New" w:eastAsia="Courier New" w:hAnsi="Courier New"/>
          <w:sz w:val="15"/>
          <w:szCs w:val="15"/>
          <w:color w:val="auto"/>
        </w:rPr>
        <w:t>[_]A "Qualified Institutional Buyer" (as defined in Rule 144A under the Securities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[_]An "Institutional Accredited Investor" (as defined in Rule 501(a)(1), (2),</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 or (7) under the Securities Act)</w:t>
      </w:r>
    </w:p>
    <w:p>
      <w:pPr>
        <w:spacing w:after="0" w:line="182" w:lineRule="exact"/>
        <w:rPr>
          <w:sz w:val="20"/>
          <w:szCs w:val="20"/>
          <w:color w:val="auto"/>
        </w:rPr>
      </w:pPr>
    </w:p>
    <w:p>
      <w:pPr>
        <w:jc w:val="both"/>
        <w:ind w:left="260" w:right="3259" w:hanging="274"/>
        <w:spacing w:after="0" w:line="249" w:lineRule="auto"/>
        <w:rPr>
          <w:sz w:val="20"/>
          <w:szCs w:val="20"/>
          <w:color w:val="auto"/>
        </w:rPr>
      </w:pPr>
      <w:r>
        <w:rPr>
          <w:rFonts w:ascii="Courier New" w:cs="Courier New" w:eastAsia="Courier New" w:hAnsi="Courier New"/>
          <w:sz w:val="15"/>
          <w:szCs w:val="15"/>
          <w:color w:val="auto"/>
        </w:rPr>
        <w:t>[_]A non "U.S. person" (as defined in Regulation S under the Securities Act) that purchased the Original Notes outside the United States in accordance with Rule 904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[_]Other (describe)</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SIGN HERE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Beneficial Owner(s): 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___________________________________________________________________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_______________________________________________________________________</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(Please Type or Print)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Principal place of business (if different from address listed above): 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Number(s).: __________________________________________________________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 or Social Security Number(s) ___________________________</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6" w:right="1440" w:bottom="1440" w:gutter="0" w:footer="0" w:header="0"/>
        </w:sectPr>
      </w:pPr>
    </w:p>
    <w:bookmarkStart w:id="119" w:name="page120"/>
    <w:bookmarkEnd w:id="119"/>
    <w:p>
      <w:pPr>
        <w:spacing w:after="0" w:line="58"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Exhibit 99.5</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NUMBER ON SUBSTITUTE FORM W-9</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Guidelines For Determining The Proper Identification Number for the Payee (You) to Give the Payer.--Social security numbers have nine digits separated by two hyphens: i.e., 000-00-0000. Employee Identification Numbers have nine digits separated by only one hyphen: i.e., 00-0000000. The table below will help determine the number to give the payer. All "Section" references are to the Internal Revenue Code of 1986, as amended. "IRS" is the Internal Revenue Service.</w:t>
      </w:r>
    </w:p>
    <w:p>
      <w:pPr>
        <w:spacing w:after="0" w:line="200" w:lineRule="exact"/>
        <w:rPr>
          <w:sz w:val="20"/>
          <w:szCs w:val="20"/>
          <w:color w:val="auto"/>
        </w:rPr>
      </w:pPr>
    </w:p>
    <w:p>
      <w:pPr>
        <w:spacing w:after="0" w:line="328"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5"/>
          <w:szCs w:val="15"/>
          <w:color w:val="auto"/>
        </w:rPr>
        <w:t>Give the social security number of--</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ectPr>
          <w:pgSz w:w="11900" w:h="16897" w:orient="portrait"/>
          <w:cols w:equalWidth="0" w:num="1">
            <w:col w:w="10225"/>
          </w:cols>
          <w:pgMar w:left="234" w:top="494" w:right="1440" w:bottom="0" w:gutter="0" w:footer="0" w:header="0"/>
        </w:sectPr>
      </w:pP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1.Individual</w:t>
      </w:r>
    </w:p>
    <w:p>
      <w:pPr>
        <w:spacing w:after="0" w:line="6" w:lineRule="exact"/>
        <w:rPr>
          <w:sz w:val="20"/>
          <w:szCs w:val="20"/>
          <w:color w:val="auto"/>
        </w:rPr>
      </w:pPr>
    </w:p>
    <w:p>
      <w:pPr>
        <w:ind w:left="266" w:right="460" w:hanging="182"/>
        <w:spacing w:after="0" w:line="250" w:lineRule="auto"/>
        <w:rPr>
          <w:sz w:val="20"/>
          <w:szCs w:val="20"/>
          <w:color w:val="auto"/>
        </w:rPr>
      </w:pPr>
      <w:r>
        <w:rPr>
          <w:rFonts w:ascii="Courier New" w:cs="Courier New" w:eastAsia="Courier New" w:hAnsi="Courier New"/>
          <w:sz w:val="15"/>
          <w:szCs w:val="15"/>
          <w:color w:val="auto"/>
        </w:rPr>
        <w:t>2.Two or more individuals (joint account)</w:t>
      </w:r>
    </w:p>
    <w:p>
      <w:pPr>
        <w:spacing w:after="0" w:line="175" w:lineRule="exact"/>
        <w:rPr>
          <w:sz w:val="20"/>
          <w:szCs w:val="20"/>
          <w:color w:val="auto"/>
        </w:rPr>
      </w:pPr>
    </w:p>
    <w:p>
      <w:pPr>
        <w:jc w:val="right"/>
        <w:ind w:left="86" w:right="640"/>
        <w:spacing w:after="0" w:line="248" w:lineRule="auto"/>
        <w:rPr>
          <w:sz w:val="20"/>
          <w:szCs w:val="20"/>
          <w:color w:val="auto"/>
        </w:rPr>
      </w:pPr>
      <w:r>
        <w:rPr>
          <w:rFonts w:ascii="Courier New" w:cs="Courier New" w:eastAsia="Courier New" w:hAnsi="Courier New"/>
          <w:sz w:val="15"/>
          <w:szCs w:val="15"/>
          <w:color w:val="auto"/>
        </w:rPr>
        <w:t>3.Custodian account of a minor (Uniform Gift to Minors Act)</w:t>
      </w:r>
    </w:p>
    <w:p>
      <w:pPr>
        <w:spacing w:after="0" w:line="1" w:lineRule="exact"/>
        <w:rPr>
          <w:sz w:val="20"/>
          <w:szCs w:val="20"/>
          <w:color w:val="auto"/>
        </w:rPr>
      </w:pPr>
    </w:p>
    <w:p>
      <w:pPr>
        <w:jc w:val="both"/>
        <w:ind w:left="546" w:right="180" w:hanging="454"/>
        <w:spacing w:after="0" w:line="248" w:lineRule="auto"/>
        <w:tabs>
          <w:tab w:leader="none" w:pos="54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usual revocable savings trust account (grantor is also trustee)</w:t>
      </w:r>
    </w:p>
    <w:p>
      <w:pPr>
        <w:spacing w:after="0" w:line="2" w:lineRule="exact"/>
        <w:rPr>
          <w:sz w:val="20"/>
          <w:szCs w:val="20"/>
          <w:color w:val="auto"/>
        </w:rPr>
      </w:pPr>
    </w:p>
    <w:p>
      <w:pPr>
        <w:jc w:val="both"/>
        <w:ind w:left="546" w:hanging="182"/>
        <w:spacing w:after="0" w:line="248" w:lineRule="auto"/>
        <w:rPr>
          <w:sz w:val="20"/>
          <w:szCs w:val="20"/>
          <w:color w:val="auto"/>
        </w:rPr>
      </w:pPr>
      <w:r>
        <w:rPr>
          <w:rFonts w:ascii="Courier New" w:cs="Courier New" w:eastAsia="Courier New" w:hAnsi="Courier New"/>
          <w:sz w:val="15"/>
          <w:szCs w:val="15"/>
          <w:color w:val="auto"/>
        </w:rPr>
        <w:t>b. So-called trust account that is not a legal or valid trust under state law</w:t>
      </w:r>
    </w:p>
    <w:p>
      <w:pPr>
        <w:spacing w:after="0" w:line="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5.Sole proprietorship</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Individual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actual owner of the account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combined funds, the first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on the account/1/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minor/2/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grantor-trustee /1/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actual owner/1/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owner/1/</w:t>
      </w:r>
    </w:p>
    <w:p>
      <w:pPr>
        <w:spacing w:after="0" w:line="182" w:lineRule="exact"/>
        <w:rPr>
          <w:sz w:val="20"/>
          <w:szCs w:val="20"/>
          <w:color w:val="auto"/>
        </w:rPr>
      </w:pPr>
    </w:p>
    <w:p>
      <w:pPr>
        <w:sectPr>
          <w:pgSz w:w="11900" w:h="16897" w:orient="portrait"/>
          <w:cols w:equalWidth="0" w:num="2">
            <w:col w:w="3486" w:space="460"/>
            <w:col w:w="6279"/>
          </w:cols>
          <w:pgMar w:left="234" w:top="494" w:right="1440" w:bottom="0"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5"/>
          <w:szCs w:val="15"/>
          <w:color w:val="auto"/>
        </w:rPr>
        <w:t>Give the employer identification</w:t>
      </w:r>
    </w:p>
    <w:p>
      <w:pPr>
        <w:spacing w:after="0" w:line="6" w:lineRule="exact"/>
        <w:rPr>
          <w:sz w:val="20"/>
          <w:szCs w:val="20"/>
          <w:color w:val="auto"/>
        </w:rPr>
      </w:pPr>
    </w:p>
    <w:p>
      <w:pPr>
        <w:ind w:left="3946"/>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6.Sole proprietorship</w:t>
      </w:r>
      <w:r>
        <w:rPr>
          <w:sz w:val="20"/>
          <w:szCs w:val="20"/>
          <w:color w:val="auto"/>
        </w:rPr>
        <w:tab/>
      </w:r>
      <w:r>
        <w:rPr>
          <w:rFonts w:ascii="Courier New" w:cs="Courier New" w:eastAsia="Courier New" w:hAnsi="Courier New"/>
          <w:sz w:val="15"/>
          <w:szCs w:val="15"/>
          <w:color w:val="auto"/>
        </w:rPr>
        <w:t>The owner/3/</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7.A valid trust, estate or pension</w:t>
      </w:r>
      <w:r>
        <w:rPr>
          <w:sz w:val="20"/>
          <w:szCs w:val="20"/>
          <w:color w:val="auto"/>
        </w:rPr>
        <w:tab/>
      </w:r>
      <w:r>
        <w:rPr>
          <w:rFonts w:ascii="Courier New" w:cs="Courier New" w:eastAsia="Courier New" w:hAnsi="Courier New"/>
          <w:sz w:val="15"/>
          <w:szCs w:val="15"/>
          <w:color w:val="auto"/>
        </w:rPr>
        <w:t>The legal entity/4/</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trust</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8.Corporate</w:t>
      </w:r>
      <w:r>
        <w:rPr>
          <w:sz w:val="20"/>
          <w:szCs w:val="20"/>
          <w:color w:val="auto"/>
        </w:rPr>
        <w:tab/>
      </w:r>
      <w:r>
        <w:rPr>
          <w:rFonts w:ascii="Courier New" w:cs="Courier New" w:eastAsia="Courier New" w:hAnsi="Courier New"/>
          <w:sz w:val="15"/>
          <w:szCs w:val="15"/>
          <w:color w:val="auto"/>
        </w:rPr>
        <w:t>The corporation</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9.Association, club, religious,</w:t>
      </w:r>
      <w:r>
        <w:rPr>
          <w:sz w:val="20"/>
          <w:szCs w:val="20"/>
          <w:color w:val="auto"/>
        </w:rPr>
        <w:tab/>
      </w:r>
      <w:r>
        <w:rPr>
          <w:rFonts w:ascii="Courier New" w:cs="Courier New" w:eastAsia="Courier New" w:hAnsi="Courier New"/>
          <w:sz w:val="15"/>
          <w:szCs w:val="15"/>
          <w:color w:val="auto"/>
        </w:rPr>
        <w:t>The organization</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charitable, educational, or other</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tax-exempt organization</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10.Partnership</w:t>
      </w:r>
      <w:r>
        <w:rPr>
          <w:sz w:val="20"/>
          <w:szCs w:val="20"/>
          <w:color w:val="auto"/>
        </w:rPr>
        <w:tab/>
      </w:r>
      <w:r>
        <w:rPr>
          <w:rFonts w:ascii="Courier New" w:cs="Courier New" w:eastAsia="Courier New" w:hAnsi="Courier New"/>
          <w:sz w:val="15"/>
          <w:szCs w:val="15"/>
          <w:color w:val="auto"/>
        </w:rPr>
        <w:t>The partnership</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11.A broker or registered nominee</w:t>
      </w:r>
      <w:r>
        <w:rPr>
          <w:sz w:val="20"/>
          <w:szCs w:val="20"/>
          <w:color w:val="auto"/>
        </w:rPr>
        <w:tab/>
      </w:r>
      <w:r>
        <w:rPr>
          <w:rFonts w:ascii="Courier New" w:cs="Courier New" w:eastAsia="Courier New" w:hAnsi="Courier New"/>
          <w:sz w:val="15"/>
          <w:szCs w:val="15"/>
          <w:color w:val="auto"/>
        </w:rPr>
        <w:t>The broker or nominee</w:t>
      </w:r>
    </w:p>
    <w:p>
      <w:pPr>
        <w:spacing w:after="0" w:line="6" w:lineRule="exact"/>
        <w:rPr>
          <w:sz w:val="20"/>
          <w:szCs w:val="20"/>
          <w:color w:val="auto"/>
        </w:rPr>
      </w:pPr>
    </w:p>
    <w:p>
      <w:pPr>
        <w:ind w:left="86"/>
        <w:spacing w:after="0"/>
        <w:tabs>
          <w:tab w:leader="none" w:pos="3926" w:val="left"/>
        </w:tabs>
        <w:rPr>
          <w:sz w:val="20"/>
          <w:szCs w:val="20"/>
          <w:color w:val="auto"/>
        </w:rPr>
      </w:pPr>
      <w:r>
        <w:rPr>
          <w:rFonts w:ascii="Courier New" w:cs="Courier New" w:eastAsia="Courier New" w:hAnsi="Courier New"/>
          <w:sz w:val="15"/>
          <w:szCs w:val="15"/>
          <w:color w:val="auto"/>
        </w:rPr>
        <w:t>12.Account with the Department of</w:t>
      </w:r>
      <w:r>
        <w:rPr>
          <w:sz w:val="20"/>
          <w:szCs w:val="20"/>
          <w:color w:val="auto"/>
        </w:rPr>
        <w:tab/>
      </w:r>
      <w:r>
        <w:rPr>
          <w:rFonts w:ascii="Courier New" w:cs="Courier New" w:eastAsia="Courier New" w:hAnsi="Courier New"/>
          <w:sz w:val="15"/>
          <w:szCs w:val="15"/>
          <w:color w:val="auto"/>
        </w:rPr>
        <w:t>The public entity</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Agriculture in the name of a public</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entity (such as a state or local</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government, school district or</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prison) that receives agricultural</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program payments</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66" w:right="3259" w:hanging="266"/>
        <w:spacing w:after="0" w:line="248" w:lineRule="auto"/>
        <w:tabs>
          <w:tab w:leader="none" w:pos="26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 If only one person on a joint account has a social security number, that person's number must be furnished.</w:t>
      </w:r>
    </w:p>
    <w:p>
      <w:pPr>
        <w:spacing w:after="0" w:line="1"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6" w:lineRule="exact"/>
        <w:rPr>
          <w:rFonts w:ascii="Courier New" w:cs="Courier New" w:eastAsia="Courier New" w:hAnsi="Courier New"/>
          <w:sz w:val="15"/>
          <w:szCs w:val="15"/>
          <w:color w:val="auto"/>
        </w:rPr>
      </w:pPr>
    </w:p>
    <w:p>
      <w:pPr>
        <w:jc w:val="both"/>
        <w:ind w:left="266" w:right="3079" w:hanging="266"/>
        <w:spacing w:after="0" w:line="248" w:lineRule="auto"/>
        <w:tabs>
          <w:tab w:leader="none" w:pos="26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show your individual name, but you may also enter your business or "doing business as" name. You may use either your social security number of your employer identification number (if you have one).</w:t>
      </w:r>
    </w:p>
    <w:p>
      <w:pPr>
        <w:spacing w:after="0" w:line="1" w:lineRule="exact"/>
        <w:rPr>
          <w:rFonts w:ascii="Courier New" w:cs="Courier New" w:eastAsia="Courier New" w:hAnsi="Courier New"/>
          <w:sz w:val="15"/>
          <w:szCs w:val="15"/>
          <w:color w:val="auto"/>
        </w:rPr>
      </w:pPr>
    </w:p>
    <w:p>
      <w:pPr>
        <w:ind w:left="266" w:right="2979" w:hanging="266"/>
        <w:spacing w:after="0" w:line="249" w:lineRule="auto"/>
        <w:tabs>
          <w:tab w:leader="none" w:pos="26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76" w:lineRule="exact"/>
        <w:rPr>
          <w:sz w:val="20"/>
          <w:szCs w:val="20"/>
          <w:color w:val="auto"/>
        </w:rPr>
      </w:pPr>
    </w:p>
    <w:p>
      <w:pPr>
        <w:ind w:left="6" w:right="3179"/>
        <w:spacing w:after="0" w:line="248" w:lineRule="auto"/>
        <w:rPr>
          <w:sz w:val="20"/>
          <w:szCs w:val="20"/>
          <w:color w:val="auto"/>
        </w:rPr>
      </w:pPr>
      <w:r>
        <w:rPr>
          <w:rFonts w:ascii="Courier New" w:cs="Courier New" w:eastAsia="Courier New" w:hAnsi="Courier New"/>
          <w:sz w:val="15"/>
          <w:szCs w:val="15"/>
          <w:color w:val="auto"/>
        </w:rPr>
        <w:t>NOTE: If no name is circled when there is more than one name, the number will be considered to be that of the first name listed.</w:t>
      </w:r>
    </w:p>
    <w:p>
      <w:pPr>
        <w:spacing w:after="0" w:line="1" w:lineRule="exact"/>
        <w:rPr>
          <w:sz w:val="20"/>
          <w:szCs w:val="20"/>
          <w:color w:val="auto"/>
        </w:rPr>
      </w:pPr>
    </w:p>
    <w:p>
      <w:pPr>
        <w:ind w:left="186" w:hanging="186"/>
        <w:spacing w:after="0"/>
        <w:tabs>
          <w:tab w:leader="none" w:pos="18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a Number</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If you don't have a taxpayer identification number or you don't know your number, obtain Form SS-5, Application for a Social Security Card, at the local Social Administration office, or Form SS-4, Application for Employer Identification Number, by calling 1 (800) TAX-FORM, and apply for a number.</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Payees specifically exempted from withholding include:</w:t>
      </w:r>
    </w:p>
    <w:p>
      <w:pPr>
        <w:spacing w:after="0" w:line="182" w:lineRule="exact"/>
        <w:rPr>
          <w:sz w:val="20"/>
          <w:szCs w:val="20"/>
          <w:color w:val="auto"/>
        </w:rPr>
      </w:pPr>
    </w:p>
    <w:p>
      <w:pPr>
        <w:ind w:left="186" w:right="3079" w:hanging="182"/>
        <w:spacing w:after="0" w:line="248" w:lineRule="auto"/>
        <w:rPr>
          <w:sz w:val="20"/>
          <w:szCs w:val="20"/>
          <w:color w:val="auto"/>
        </w:rPr>
      </w:pPr>
      <w:r>
        <w:rPr>
          <w:rFonts w:ascii="Courier New" w:cs="Courier New" w:eastAsia="Courier New" w:hAnsi="Courier New"/>
          <w:sz w:val="15"/>
          <w:szCs w:val="15"/>
          <w:color w:val="auto"/>
        </w:rPr>
        <w:t>.. An organization exempt from tax under Section 501(a), an individual retirement account (IRA), or a custodial account under Section 403(b)(7), if the account satisfies the requirements of Section 401(1)(2).</w:t>
      </w:r>
    </w:p>
    <w:p>
      <w:pPr>
        <w:spacing w:after="0" w:line="2" w:lineRule="exact"/>
        <w:rPr>
          <w:sz w:val="20"/>
          <w:szCs w:val="20"/>
          <w:color w:val="auto"/>
        </w:rPr>
      </w:pPr>
    </w:p>
    <w:p>
      <w:pPr>
        <w:ind w:left="186" w:right="2979" w:hanging="182"/>
        <w:spacing w:after="0" w:line="248" w:lineRule="auto"/>
        <w:rPr>
          <w:sz w:val="20"/>
          <w:szCs w:val="20"/>
          <w:color w:val="auto"/>
        </w:rPr>
      </w:pPr>
      <w:r>
        <w:rPr>
          <w:rFonts w:ascii="Courier New" w:cs="Courier New" w:eastAsia="Courier New" w:hAnsi="Courier New"/>
          <w:sz w:val="15"/>
          <w:szCs w:val="15"/>
          <w:color w:val="auto"/>
        </w:rPr>
        <w:t>.. The United States or a state thereof, the District of Columbia, a possession of the United States, or a political subdivision or instrumentality of any one or more of the foregoing.</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An international organization or any agency or instrumentality thereof.</w:t>
      </w:r>
    </w:p>
    <w:p>
      <w:pPr>
        <w:spacing w:after="0" w:line="6" w:lineRule="exact"/>
        <w:rPr>
          <w:sz w:val="20"/>
          <w:szCs w:val="20"/>
          <w:color w:val="auto"/>
        </w:rPr>
      </w:pPr>
    </w:p>
    <w:p>
      <w:pPr>
        <w:ind w:left="186" w:right="2899" w:hanging="182"/>
        <w:spacing w:after="0" w:line="248" w:lineRule="auto"/>
        <w:rPr>
          <w:sz w:val="20"/>
          <w:szCs w:val="20"/>
          <w:color w:val="auto"/>
        </w:rPr>
      </w:pPr>
      <w:r>
        <w:rPr>
          <w:rFonts w:ascii="Courier New" w:cs="Courier New" w:eastAsia="Courier New" w:hAnsi="Courier New"/>
          <w:sz w:val="15"/>
          <w:szCs w:val="15"/>
          <w:color w:val="auto"/>
        </w:rPr>
        <w:t>.. A foreign government and any political subdivision, agency or instrumentality thereof.</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Payees that may be exempt from backup withholding include:</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corporation.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financial institution.</w:t>
      </w:r>
    </w:p>
    <w:p>
      <w:pPr>
        <w:sectPr>
          <w:pgSz w:w="11900" w:h="16897" w:orient="portrait"/>
          <w:cols w:equalWidth="0" w:num="1">
            <w:col w:w="10225"/>
          </w:cols>
          <w:pgMar w:left="234" w:top="494" w:right="1440" w:bottom="0" w:gutter="0" w:footer="0" w:header="0"/>
          <w:type w:val="continuous"/>
        </w:sectPr>
      </w:pPr>
    </w:p>
    <w:bookmarkStart w:id="120" w:name="page121"/>
    <w:bookmarkEnd w:id="120"/>
    <w:p>
      <w:pPr>
        <w:ind w:left="186" w:right="3179" w:hanging="182"/>
        <w:spacing w:after="0" w:line="248" w:lineRule="auto"/>
        <w:rPr>
          <w:sz w:val="20"/>
          <w:szCs w:val="20"/>
          <w:color w:val="auto"/>
        </w:rPr>
      </w:pPr>
      <w:r>
        <w:rPr>
          <w:rFonts w:ascii="Courier New" w:cs="Courier New" w:eastAsia="Courier New" w:hAnsi="Courier New"/>
          <w:sz w:val="15"/>
          <w:szCs w:val="15"/>
          <w:color w:val="auto"/>
        </w:rPr>
        <w:t>.. A dealer in securities or commodities registered in the United States, the District of Columbia, or a possession of the United States.</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real estate investment trust.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common trust fund operated by a bank under Section 584(a).</w:t>
      </w:r>
    </w:p>
    <w:p>
      <w:pPr>
        <w:spacing w:after="0" w:line="6" w:lineRule="exact"/>
        <w:rPr>
          <w:sz w:val="20"/>
          <w:szCs w:val="20"/>
          <w:color w:val="auto"/>
        </w:rPr>
      </w:pPr>
    </w:p>
    <w:p>
      <w:pPr>
        <w:ind w:left="186" w:right="3179" w:hanging="182"/>
        <w:spacing w:after="0" w:line="248" w:lineRule="auto"/>
        <w:rPr>
          <w:sz w:val="20"/>
          <w:szCs w:val="20"/>
          <w:color w:val="auto"/>
        </w:rPr>
      </w:pPr>
      <w:r>
        <w:rPr>
          <w:rFonts w:ascii="Courier New" w:cs="Courier New" w:eastAsia="Courier New" w:hAnsi="Courier New"/>
          <w:sz w:val="15"/>
          <w:szCs w:val="15"/>
          <w:color w:val="auto"/>
        </w:rPr>
        <w:t>.. An entity registered at all times during the tax year under the Investment Company Act of 1940.</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middleman known in the investment community as a nominee or custodian.</w:t>
      </w:r>
    </w:p>
    <w:p>
      <w:pPr>
        <w:spacing w:after="0" w:line="6" w:lineRule="exact"/>
        <w:rPr>
          <w:sz w:val="20"/>
          <w:szCs w:val="20"/>
          <w:color w:val="auto"/>
        </w:rPr>
      </w:pPr>
    </w:p>
    <w:p>
      <w:pPr>
        <w:jc w:val="both"/>
        <w:ind w:left="186" w:right="3079" w:hanging="182"/>
        <w:spacing w:after="0" w:line="248" w:lineRule="auto"/>
        <w:rPr>
          <w:sz w:val="20"/>
          <w:szCs w:val="20"/>
          <w:color w:val="auto"/>
        </w:rPr>
      </w:pPr>
      <w:r>
        <w:rPr>
          <w:rFonts w:ascii="Courier New" w:cs="Courier New" w:eastAsia="Courier New" w:hAnsi="Courier New"/>
          <w:sz w:val="15"/>
          <w:szCs w:val="15"/>
          <w:color w:val="auto"/>
        </w:rPr>
        <w:t>.. A futures commission merchant registered with the Commodity Futures Trading Commission.</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foreign central bank of issue.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A trust exempt from tax under Section 664 or described in Section 4947.</w:t>
      </w:r>
    </w:p>
    <w:p>
      <w:pPr>
        <w:spacing w:after="0" w:line="182"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Payments of dividends and patronage dividends generally exempt from backup withholding include: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to nonresident aliens subject to withholding under Section 1441.</w:t>
      </w:r>
    </w:p>
    <w:p>
      <w:pPr>
        <w:spacing w:after="0" w:line="6" w:lineRule="exact"/>
        <w:rPr>
          <w:sz w:val="20"/>
          <w:szCs w:val="20"/>
          <w:color w:val="auto"/>
        </w:rPr>
      </w:pPr>
    </w:p>
    <w:p>
      <w:pPr>
        <w:ind w:left="186" w:right="3259" w:hanging="182"/>
        <w:spacing w:after="0" w:line="248" w:lineRule="auto"/>
        <w:rPr>
          <w:sz w:val="20"/>
          <w:szCs w:val="20"/>
          <w:color w:val="auto"/>
        </w:rPr>
      </w:pPr>
      <w:r>
        <w:rPr>
          <w:rFonts w:ascii="Courier New" w:cs="Courier New" w:eastAsia="Courier New" w:hAnsi="Courier New"/>
          <w:sz w:val="15"/>
          <w:szCs w:val="15"/>
          <w:color w:val="auto"/>
        </w:rPr>
        <w:t>.. Payments to partnerships not engaged in a trade or business in the United States and that have at least one nonresident alien partner.</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of patronage dividends not paid in money.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made by certain foreign organizations.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Section 404(k) payments made by an ESOP.</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Payments of interest generally exempt from backup withholding include:</w:t>
      </w:r>
    </w:p>
    <w:p>
      <w:pPr>
        <w:spacing w:after="0" w:line="182" w:lineRule="exact"/>
        <w:rPr>
          <w:sz w:val="20"/>
          <w:szCs w:val="20"/>
          <w:color w:val="auto"/>
        </w:rPr>
      </w:pPr>
    </w:p>
    <w:p>
      <w:pPr>
        <w:jc w:val="both"/>
        <w:ind w:left="186" w:right="3079" w:hanging="182"/>
        <w:spacing w:after="0" w:line="248" w:lineRule="auto"/>
        <w:rPr>
          <w:sz w:val="20"/>
          <w:szCs w:val="20"/>
          <w:color w:val="auto"/>
        </w:rPr>
      </w:pPr>
      <w:r>
        <w:rPr>
          <w:rFonts w:ascii="Courier New" w:cs="Courier New" w:eastAsia="Courier New" w:hAnsi="Courier New"/>
          <w:sz w:val="15"/>
          <w:szCs w:val="15"/>
          <w:color w:val="auto"/>
        </w:rPr>
        <w:t>.. Payments of interest on obligations issued by individuals. Note: You may be subject to backup withholding if this interest is $600 or more and you have not provided your correct taxpayer identification number to the payer.</w:t>
      </w:r>
    </w:p>
    <w:p>
      <w:pPr>
        <w:spacing w:after="0" w:line="2" w:lineRule="exact"/>
        <w:rPr>
          <w:sz w:val="20"/>
          <w:szCs w:val="20"/>
          <w:color w:val="auto"/>
        </w:rPr>
      </w:pPr>
    </w:p>
    <w:p>
      <w:pPr>
        <w:ind w:left="186" w:right="3179" w:hanging="182"/>
        <w:spacing w:after="0" w:line="248" w:lineRule="auto"/>
        <w:rPr>
          <w:sz w:val="20"/>
          <w:szCs w:val="20"/>
          <w:color w:val="auto"/>
        </w:rPr>
      </w:pPr>
      <w:r>
        <w:rPr>
          <w:rFonts w:ascii="Courier New" w:cs="Courier New" w:eastAsia="Courier New" w:hAnsi="Courier New"/>
          <w:sz w:val="15"/>
          <w:szCs w:val="15"/>
          <w:color w:val="auto"/>
        </w:rPr>
        <w:t>.. Payments of tax-exempt interest (including exempt-interest dividends under Section 852).</w:t>
      </w:r>
    </w:p>
    <w:p>
      <w:pPr>
        <w:spacing w:after="0" w:line="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described in Section 6049(b)(5) to nonresident aliens.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on tax-free covenant bonds under Section 1451.</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Payments made by certain foreign organizations.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Mortgage interest paid to you.</w:t>
      </w:r>
    </w:p>
    <w:p>
      <w:pPr>
        <w:spacing w:after="0" w:line="182" w:lineRule="exact"/>
        <w:rPr>
          <w:sz w:val="20"/>
          <w:szCs w:val="20"/>
          <w:color w:val="auto"/>
        </w:rPr>
      </w:pPr>
    </w:p>
    <w:p>
      <w:pPr>
        <w:ind w:left="6" w:right="3359"/>
        <w:spacing w:after="0" w:line="249" w:lineRule="auto"/>
        <w:rPr>
          <w:sz w:val="20"/>
          <w:szCs w:val="20"/>
          <w:color w:val="auto"/>
        </w:rPr>
      </w:pPr>
      <w:r>
        <w:rPr>
          <w:rFonts w:ascii="Courier New" w:cs="Courier New" w:eastAsia="Courier New" w:hAnsi="Courier New"/>
          <w:sz w:val="15"/>
          <w:szCs w:val="15"/>
          <w:color w:val="auto"/>
        </w:rPr>
        <w:t>Certain payments, other than payments of interest, dividends, and patronage dividends, that are exempt from information reporting are also exempt from backup withholding. For details, see the regulations under sections 6041, 6041A, 6042, 6044, 6045, 6049, 6050A and 6050N.</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 FILE THIS FORM WITH THE PAYER, FURNISH YOUR TAXPAYER IDENTIFICATION NUMBER, WRITE "EXEMPT" IN PART II OF THE FORM, SIGN AND DATE THE FORM, AND RETURN IT TO THE PAYER.</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Privacy Act Notice--Section 6109 requires you to provide your correct taxpayer identification number to payers, who must report the payments to the IRS. The IRS uses the number for identification purposes and may also provide this information to various government agencies for tax enforcement or litigation purposes. Payers must be given the numbers whether or not recipients are required to file tax returns. Payers must generally withhold up to 28% of taxable interest, dividends, and certain other payments to a payee who does not furnish a taxpayer identification number to a payer. Certain penalties may also apply.</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Penalties</w:t>
      </w:r>
    </w:p>
    <w:p>
      <w:pPr>
        <w:spacing w:after="0" w:line="182" w:lineRule="exact"/>
        <w:rPr>
          <w:sz w:val="20"/>
          <w:szCs w:val="20"/>
          <w:color w:val="auto"/>
        </w:rPr>
      </w:pPr>
    </w:p>
    <w:p>
      <w:pPr>
        <w:ind w:left="6" w:right="2979" w:hanging="6"/>
        <w:spacing w:after="0" w:line="249" w:lineRule="auto"/>
        <w:tabs>
          <w:tab w:leader="none" w:pos="3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Furnish Taxpayer Identification Number.--If you fail to furnish your taxpayer identification number to a payer, you are subject to a penalty of $50 for each such failure unless your failure is due to reasonable cause and not to willful neglect.</w:t>
      </w:r>
    </w:p>
    <w:p>
      <w:pPr>
        <w:spacing w:after="0" w:line="175" w:lineRule="exact"/>
        <w:rPr>
          <w:rFonts w:ascii="Courier New" w:cs="Courier New" w:eastAsia="Courier New" w:hAnsi="Courier New"/>
          <w:sz w:val="15"/>
          <w:szCs w:val="15"/>
          <w:color w:val="auto"/>
        </w:rPr>
      </w:pPr>
    </w:p>
    <w:p>
      <w:pPr>
        <w:ind w:left="6" w:right="3259" w:hanging="6"/>
        <w:spacing w:after="0" w:line="249" w:lineRule="auto"/>
        <w:tabs>
          <w:tab w:leader="none" w:pos="3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Withholding.--If you make a false statement with no reasonable basis that results in no backup withholding, you are subject to a $500 penalty.</w:t>
      </w:r>
    </w:p>
    <w:p>
      <w:pPr>
        <w:spacing w:after="0" w:line="175" w:lineRule="exact"/>
        <w:rPr>
          <w:rFonts w:ascii="Courier New" w:cs="Courier New" w:eastAsia="Courier New" w:hAnsi="Courier New"/>
          <w:sz w:val="15"/>
          <w:szCs w:val="15"/>
          <w:color w:val="auto"/>
        </w:rPr>
      </w:pPr>
    </w:p>
    <w:p>
      <w:pPr>
        <w:ind w:left="6" w:right="3259" w:hanging="6"/>
        <w:spacing w:after="0" w:line="249" w:lineRule="auto"/>
        <w:tabs>
          <w:tab w:leader="none" w:pos="37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Penalty for Falsifying Information.--Willfully falsifying certificates or affirmations may subject you to criminal penalties including fines and/or imprisonment.</w:t>
      </w:r>
    </w:p>
    <w:p>
      <w:pPr>
        <w:spacing w:after="0" w:line="17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FOR ADDITIONAL INFORMATION CONTACT YOUR TAX</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CONSULTANT OR THE INTERNAL REVENUE SERVICE.</w:t>
      </w:r>
    </w:p>
    <w:p>
      <w:pPr>
        <w:sectPr>
          <w:pgSz w:w="11900" w:h="16838" w:orient="portrait"/>
          <w:cols w:equalWidth="0" w:num="1">
            <w:col w:w="10225"/>
          </w:cols>
          <w:pgMar w:left="234" w:top="141" w:right="1440"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1)"/>
      <w:numFmt w:val="decimal"/>
      <w:start w:val="1"/>
    </w:lvl>
  </w:abstractNum>
  <w:abstractNum w:abstractNumId="6">
    <w:nsid w:val="14330624"/>
    <w:multiLevelType w:val="hybridMultilevel"/>
    <w:lvl w:ilvl="0">
      <w:lvlJc w:val="left"/>
      <w:lvlText w:val="(%1)"/>
      <w:numFmt w:val="decimal"/>
      <w:start w:val="3"/>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1)"/>
      <w:numFmt w:val="decimal"/>
      <w:start w:val="1"/>
    </w:lvl>
    <w:lvl w:ilvl="1">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1)"/>
      <w:numFmt w:val="lowerLetter"/>
      <w:start w:val="1"/>
    </w:lvl>
    <w:lvl w:ilvl="1">
      <w:lvlJc w:val="left"/>
      <w:lvlText w:val="•"/>
      <w:numFmt w:val="bullet"/>
      <w:start w:val="1"/>
    </w:lvl>
  </w:abstractNum>
  <w:abstractNum w:abstractNumId="29">
    <w:nsid w:val="43F18422"/>
    <w:multiLevelType w:val="hybridMultilevel"/>
    <w:lvl w:ilvl="0">
      <w:lvlJc w:val="left"/>
      <w:lvlText w:val="(%1)"/>
      <w:numFmt w:val="lowerLetter"/>
      <w:start w:val="2"/>
    </w:lvl>
    <w:lvl w:ilvl="1">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lvl w:ilvl="1">
      <w:lvlJc w:val="left"/>
      <w:lvlText w:val="(%2)"/>
      <w:numFmt w:val="lowerLetter"/>
      <w:start w:val="1"/>
    </w:lvl>
  </w:abstractNum>
  <w:abstractNum w:abstractNumId="34">
    <w:nsid w:val="7055A5F5"/>
    <w:multiLevelType w:val="hybridMultilevel"/>
    <w:lvl w:ilvl="0">
      <w:lvlJc w:val="left"/>
      <w:lvlText w:val="(%1)"/>
      <w:numFmt w:val="lowerLetter"/>
      <w:start w:val="1"/>
    </w:lvl>
  </w:abstractNum>
  <w:abstractNum w:abstractNumId="35">
    <w:nsid w:val="5FB8370B"/>
    <w:multiLevelType w:val="hybridMultilevel"/>
    <w:lvl w:ilvl="0">
      <w:lvlJc w:val="left"/>
      <w:lvlText w:val="(%1)"/>
      <w:numFmt w:val="lowerLetter"/>
      <w:start w:val="3"/>
    </w:lvl>
  </w:abstractNum>
  <w:abstractNum w:abstractNumId="36">
    <w:nsid w:val="50801EE1"/>
    <w:multiLevelType w:val="hybridMultilevel"/>
    <w:lvl w:ilvl="0">
      <w:lvlJc w:val="left"/>
      <w:lvlText w:val="(%1)"/>
      <w:numFmt w:val="decimal"/>
      <w:start w:val="65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1)"/>
      <w:numFmt w:val="decimal"/>
      <w:start w:val="1"/>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1)"/>
      <w:numFmt w:val="lowerLetter"/>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1)"/>
      <w:numFmt w:val="decimal"/>
      <w:start w:val="1"/>
    </w:lvl>
    <w:lvl w:ilvl="1">
      <w:lvlJc w:val="left"/>
      <w:lvlText w:val="(%2)"/>
      <w:numFmt w:val="lowerLetter"/>
      <w:start w:val="1"/>
    </w:lvl>
  </w:abstractNum>
  <w:abstractNum w:abstractNumId="47">
    <w:nsid w:val="555C55B5"/>
    <w:multiLevelType w:val="hybridMultilevel"/>
    <w:lvl w:ilvl="0">
      <w:lvlJc w:val="left"/>
      <w:lvlText w:val="(%1)"/>
      <w:numFmt w:val="decimal"/>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5092CA79"/>
    <w:multiLevelType w:val="hybridMultilevel"/>
    <w:lvl w:ilvl="0">
      <w:lvlJc w:val="left"/>
      <w:lvlText w:val="(%1)"/>
      <w:numFmt w:val="decimal"/>
      <w:start w:val="1"/>
    </w:lvl>
  </w:abstractNum>
  <w:abstractNum w:abstractNumId="56">
    <w:nsid w:val="1D545C4D"/>
    <w:multiLevelType w:val="hybridMultilevel"/>
    <w:lvl w:ilvl="0">
      <w:lvlJc w:val="left"/>
      <w:lvlText w:val="(%1)"/>
      <w:numFmt w:val="decimal"/>
      <w:start w:val="3"/>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2A155DBC"/>
    <w:multiLevelType w:val="hybridMultilevel"/>
    <w:lvl w:ilvl="0">
      <w:lvlJc w:val="left"/>
      <w:lvlText w:val="(%1)"/>
      <w:numFmt w:val="lowerRoman"/>
      <w:start w:val="3"/>
    </w:lvl>
  </w:abstractNum>
  <w:abstractNum w:abstractNumId="60">
    <w:nsid w:val="1D9F6E5F"/>
    <w:multiLevelType w:val="hybridMultilevel"/>
    <w:lvl w:ilvl="0">
      <w:lvlJc w:val="left"/>
      <w:lvlText w:val="(%1)"/>
      <w:numFmt w:val="decimal"/>
      <w:start w:val="1"/>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1)"/>
      <w:numFmt w:val="decimal"/>
      <w:start w:val="6"/>
    </w:lvl>
    <w:lvl w:ilvl="1">
      <w:lvlJc w:val="left"/>
      <w:lvlText w:val="(%2)"/>
      <w:numFmt w:val="lowerLetter"/>
      <w:start w:val="1"/>
    </w:lvl>
  </w:abstractNum>
  <w:abstractNum w:abstractNumId="63">
    <w:nsid w:val="1CA0C5FA"/>
    <w:multiLevelType w:val="hybridMultilevel"/>
    <w:lvl w:ilvl="0">
      <w:lvlJc w:val="left"/>
      <w:lvlText w:val="(%1)"/>
      <w:numFmt w:val="decimal"/>
      <w:start w:val="1"/>
    </w:lvl>
  </w:abstractNum>
  <w:abstractNum w:abstractNumId="64">
    <w:nsid w:val="53584BCB"/>
    <w:multiLevelType w:val="hybridMultilevel"/>
    <w:lvl w:ilvl="0">
      <w:lvlJc w:val="left"/>
      <w:lvlText w:val="%1"/>
      <w:numFmt w:val="decimal"/>
      <w:start w:val="1"/>
    </w:lvl>
    <w:lvl w:ilvl="1">
      <w:lvlJc w:val="left"/>
      <w:lvlText w:val="(%2)"/>
      <w:numFmt w:val="decimal"/>
      <w:start w:val="1"/>
    </w:lvl>
  </w:abstractNum>
  <w:abstractNum w:abstractNumId="65">
    <w:nsid w:val="415E286C"/>
    <w:multiLevelType w:val="hybridMultilevel"/>
    <w:lvl w:ilvl="0">
      <w:lvlJc w:val="left"/>
      <w:lvlText w:val="(%1)"/>
      <w:numFmt w:val="decimal"/>
      <w:start w:val="3"/>
    </w:lvl>
    <w:lvl w:ilvl="1">
      <w:lvlJc w:val="left"/>
      <w:lvlText w:val="(%2)"/>
      <w:numFmt w:val="decimal"/>
      <w:start w:val="7"/>
    </w:lvl>
  </w:abstractNum>
  <w:abstractNum w:abstractNumId="66">
    <w:nsid w:val="7C58FD05"/>
    <w:multiLevelType w:val="hybridMultilevel"/>
    <w:lvl w:ilvl="0">
      <w:lvlJc w:val="left"/>
      <w:lvlText w:val="(%1)"/>
      <w:numFmt w:val="decimal"/>
      <w:start w:val="9"/>
    </w:lvl>
  </w:abstractNum>
  <w:abstractNum w:abstractNumId="67">
    <w:nsid w:val="23D86AAC"/>
    <w:multiLevelType w:val="hybridMultilevel"/>
    <w:lvl w:ilvl="0">
      <w:lvlJc w:val="left"/>
      <w:lvlText w:val="(%1)"/>
      <w:numFmt w:val="decimal"/>
      <w:start w:val="1"/>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2"/>
    </w:lvl>
  </w:abstractNum>
  <w:abstractNum w:abstractNumId="70">
    <w:nsid w:val="E7FFA2B"/>
    <w:multiLevelType w:val="hybridMultilevel"/>
    <w:lvl w:ilvl="0">
      <w:lvlJc w:val="left"/>
      <w:lvlText w:val="(%1)"/>
      <w:numFmt w:val="decimal"/>
      <w:start w:val="1"/>
    </w:lvl>
    <w:lvl w:ilvl="1">
      <w:lvlJc w:val="left"/>
      <w:lvlText w:val="(%2)"/>
      <w:numFmt w:val="lowerLetter"/>
      <w:start w:val="1"/>
    </w:lvl>
  </w:abstractNum>
  <w:abstractNum w:abstractNumId="71">
    <w:nsid w:val="3C5991AA"/>
    <w:multiLevelType w:val="hybridMultilevel"/>
    <w:lvl w:ilvl="0">
      <w:lvlJc w:val="left"/>
      <w:lvlText w:val="(%1)"/>
      <w:numFmt w:val="decimal"/>
      <w:start w:val="1"/>
    </w:lvl>
  </w:abstractNum>
  <w:abstractNum w:abstractNumId="72">
    <w:nsid w:val="4BD8591A"/>
    <w:multiLevelType w:val="hybridMultilevel"/>
    <w:lvl w:ilvl="0">
      <w:lvlJc w:val="left"/>
      <w:lvlText w:val="(%1)"/>
      <w:numFmt w:val="decimal"/>
      <w:start w:val="3"/>
    </w:lvl>
  </w:abstractNum>
  <w:abstractNum w:abstractNumId="73">
    <w:nsid w:val="78DF6A55"/>
    <w:multiLevelType w:val="hybridMultilevel"/>
    <w:lvl w:ilvl="0">
      <w:lvlJc w:val="left"/>
      <w:lvlText w:val="(%1)"/>
      <w:numFmt w:val="decimal"/>
      <w:start w:val="1"/>
    </w:lvl>
  </w:abstractNum>
  <w:abstractNum w:abstractNumId="74">
    <w:nsid w:val="39B7AAA2"/>
    <w:multiLevelType w:val="hybridMultilevel"/>
    <w:lvl w:ilvl="0">
      <w:lvlJc w:val="left"/>
      <w:lvlText w:val="(%1)"/>
      <w:numFmt w:val="decimal"/>
      <w:start w:val="1"/>
    </w:lvl>
    <w:lvl w:ilvl="1">
      <w:lvlJc w:val="left"/>
      <w:lvlText w:val="(%2)"/>
      <w:numFmt w:val="lowerLetter"/>
      <w:start w:val="1"/>
    </w:lvl>
  </w:abstractNum>
  <w:abstractNum w:abstractNumId="75">
    <w:nsid w:val="2B0D8DBE"/>
    <w:multiLevelType w:val="hybridMultilevel"/>
    <w:lvl w:ilvl="0">
      <w:lvlJc w:val="left"/>
      <w:lvlText w:val="(%1)"/>
      <w:numFmt w:val="decimal"/>
      <w:start w:val="1"/>
    </w:lvl>
  </w:abstractNum>
  <w:abstractNum w:abstractNumId="76">
    <w:nsid w:val="6C80EC70"/>
    <w:multiLevelType w:val="hybridMultilevel"/>
    <w:lvl w:ilvl="0">
      <w:lvlJc w:val="left"/>
      <w:lvlText w:val="(%1)"/>
      <w:numFmt w:val="decimal"/>
      <w:start w:val="1"/>
    </w:lvl>
  </w:abstractNum>
  <w:abstractNum w:abstractNumId="77">
    <w:nsid w:val="379E21B5"/>
    <w:multiLevelType w:val="hybridMultilevel"/>
    <w:lvl w:ilvl="0">
      <w:lvlJc w:val="left"/>
      <w:lvlText w:val="(%1)"/>
      <w:numFmt w:val="decimal"/>
      <w:start w:val="1"/>
    </w:lvl>
  </w:abstractNum>
  <w:abstractNum w:abstractNumId="78">
    <w:nsid w:val="69E373"/>
    <w:multiLevelType w:val="hybridMultilevel"/>
    <w:lvl w:ilvl="0">
      <w:lvlJc w:val="left"/>
      <w:lvlText w:val="(%1)"/>
      <w:numFmt w:val="decimal"/>
      <w:start w:val="1"/>
    </w:lvl>
  </w:abstractNum>
  <w:abstractNum w:abstractNumId="79">
    <w:nsid w:val="2C27173B"/>
    <w:multiLevelType w:val="hybridMultilevel"/>
    <w:lvl w:ilvl="0">
      <w:lvlJc w:val="left"/>
      <w:lvlText w:val="(%1)"/>
      <w:numFmt w:val="decimal"/>
      <w:start w:val="1"/>
    </w:lvl>
  </w:abstractNum>
  <w:abstractNum w:abstractNumId="80">
    <w:nsid w:val="4C9B0904"/>
    <w:multiLevelType w:val="hybridMultilevel"/>
    <w:lvl w:ilvl="0">
      <w:lvlJc w:val="left"/>
      <w:lvlText w:val="(%1)"/>
      <w:numFmt w:val="decimal"/>
      <w:start w:val="1"/>
    </w:lvl>
  </w:abstractNum>
  <w:abstractNum w:abstractNumId="81">
    <w:nsid w:val="6AA7B75C"/>
    <w:multiLevelType w:val="hybridMultilevel"/>
    <w:lvl w:ilvl="0">
      <w:lvlJc w:val="left"/>
      <w:lvlText w:val="(%1)"/>
      <w:numFmt w:val="decimal"/>
      <w:start w:val="1"/>
    </w:lvl>
  </w:abstractNum>
  <w:abstractNum w:abstractNumId="82">
    <w:nsid w:val="1DF029D3"/>
    <w:multiLevelType w:val="hybridMultilevel"/>
    <w:lvl w:ilvl="0">
      <w:lvlJc w:val="left"/>
      <w:lvlText w:val="(%1)"/>
      <w:numFmt w:val="decimal"/>
      <w:start w:val="2"/>
    </w:lvl>
  </w:abstractNum>
  <w:abstractNum w:abstractNumId="83">
    <w:nsid w:val="5675FF36"/>
    <w:multiLevelType w:val="hybridMultilevel"/>
    <w:lvl w:ilvl="0">
      <w:lvlJc w:val="left"/>
      <w:lvlText w:val="(%1)"/>
      <w:numFmt w:val="decimal"/>
      <w:start w:val="1"/>
    </w:lvl>
  </w:abstractNum>
  <w:abstractNum w:abstractNumId="84">
    <w:nsid w:val="3DD15094"/>
    <w:multiLevelType w:val="hybridMultilevel"/>
    <w:lvl w:ilvl="0">
      <w:lvlJc w:val="left"/>
      <w:lvlText w:val="(%1)"/>
      <w:numFmt w:val="decimal"/>
      <w:start w:val="1"/>
    </w:lvl>
  </w:abstractNum>
  <w:abstractNum w:abstractNumId="85">
    <w:nsid w:val="3DB012B3"/>
    <w:multiLevelType w:val="hybridMultilevel"/>
    <w:lvl w:ilvl="0">
      <w:lvlJc w:val="left"/>
      <w:lvlText w:val="(%1)"/>
      <w:numFmt w:val="decimal"/>
      <w:start w:val="5"/>
    </w:lvl>
  </w:abstractNum>
  <w:abstractNum w:abstractNumId="86">
    <w:nsid w:val="2708C9AF"/>
    <w:multiLevelType w:val="hybridMultilevel"/>
    <w:lvl w:ilvl="0">
      <w:lvlJc w:val="left"/>
      <w:lvlText w:val="(%1)"/>
      <w:numFmt w:val="decimal"/>
      <w:start w:val="1"/>
    </w:lvl>
  </w:abstractNum>
  <w:abstractNum w:abstractNumId="87">
    <w:nsid w:val="5B25ACE2"/>
    <w:multiLevelType w:val="hybridMultilevel"/>
    <w:lvl w:ilvl="0">
      <w:lvlJc w:val="left"/>
      <w:lvlText w:val="(%1)"/>
      <w:numFmt w:val="decimal"/>
      <w:start w:val="1"/>
    </w:lvl>
  </w:abstractNum>
  <w:abstractNum w:abstractNumId="88">
    <w:nsid w:val="175DFCF0"/>
    <w:multiLevelType w:val="hybridMultilevel"/>
    <w:lvl w:ilvl="0">
      <w:lvlJc w:val="left"/>
      <w:lvlText w:val="(%1)"/>
      <w:numFmt w:val="decimal"/>
      <w:start w:val="4"/>
    </w:lvl>
  </w:abstractNum>
  <w:abstractNum w:abstractNumId="89">
    <w:nsid w:val="4F97E3E4"/>
    <w:multiLevelType w:val="hybridMultilevel"/>
    <w:lvl w:ilvl="0">
      <w:lvlJc w:val="left"/>
      <w:lvlText w:val="(%1)"/>
      <w:numFmt w:val="decimal"/>
      <w:start w:val="1"/>
    </w:lvl>
  </w:abstractNum>
  <w:abstractNum w:abstractNumId="90">
    <w:nsid w:val="53B0A9E"/>
    <w:multiLevelType w:val="hybridMultilevel"/>
    <w:lvl w:ilvl="0">
      <w:lvlJc w:val="left"/>
      <w:lvlText w:val="(%1)"/>
      <w:numFmt w:val="decimal"/>
      <w:start w:val="1"/>
    </w:lvl>
  </w:abstractNum>
  <w:abstractNum w:abstractNumId="91">
    <w:nsid w:val="34FD6B4F"/>
    <w:multiLevelType w:val="hybridMultilevel"/>
    <w:lvl w:ilvl="0">
      <w:lvlJc w:val="left"/>
      <w:lvlText w:val="(%1)"/>
      <w:numFmt w:val="decimal"/>
      <w:start w:val="1"/>
    </w:lvl>
  </w:abstractNum>
  <w:abstractNum w:abstractNumId="92">
    <w:nsid w:val="5915FF32"/>
    <w:multiLevelType w:val="hybridMultilevel"/>
    <w:lvl w:ilvl="0">
      <w:lvlJc w:val="left"/>
      <w:lvlText w:val="(%1)"/>
      <w:numFmt w:val="decimal"/>
      <w:start w:val="2"/>
    </w:lvl>
  </w:abstractNum>
  <w:abstractNum w:abstractNumId="93">
    <w:nsid w:val="56438D15"/>
    <w:multiLevelType w:val="hybridMultilevel"/>
    <w:lvl w:ilvl="0">
      <w:lvlJc w:val="left"/>
      <w:lvlText w:val="(%1)"/>
      <w:numFmt w:val="decimal"/>
      <w:start w:val="1"/>
    </w:lvl>
  </w:abstractNum>
  <w:abstractNum w:abstractNumId="94">
    <w:nsid w:val="519E3149"/>
    <w:multiLevelType w:val="hybridMultilevel"/>
    <w:lvl w:ilvl="0">
      <w:lvlJc w:val="left"/>
      <w:lvlText w:val="(%1)"/>
      <w:numFmt w:val="decimal"/>
      <w:start w:val="1"/>
    </w:lvl>
  </w:abstractNum>
  <w:abstractNum w:abstractNumId="95">
    <w:nsid w:val="2C6E4AFD"/>
    <w:multiLevelType w:val="hybridMultilevel"/>
    <w:lvl w:ilvl="0">
      <w:lvlJc w:val="left"/>
      <w:lvlText w:val="(%1)"/>
      <w:numFmt w:val="decimal"/>
      <w:start w:val="1"/>
    </w:lvl>
  </w:abstractNum>
  <w:abstractNum w:abstractNumId="96">
    <w:nsid w:val="17A1B582"/>
    <w:multiLevelType w:val="hybridMultilevel"/>
    <w:lvl w:ilvl="0">
      <w:lvlJc w:val="left"/>
      <w:lvlText w:val="(%1)"/>
      <w:numFmt w:val="decimal"/>
      <w:start w:val="1"/>
    </w:lvl>
  </w:abstractNum>
  <w:abstractNum w:abstractNumId="97">
    <w:nsid w:val="4DF72E4E"/>
    <w:multiLevelType w:val="hybridMultilevel"/>
    <w:lvl w:ilvl="0">
      <w:lvlJc w:val="left"/>
      <w:lvlText w:val="(%1)"/>
      <w:numFmt w:val="decimal"/>
      <w:start w:val="1"/>
    </w:lvl>
  </w:abstractNum>
  <w:abstractNum w:abstractNumId="98">
    <w:nsid w:val="5046B5A9"/>
    <w:multiLevelType w:val="hybridMultilevel"/>
    <w:lvl w:ilvl="0">
      <w:lvlJc w:val="left"/>
      <w:lvlText w:val="(%1)"/>
      <w:numFmt w:val="decimal"/>
      <w:start w:val="1"/>
    </w:lvl>
  </w:abstractNum>
  <w:abstractNum w:abstractNumId="99">
    <w:nsid w:val="5D888A08"/>
    <w:multiLevelType w:val="hybridMultilevel"/>
    <w:lvl w:ilvl="0">
      <w:lvlJc w:val="left"/>
      <w:lvlText w:val="(%1)"/>
      <w:numFmt w:val="decimal"/>
      <w:start w:val="1"/>
    </w:lvl>
  </w:abstractNum>
  <w:abstractNum w:abstractNumId="100">
    <w:nsid w:val="2A082C70"/>
    <w:multiLevelType w:val="hybridMultilevel"/>
    <w:lvl w:ilvl="0">
      <w:lvlJc w:val="left"/>
      <w:lvlText w:val="(%1)"/>
      <w:numFmt w:val="decimal"/>
      <w:start w:val="1"/>
    </w:lvl>
  </w:abstractNum>
  <w:abstractNum w:abstractNumId="101">
    <w:nsid w:val="5EC6AFD4"/>
    <w:multiLevelType w:val="hybridMultilevel"/>
    <w:lvl w:ilvl="0">
      <w:lvlJc w:val="left"/>
      <w:lvlText w:val="(%1)"/>
      <w:numFmt w:val="decimal"/>
      <w:start w:val="1"/>
    </w:lvl>
  </w:abstractNum>
  <w:abstractNum w:abstractNumId="102">
    <w:nsid w:val="19E21BB2"/>
    <w:multiLevelType w:val="hybridMultilevel"/>
    <w:lvl w:ilvl="0">
      <w:lvlJc w:val="left"/>
      <w:lvlText w:val="(%1)"/>
      <w:numFmt w:val="decimal"/>
      <w:start w:val="1"/>
    </w:lvl>
    <w:lvl w:ilvl="1">
      <w:lvlJc w:val="left"/>
      <w:lvlText w:val="(%2)"/>
      <w:numFmt w:val="lowerLetter"/>
      <w:start w:val="1"/>
    </w:lvl>
  </w:abstractNum>
  <w:abstractNum w:abstractNumId="103">
    <w:nsid w:val="75E0858A"/>
    <w:multiLevelType w:val="hybridMultilevel"/>
    <w:lvl w:ilvl="0">
      <w:lvlJc w:val="left"/>
      <w:lvlText w:val="(%1)"/>
      <w:numFmt w:val="decimal"/>
      <w:start w:val="1"/>
    </w:lvl>
  </w:abstractNum>
  <w:abstractNum w:abstractNumId="104">
    <w:nsid w:val="57A61A29"/>
    <w:multiLevelType w:val="hybridMultilevel"/>
    <w:lvl w:ilvl="0">
      <w:lvlJc w:val="left"/>
      <w:lvlText w:val="(%1)"/>
      <w:numFmt w:val="decimal"/>
      <w:start w:val="1"/>
    </w:lvl>
  </w:abstractNum>
  <w:abstractNum w:abstractNumId="105">
    <w:nsid w:val="5399C654"/>
    <w:multiLevelType w:val="hybridMultilevel"/>
    <w:lvl w:ilvl="0">
      <w:lvlJc w:val="left"/>
      <w:lvlText w:val="(%1)"/>
      <w:numFmt w:val="decimal"/>
      <w:start w:val="1"/>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1"/>
    </w:lvl>
  </w:abstractNum>
  <w:abstractNum w:abstractNumId="108">
    <w:nsid w:val="B37E80A"/>
    <w:multiLevelType w:val="hybridMultilevel"/>
    <w:lvl w:ilvl="0">
      <w:lvlJc w:val="left"/>
      <w:lvlText w:val="(%1)"/>
      <w:numFmt w:val="decimal"/>
      <w:start w:val="1"/>
    </w:lvl>
  </w:abstractNum>
  <w:abstractNum w:abstractNumId="109">
    <w:nsid w:val="2157F6BC"/>
    <w:multiLevelType w:val="hybridMultilevel"/>
    <w:lvl w:ilvl="0">
      <w:lvlJc w:val="left"/>
      <w:lvlText w:val="(%1)"/>
      <w:numFmt w:val="decimal"/>
      <w:start w:val="1"/>
    </w:lvl>
  </w:abstractNum>
  <w:abstractNum w:abstractNumId="110">
    <w:nsid w:val="704E1DD5"/>
    <w:multiLevelType w:val="hybridMultilevel"/>
    <w:lvl w:ilvl="0">
      <w:lvlJc w:val="left"/>
      <w:lvlText w:val="(%1)"/>
      <w:numFmt w:val="decimal"/>
      <w:start w:val="1"/>
    </w:lvl>
  </w:abstractNum>
  <w:abstractNum w:abstractNumId="111">
    <w:nsid w:val="57D2F10E"/>
    <w:multiLevelType w:val="hybridMultilevel"/>
    <w:lvl w:ilvl="0">
      <w:lvlJc w:val="left"/>
      <w:lvlText w:val="(%1)"/>
      <w:numFmt w:val="decimal"/>
      <w:start w:val="1"/>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lowerLetter"/>
      <w:start w:val="1"/>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1)"/>
      <w:numFmt w:val="decimal"/>
      <w:start w:val="2"/>
    </w:lvl>
    <w:lvl w:ilvl="1">
      <w:lvlJc w:val="left"/>
      <w:lvlText w:val="(%2)"/>
      <w:numFmt w:val="lowerLetter"/>
      <w:start w:val="1"/>
    </w:lvl>
  </w:abstractNum>
  <w:abstractNum w:abstractNumId="117">
    <w:nsid w:val="5551B9F3"/>
    <w:multiLevelType w:val="hybridMultilevel"/>
    <w:lvl w:ilvl="0">
      <w:lvlJc w:val="left"/>
      <w:lvlText w:val="(%1)"/>
      <w:numFmt w:val="lowerLetter"/>
      <w:start w:val="1"/>
    </w:lvl>
  </w:abstractNum>
  <w:abstractNum w:abstractNumId="118">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
    <w:nsid w:val="634C57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0">
    <w:nsid w:val="24E99DD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1">
    <w:nsid w:val="2A31B62D"/>
    <w:multiLevelType w:val="hybridMultilevel"/>
    <w:lvl w:ilvl="0">
      <w:lvlJc w:val="left"/>
      <w:lvlText w:val="(%1)"/>
      <w:numFmt w:val="decimal"/>
      <w:start w:val="8"/>
    </w:lvl>
  </w:abstractNum>
  <w:abstractNum w:abstractNumId="122">
    <w:nsid w:val="1849C29B"/>
    <w:multiLevelType w:val="hybridMultilevel"/>
    <w:lvl w:ilvl="0">
      <w:lvlJc w:val="left"/>
      <w:lvlText w:val="(%1)"/>
      <w:numFmt w:val="lowerLetter"/>
      <w:start w:val="2"/>
    </w:lvl>
  </w:abstractNum>
  <w:abstractNum w:abstractNumId="123">
    <w:nsid w:val="7DFF9D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4">
    <w:nsid w:val="75434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25">
    <w:nsid w:val="69E7F3E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26">
    <w:nsid w:val="2A6DE80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27">
    <w:nsid w:val="1816F8C4"/>
    <w:multiLevelType w:val="hybridMultilevel"/>
    <w:lvl w:ilvl="0">
      <w:lvlJc w:val="left"/>
      <w:lvlText w:val="(%1)"/>
      <w:numFmt w:val="lowerRoman"/>
      <w:start w:val="4"/>
    </w:lvl>
  </w:abstractNum>
  <w:abstractNum w:abstractNumId="128">
    <w:nsid w:val="37DF2233"/>
    <w:multiLevelType w:val="hybridMultilevel"/>
    <w:lvl w:ilvl="0">
      <w:lvlJc w:val="left"/>
      <w:lvlText w:val="%1)"/>
      <w:numFmt w:val="lowerLetter"/>
      <w:start w:val="1"/>
    </w:lvl>
  </w:abstractNum>
  <w:abstractNum w:abstractNumId="129">
    <w:nsid w:val="7AB49DAF"/>
    <w:multiLevelType w:val="hybridMultilevel"/>
    <w:lvl w:ilvl="0">
      <w:lvlJc w:val="left"/>
      <w:lvlText w:val="%1."/>
      <w:numFmt w:val="decimal"/>
      <w:start w:val="1"/>
    </w:lvl>
  </w:abstractNum>
  <w:abstractNum w:abstractNumId="130">
    <w:nsid w:val="759F82CD"/>
    <w:multiLevelType w:val="hybridMultilevel"/>
    <w:lvl w:ilvl="0">
      <w:lvlJc w:val="left"/>
      <w:lvlText w:val="*"/>
      <w:numFmt w:val="bullet"/>
      <w:start w:val="1"/>
    </w:lvl>
  </w:abstractNum>
  <w:abstractNum w:abstractNumId="131">
    <w:nsid w:val="61E74EA3"/>
    <w:multiLevelType w:val="hybridMultilevel"/>
    <w:lvl w:ilvl="0">
      <w:lvlJc w:val="left"/>
      <w:lvlText w:val="(%1)"/>
      <w:numFmt w:val="lowerRoman"/>
      <w:start w:val="3"/>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
      <w:numFmt w:val="bullet"/>
      <w:start w:val="1"/>
    </w:lvl>
  </w:abstractNum>
  <w:abstractNum w:abstractNumId="134">
    <w:nsid w:val="57C7D42D"/>
    <w:multiLevelType w:val="hybridMultilevel"/>
    <w:lvl w:ilvl="0">
      <w:lvlJc w:val="left"/>
      <w:lvlText w:val="*"/>
      <w:numFmt w:val="bullet"/>
      <w:start w:val="1"/>
    </w:lvl>
  </w:abstractNum>
  <w:abstractNum w:abstractNumId="135">
    <w:nsid w:val="312167AD"/>
    <w:multiLevelType w:val="hybridMultilevel"/>
    <w:lvl w:ilvl="0">
      <w:lvlJc w:val="left"/>
      <w:lvlText w:val="**"/>
      <w:numFmt w:val="bullet"/>
      <w:start w:val="1"/>
    </w:lvl>
  </w:abstractNum>
  <w:abstractNum w:abstractNumId="136">
    <w:nsid w:val="631B64D4"/>
    <w:multiLevelType w:val="hybridMultilevel"/>
    <w:lvl w:ilvl="0">
      <w:lvlJc w:val="left"/>
      <w:lvlText w:val="(%1)"/>
      <w:numFmt w:val="lowerRoman"/>
      <w:start w:val="2"/>
    </w:lvl>
  </w:abstractNum>
  <w:abstractNum w:abstractNumId="137">
    <w:nsid w:val="78B5E776"/>
    <w:multiLevelType w:val="hybridMultilevel"/>
    <w:lvl w:ilvl="0">
      <w:lvlJc w:val="left"/>
      <w:lvlText w:val="(%1)"/>
      <w:numFmt w:val="lowerRoman"/>
      <w:start w:val="2"/>
    </w:lvl>
  </w:abstractNum>
  <w:abstractNum w:abstractNumId="138">
    <w:nsid w:val="75486E47"/>
    <w:multiLevelType w:val="hybridMultilevel"/>
    <w:lvl w:ilvl="0">
      <w:lvlJc w:val="left"/>
      <w:lvlText w:val="(%1)"/>
      <w:numFmt w:val="lowerRoman"/>
      <w:start w:val="1"/>
    </w:lvl>
  </w:abstractNum>
  <w:abstractNum w:abstractNumId="139">
    <w:nsid w:val="6E534CDE"/>
    <w:multiLevelType w:val="hybridMultilevel"/>
    <w:lvl w:ilvl="0">
      <w:lvlJc w:val="left"/>
      <w:lvlText w:val="%1."/>
      <w:numFmt w:val="decimal"/>
      <w:start w:val="1"/>
    </w:lvl>
    <w:lvl w:ilvl="1">
      <w:lvlJc w:val="left"/>
      <w:lvlText w:val="(%2)"/>
      <w:numFmt w:val="lowerLetter"/>
      <w:start w:val="1"/>
    </w:lvl>
  </w:abstractNum>
  <w:abstractNum w:abstractNumId="140">
    <w:nsid w:val="1A0DDE32"/>
    <w:multiLevelType w:val="hybridMultilevel"/>
    <w:lvl w:ilvl="0">
      <w:lvlJc w:val="left"/>
      <w:lvlText w:val="%1."/>
      <w:numFmt w:val="decimal"/>
      <w:start w:val="2"/>
    </w:lvl>
  </w:abstractNum>
  <w:abstractNum w:abstractNumId="141">
    <w:nsid w:val="65968C1C"/>
    <w:multiLevelType w:val="hybridMultilevel"/>
    <w:lvl w:ilvl="0">
      <w:lvlJc w:val="left"/>
      <w:lvlText w:val="(%1)"/>
      <w:numFmt w:val="lowerLetter"/>
      <w:start w:val="1"/>
    </w:lvl>
  </w:abstractNum>
  <w:abstractNum w:abstractNumId="142">
    <w:nsid w:val="46263DEC"/>
    <w:multiLevelType w:val="hybridMultilevel"/>
    <w:lvl w:ilvl="0">
      <w:lvlJc w:val="left"/>
      <w:lvlText w:val="(%1)"/>
      <w:numFmt w:val="lowerLetter"/>
      <w:start w:val="3"/>
    </w:lvl>
  </w:abstractNum>
  <w:abstractNum w:abstractNumId="143">
    <w:nsid w:val="260D8C4A"/>
    <w:multiLevelType w:val="hybridMultilevel"/>
    <w:lvl w:ilvl="0">
      <w:lvlJc w:val="left"/>
      <w:lvlText w:val="%1."/>
      <w:numFmt w:val="decimal"/>
      <w:start w:val="3"/>
    </w:lvl>
    <w:lvl w:ilvl="1">
      <w:lvlJc w:val="left"/>
      <w:lvlText w:val="(%2)"/>
      <w:numFmt w:val="lowerLetter"/>
      <w:start w:val="1"/>
    </w:lvl>
  </w:abstractNum>
  <w:abstractNum w:abstractNumId="144">
    <w:nsid w:val="73D4D3C4"/>
    <w:multiLevelType w:val="hybridMultilevel"/>
    <w:lvl w:ilvl="0">
      <w:lvlJc w:val="left"/>
      <w:lvlText w:val="%1"/>
      <w:numFmt w:val="decimal"/>
      <w:start w:val="1"/>
    </w:lvl>
    <w:lvl w:ilvl="1">
      <w:lvlJc w:val="left"/>
      <w:lvlText w:val="(%2)"/>
      <w:numFmt w:val="lowerLetter"/>
      <w:start w:val="5"/>
    </w:lvl>
  </w:abstractNum>
  <w:abstractNum w:abstractNumId="145">
    <w:nsid w:val="746F2E30"/>
    <w:multiLevelType w:val="hybridMultilevel"/>
    <w:lvl w:ilvl="0">
      <w:lvlJc w:val="left"/>
      <w:lvlText w:val="%1."/>
      <w:numFmt w:val="decimal"/>
      <w:start w:val="7"/>
    </w:lvl>
    <w:lvl w:ilvl="1">
      <w:lvlJc w:val="left"/>
      <w:lvlText w:val="%2"/>
      <w:numFmt w:val="lowerLetter"/>
      <w:start w:val="1"/>
    </w:lvl>
  </w:abstractNum>
  <w:abstractNum w:abstractNumId="146">
    <w:nsid w:val="6FDE8AF6"/>
    <w:multiLevelType w:val="hybridMultilevel"/>
    <w:lvl w:ilvl="0">
      <w:lvlJc w:val="left"/>
      <w:lvlText w:val="(%1)"/>
      <w:numFmt w:val="lowerRoman"/>
      <w:start w:val="1"/>
    </w:lvl>
  </w:abstractNum>
  <w:abstractNum w:abstractNumId="147">
    <w:nsid w:val="3FC32E20"/>
    <w:multiLevelType w:val="hybridMultilevel"/>
    <w:lvl w:ilvl="0">
      <w:lvlJc w:val="left"/>
      <w:lvlText w:val="(%1)"/>
      <w:numFmt w:val="upperLetter"/>
      <w:start w:val="18"/>
    </w:lvl>
  </w:abstractNum>
  <w:abstractNum w:abstractNumId="148">
    <w:nsid w:val="49C0E823"/>
    <w:multiLevelType w:val="hybridMultilevel"/>
    <w:lvl w:ilvl="0">
      <w:lvlJc w:val="left"/>
      <w:lvlText w:val="(%1)"/>
      <w:numFmt w:val="decimal"/>
      <w:start w:val="2"/>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decimal"/>
      <w:start w:val="800"/>
    </w:lvl>
  </w:abstractNum>
  <w:abstractNum w:abstractNumId="152">
    <w:nsid w:val="3F06ECB2"/>
    <w:multiLevelType w:val="hybridMultilevel"/>
    <w:lvl w:ilvl="0">
      <w:lvlJc w:val="left"/>
      <w:lvlText w:val="(%1)"/>
      <w:numFmt w:val="lowerLetter"/>
      <w:start w:val="1"/>
    </w:lvl>
  </w:abstractNum>
  <w:abstractNum w:abstractNumId="153">
    <w:nsid w:val="3B594807"/>
    <w:multiLevelType w:val="hybridMultilevel"/>
    <w:lvl w:ilvl="0">
      <w:lvlJc w:val="left"/>
      <w:lvlText w:val="%1."/>
      <w:numFmt w:val="decimal"/>
      <w:start w:val="4"/>
    </w:lvl>
  </w:abstractNum>
  <w:abstractNum w:abstractNumId="154">
    <w:nsid w:val="6CAA2304"/>
    <w:multiLevelType w:val="hybridMultilevel"/>
    <w:lvl w:ilvl="0">
      <w:lvlJc w:val="left"/>
      <w:lvlText w:val="%1."/>
      <w:numFmt w:val="decimal"/>
      <w:start w:val="1"/>
    </w:lvl>
  </w:abstractNum>
  <w:abstractNum w:abstractNumId="155">
    <w:nsid w:val="3F7C2FF4"/>
    <w:multiLevelType w:val="hybridMultilevel"/>
    <w:lvl w:ilvl="0">
      <w:lvlJc w:val="left"/>
      <w:lvlText w:val="-"/>
      <w:numFmt w:val="bullet"/>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2019-12-17T17:37:52Z</dcterms:created>
  <dcterms:modified xsi:type="dcterms:W3CDTF">2019-12-17T17:37:52Z</dcterms:modified>
</cp:coreProperties>
</file>