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18"/>
          <w:szCs w:val="18"/>
          <w:b w:val="1"/>
          <w:bCs w:val="1"/>
          <w:color w:val="auto"/>
        </w:rPr>
        <w:t>WASHINGTON, D. C. 20549</w:t>
      </w:r>
    </w:p>
    <w:p>
      <w:pPr>
        <w:spacing w:after="0" w:line="209"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40" w:right="1259" w:hanging="116"/>
        <w:spacing w:after="0" w:line="532" w:lineRule="auto"/>
        <w:tabs>
          <w:tab w:leader="none" w:pos="71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2008</w:t>
      </w:r>
    </w:p>
    <w:p>
      <w:pPr>
        <w:spacing w:after="0" w:line="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40" w:right="859" w:hanging="8"/>
        <w:spacing w:after="0" w:line="564" w:lineRule="auto"/>
        <w:tabs>
          <w:tab w:leader="none" w:pos="74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15(d) OF THE SECURITIES EXCHANGE ACT OF 1934 FOR THE TRANSITION PERIOD FROM ________________ TO _________________</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333-147397</w:t>
      </w:r>
    </w:p>
    <w:p>
      <w:pPr>
        <w:spacing w:after="0" w:line="27" w:lineRule="exact"/>
        <w:rPr>
          <w:sz w:val="24"/>
          <w:szCs w:val="24"/>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23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Smith &amp; Hawken 401(k) Plan</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4 Hamilton Landing</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Novato, California 94949</w:t>
      </w:r>
    </w:p>
    <w:p>
      <w:pPr>
        <w:spacing w:after="0" w:line="238" w:lineRule="exact"/>
        <w:rPr>
          <w:sz w:val="24"/>
          <w:szCs w:val="24"/>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52"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14111 Scottslawn Road</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Marysville, Ohio 43041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 w:name="page2"/>
    <w:bookmarkEnd w:id="1"/>
    <w:p>
      <w:pPr>
        <w:ind w:left="4940"/>
        <w:spacing w:after="0"/>
        <w:rPr>
          <w:sz w:val="20"/>
          <w:szCs w:val="20"/>
          <w:color w:val="auto"/>
        </w:rPr>
      </w:pPr>
      <w:r>
        <w:rPr>
          <w:rFonts w:ascii="Arial" w:cs="Arial" w:eastAsia="Arial" w:hAnsi="Arial"/>
          <w:sz w:val="18"/>
          <w:szCs w:val="18"/>
          <w:color w:val="auto"/>
        </w:rPr>
        <w:t>REQUIRED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supplemental schedule for the Smith &amp; Hawken 401(k) Plan are being 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Audited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Net Assets Available for Benefits as of December 31, 2008 and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Changes in Net Assets Available for Benefits for the Years Ended December 31, 2008 and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of Assets Held for Investment Purposes at End of Year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340" w:type="dxa"/>
            <w:vAlign w:val="bottom"/>
            <w:gridSpan w:val="3"/>
          </w:tcPr>
          <w:p>
            <w:pPr>
              <w:ind w:left="220"/>
              <w:spacing w:after="0"/>
              <w:rPr>
                <w:sz w:val="20"/>
                <w:szCs w:val="20"/>
                <w:color w:val="auto"/>
              </w:rPr>
            </w:pPr>
            <w:r>
              <w:rPr>
                <w:rFonts w:ascii="Arial" w:cs="Arial" w:eastAsia="Arial" w:hAnsi="Arial"/>
                <w:sz w:val="18"/>
                <w:szCs w:val="18"/>
                <w:color w:val="auto"/>
                <w:w w:val="90"/>
              </w:rPr>
              <w:t>Note: Other supplemental schedules required by Section 252.103-10 of the Department of Labor’s Rules and Regulations for Reporting and</w:t>
            </w:r>
          </w:p>
        </w:tc>
      </w:tr>
      <w:tr>
        <w:trPr>
          <w:trHeight w:val="230"/>
        </w:trPr>
        <w:tc>
          <w:tcPr>
            <w:tcW w:w="1080" w:type="dxa"/>
            <w:vAlign w:val="bottom"/>
          </w:tcPr>
          <w:p>
            <w:pPr>
              <w:spacing w:after="0"/>
              <w:rPr>
                <w:sz w:val="20"/>
                <w:szCs w:val="20"/>
                <w:color w:val="auto"/>
              </w:rPr>
            </w:pPr>
          </w:p>
        </w:tc>
        <w:tc>
          <w:tcPr>
            <w:tcW w:w="10340" w:type="dxa"/>
            <w:vAlign w:val="bottom"/>
            <w:gridSpan w:val="3"/>
          </w:tcPr>
          <w:p>
            <w:pPr>
              <w:ind w:left="220"/>
              <w:spacing w:after="0"/>
              <w:rPr>
                <w:sz w:val="20"/>
                <w:szCs w:val="20"/>
                <w:color w:val="auto"/>
              </w:rPr>
            </w:pPr>
            <w:r>
              <w:rPr>
                <w:rFonts w:ascii="Arial" w:cs="Arial" w:eastAsia="Arial" w:hAnsi="Arial"/>
                <w:sz w:val="18"/>
                <w:szCs w:val="18"/>
                <w:color w:val="auto"/>
              </w:rPr>
              <w:t>Disclosure under ERISA have been omitted because they are not applicable.</w:t>
            </w:r>
          </w:p>
        </w:tc>
      </w:tr>
      <w:tr>
        <w:trPr>
          <w:trHeight w:val="459"/>
        </w:trPr>
        <w:tc>
          <w:tcPr>
            <w:tcW w:w="11420" w:type="dxa"/>
            <w:vAlign w:val="bottom"/>
            <w:gridSpan w:val="4"/>
          </w:tcPr>
          <w:p>
            <w:pPr>
              <w:spacing w:after="0"/>
              <w:rPr>
                <w:sz w:val="20"/>
                <w:szCs w:val="20"/>
                <w:color w:val="auto"/>
              </w:rPr>
            </w:pPr>
            <w:r>
              <w:rPr>
                <w:rFonts w:ascii="Arial" w:cs="Arial" w:eastAsia="Arial" w:hAnsi="Arial"/>
                <w:sz w:val="18"/>
                <w:szCs w:val="18"/>
                <w:color w:val="auto"/>
              </w:rPr>
              <w:t>The following exhibit is being filed herewith:</w:t>
            </w:r>
          </w:p>
        </w:tc>
      </w:tr>
      <w:tr>
        <w:trPr>
          <w:trHeight w:val="466"/>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Consent of Independent Registered Public Accounting Firm – Meaden &amp; Moore, Ltd.</w:t>
            </w:r>
          </w:p>
        </w:tc>
      </w:tr>
      <w:tr>
        <w:trPr>
          <w:trHeight w:val="608"/>
        </w:trPr>
        <w:tc>
          <w:tcPr>
            <w:tcW w:w="1080" w:type="dxa"/>
            <w:vAlign w:val="bottom"/>
          </w:tcPr>
          <w:p>
            <w:pPr>
              <w:spacing w:after="0"/>
              <w:rPr>
                <w:sz w:val="24"/>
                <w:szCs w:val="24"/>
                <w:color w:val="auto"/>
              </w:rPr>
            </w:pPr>
          </w:p>
        </w:tc>
        <w:tc>
          <w:tcPr>
            <w:tcW w:w="10340" w:type="dxa"/>
            <w:vAlign w:val="bottom"/>
            <w:gridSpan w:val="3"/>
          </w:tcPr>
          <w:p>
            <w:pPr>
              <w:jc w:val="right"/>
              <w:ind w:right="5570"/>
              <w:spacing w:after="0"/>
              <w:rPr>
                <w:sz w:val="20"/>
                <w:szCs w:val="20"/>
                <w:color w:val="auto"/>
              </w:rPr>
            </w:pPr>
            <w:r>
              <w:rPr>
                <w:rFonts w:ascii="Arial" w:cs="Arial" w:eastAsia="Arial" w:hAnsi="Arial"/>
                <w:sz w:val="18"/>
                <w:szCs w:val="18"/>
                <w:color w:val="auto"/>
              </w:rPr>
              <w:t>2</w:t>
            </w:r>
          </w:p>
        </w:tc>
      </w:tr>
      <w:tr>
        <w:trPr>
          <w:trHeight w:val="118"/>
        </w:trPr>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Date: June 18, 2009</w:t>
            </w: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30"/>
        </w:trPr>
        <w:tc>
          <w:tcPr>
            <w:tcW w:w="356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w w:val="94"/>
              </w:rPr>
              <w:t>Printed</w:t>
            </w:r>
          </w:p>
        </w:tc>
        <w:tc>
          <w:tcPr>
            <w:tcW w:w="5140" w:type="dxa"/>
            <w:vAlign w:val="bottom"/>
          </w:tcPr>
          <w:p>
            <w:pPr>
              <w:spacing w:after="0"/>
              <w:rPr>
                <w:sz w:val="20"/>
                <w:szCs w:val="20"/>
                <w:color w:val="auto"/>
              </w:rPr>
            </w:pPr>
            <w:r>
              <w:rPr>
                <w:rFonts w:ascii="Arial" w:cs="Arial" w:eastAsia="Arial" w:hAnsi="Arial"/>
                <w:sz w:val="18"/>
                <w:szCs w:val="18"/>
                <w:color w:val="auto"/>
              </w:rPr>
              <w:t>Name: David C. Evans</w:t>
            </w:r>
          </w:p>
        </w:tc>
      </w:tr>
      <w:tr>
        <w:trPr>
          <w:trHeight w:val="404"/>
        </w:trPr>
        <w:tc>
          <w:tcPr>
            <w:tcW w:w="356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Title:</w:t>
            </w:r>
          </w:p>
        </w:tc>
        <w:tc>
          <w:tcPr>
            <w:tcW w:w="5140" w:type="dxa"/>
            <w:vAlign w:val="bottom"/>
          </w:tcPr>
          <w:p>
            <w:pPr>
              <w:ind w:left="180"/>
              <w:spacing w:after="0"/>
              <w:rPr>
                <w:sz w:val="20"/>
                <w:szCs w:val="20"/>
                <w:color w:val="auto"/>
              </w:rPr>
            </w:pPr>
            <w:r>
              <w:rPr>
                <w:rFonts w:ascii="Arial" w:cs="Arial" w:eastAsia="Arial" w:hAnsi="Arial"/>
                <w:sz w:val="18"/>
                <w:szCs w:val="18"/>
                <w:color w:val="auto"/>
              </w:rPr>
              <w:t>Executive Vice President and Chief</w:t>
            </w:r>
          </w:p>
        </w:tc>
      </w:tr>
      <w:tr>
        <w:trPr>
          <w:trHeight w:val="216"/>
        </w:trPr>
        <w:tc>
          <w:tcPr>
            <w:tcW w:w="3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Financial Officer of The Scotts</w:t>
            </w:r>
          </w:p>
        </w:tc>
      </w:tr>
      <w:tr>
        <w:trPr>
          <w:trHeight w:val="230"/>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Miracle-Gro Company</w:t>
            </w:r>
          </w:p>
        </w:tc>
      </w:tr>
      <w:tr>
        <w:trPr>
          <w:trHeight w:val="608"/>
        </w:trPr>
        <w:tc>
          <w:tcPr>
            <w:tcW w:w="3560" w:type="dxa"/>
            <w:vAlign w:val="bottom"/>
          </w:tcPr>
          <w:p>
            <w:pPr>
              <w:spacing w:after="0"/>
              <w:rPr>
                <w:sz w:val="24"/>
                <w:szCs w:val="24"/>
                <w:color w:val="auto"/>
              </w:rPr>
            </w:pPr>
          </w:p>
        </w:tc>
        <w:tc>
          <w:tcPr>
            <w:tcW w:w="272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r>
      <w:tr>
        <w:trPr>
          <w:trHeight w:val="118"/>
        </w:trPr>
        <w:tc>
          <w:tcPr>
            <w:tcW w:w="35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SMITH &amp; HAWKEN 401(K)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THE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Statements:</w:t>
            </w:r>
          </w:p>
        </w:tc>
        <w:tc>
          <w:tcPr>
            <w:tcW w:w="14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Statements of Net Assets Available for Benefits</w:t>
            </w:r>
          </w:p>
        </w:tc>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rPr>
              <w:t>Statements of Changes in Net Assets Available for Benefits</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Notes to Financial Statements</w:t>
            </w:r>
          </w:p>
        </w:tc>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8 –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Supplemental Schedule</w:t>
            </w:r>
          </w:p>
        </w:tc>
        <w:tc>
          <w:tcPr>
            <w:tcW w:w="14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Schedule of Assets Held for Investment Purposes at End of Year</w:t>
            </w:r>
          </w:p>
        </w:tc>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NOTE:</w:t>
            </w:r>
          </w:p>
        </w:tc>
        <w:tc>
          <w:tcPr>
            <w:tcW w:w="10340" w:type="dxa"/>
            <w:vAlign w:val="bottom"/>
            <w:gridSpan w:val="2"/>
          </w:tcPr>
          <w:p>
            <w:pPr>
              <w:ind w:left="220"/>
              <w:spacing w:after="0"/>
              <w:rPr>
                <w:sz w:val="20"/>
                <w:szCs w:val="20"/>
                <w:color w:val="auto"/>
              </w:rPr>
            </w:pPr>
            <w:r>
              <w:rPr>
                <w:rFonts w:ascii="Arial" w:cs="Arial" w:eastAsia="Arial" w:hAnsi="Arial"/>
                <w:sz w:val="18"/>
                <w:szCs w:val="18"/>
                <w:color w:val="auto"/>
                <w:w w:val="96"/>
              </w:rPr>
              <w:t>Other supplement schedules required by Section 252.103-10 of the Department of Labor’s Rules and Regulations for Reporting and</w:t>
            </w:r>
          </w:p>
        </w:tc>
        <w:tc>
          <w:tcPr>
            <w:tcW w:w="0" w:type="dxa"/>
            <w:vAlign w:val="bottom"/>
          </w:tcPr>
          <w:p>
            <w:pPr>
              <w:spacing w:after="0"/>
              <w:rPr>
                <w:sz w:val="1"/>
                <w:szCs w:val="1"/>
                <w:color w:val="auto"/>
              </w:rPr>
            </w:pPr>
          </w:p>
        </w:tc>
      </w:tr>
    </w:tbl>
    <w:p>
      <w:pPr>
        <w:ind w:left="1300"/>
        <w:spacing w:after="0"/>
        <w:rPr>
          <w:sz w:val="20"/>
          <w:szCs w:val="20"/>
          <w:color w:val="auto"/>
        </w:rPr>
      </w:pPr>
      <w:r>
        <w:rPr>
          <w:rFonts w:ascii="Arial" w:cs="Arial" w:eastAsia="Arial" w:hAnsi="Arial"/>
          <w:sz w:val="18"/>
          <w:szCs w:val="18"/>
          <w:color w:val="auto"/>
        </w:rPr>
        <w:t>Disclosure and ERISA have been omitted because they are 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Trustees or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Smith &amp; Hawken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Novato, California</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SMITH &amp; HAWKEN 401(k) PLAN (the “Plan”) as of December 31, 2008 and 2007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2008, the Plan adopted Statement of Financial Accounting Standards ("SFAS") No. 157, "Fair Value Measurements."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SMITH &amp; HAWKEN 401(k) PLAN as of December 31, 2008 and 2007, and the changes in its net assets available for benefits for the years then ended, in conformity with accounting principles generally accepted in the United States of America.</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2008, is presented for the purpose of additional analysis and is not a required part of the financial statements but is supplemental information required by the Department of Labor's Rules and Regulations for Reporting and Disclosure under the Employee Retirement Income Security Act of 1974. The supplemental schedule is the responsibility of the Plan's management. The supplemental information has been subjected to the auditing procedures applied in our audits of the financial statements and, in our opinion, is fairly stated in all material respects in relation to the financial statements taken as a whole.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MEADEN &amp; MOORE,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June 18,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color w:val="auto"/>
                <w:w w:val="95"/>
              </w:rPr>
              <w:t>STATEMENTS OF NET ASSETS AVAILABLE FOR BENEFITS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color w:val="auto"/>
                <w:w w:val="94"/>
              </w:rPr>
              <w:t>Smith &amp; Hawken</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jc w:val="center"/>
              <w:ind w:left="2630"/>
              <w:spacing w:after="0"/>
              <w:rPr>
                <w:sz w:val="20"/>
                <w:szCs w:val="20"/>
                <w:color w:val="auto"/>
              </w:rPr>
            </w:pPr>
            <w:r>
              <w:rPr>
                <w:rFonts w:ascii="Arial" w:cs="Arial" w:eastAsia="Arial" w:hAnsi="Arial"/>
                <w:sz w:val="18"/>
                <w:szCs w:val="18"/>
                <w:color w:val="auto"/>
                <w:w w:val="91"/>
              </w:rPr>
              <w:t>401(k) Plan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10,292</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All/Bern Balanced A</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339,921</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Columbia Acorn 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443,557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Advisor Diversified International Fund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480,316</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Fidelity Advisor Dividend Growth Fund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Advisor International Small Cap T</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294,845</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Fidelity Advisor Leveraged Common Stock Fund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Advisor New Insights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730,433</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2"/>
              </w:rPr>
              <w:t>1,004,839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Fidelity Advisor Stable Value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884,478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Advisor Strategic Income Fund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425,967</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665,235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JPM Intrepid America Fund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513,529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JPM Intrepid Value Fund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147,651</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JPM Equity Index Fund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586,488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870,929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Robertson Stephens Partners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296,857</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The Scotts Company Common 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65,527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Participant Loans</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94,576</w:t>
            </w: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5,307,729</w:t>
            </w: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2"/>
              </w:rPr>
              <w:t>6,862,666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5,318,021</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2"/>
              </w:rPr>
              <w:t>6,863,725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Assets Available for Benefits at Fair Value</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5,318,021</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2"/>
              </w:rPr>
              <w:t>6,863,725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Adjustment from fair value to contract value for the Fidelity Advisor</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24,255</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Stable Value Fund, a fully benefit-responsive investment contract</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vMerge w:val="continue"/>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Assets Available for Benefits</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5,342,276</w:t>
            </w:r>
          </w:p>
        </w:tc>
        <w:tc>
          <w:tcPr>
            <w:tcW w:w="5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2"/>
              </w:rPr>
              <w:t>6,866,021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5"/>
              </w:rPr>
              <w:t>STATEMENTS OF CHANGES IN NET ASSETS AVAILABLE FOR BENEFITS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4"/>
              </w:rPr>
              <w:t>Smith &amp; Hawken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color w:val="auto"/>
                <w:w w:val="91"/>
              </w:rPr>
              <w:t>401(k) Plan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ind w:left="1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Additions to Net Assets Attributed to:</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Contributions: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Employer</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842,383</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Employee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883,347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Rollovers</w:t>
            </w:r>
          </w:p>
        </w:tc>
        <w:tc>
          <w:tcPr>
            <w:tcW w:w="20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67,823</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1,793,553</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1,823,127</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157,442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Additions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1,950,995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2,245,385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Deductions from Net Assets Attributed to:</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Benefits paid to participants</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1,063,408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depreciation of investments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2,420,600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Administrative expenses</w:t>
            </w:r>
          </w:p>
        </w:tc>
        <w:tc>
          <w:tcPr>
            <w:tcW w:w="20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18,929</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Deductions</w:t>
            </w:r>
          </w:p>
        </w:tc>
        <w:tc>
          <w:tcPr>
            <w:tcW w:w="20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3,502,937</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(Decrease) Increase before Plan Transfer</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(1,551,942)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Plan Transfer</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28,197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Assets Available for Benefits:</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Beginning of Year</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6,866,021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5,486,567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End of Year</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5,342,276</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6,866,021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&amp; Hawken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PLAN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description of The Smith &amp; Hawken 401(k) Plan (the "Plan") provides only general information. Participants should refer to the Plan document for a complete description of the Plan's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which began February 28, 1999, is a defined contribution plan covering all employees of Smith &amp; Hawken, Ltd. (the "Company") who meet the hour and age requirements. It is subject to the provisions of the Employee Retirement Income Security Act of 1974 (ERISA).</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was amended and restated effective January 1, 2006, in order to satisfy the requirements of a “safe harbor” plan. The Plan was amended and restated effective January 23, 2003, for provisions stated in the Economic Growth and Tax Relief Reconciliation Act (EGTRRA).</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Scotts Company, LLC, parent of the Company, pursued divesting Smith &amp; Hawken, Ltd. but was unable to negotiate economically reasonable terms. The Scotts Company, LLC continues to evaluate options for Smith &amp; Hawken, Ltd. Any impact to the Plan is unknown.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employees of the Company age twenty-one and older, except nonresident aliens working outside the United States and temporary/leased employees, and who have completed two months of service in a twelve month period, are eligible to participate in the Plan and to receive safe harbor matching contributions by the Company. Employees of the Company age twenty-one and older and who have completed 1,000 hours of service in a twelve month period are eligible to receive discretionary non-elective employer contributions.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Contributions: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participant may elect to contribute to the Plan, through salary deferrals, a minimum of 1% to a maximum 75% of their pretax annual compensation. Contributions are limited to the amounts defined by the Internal Revenue Code (IRC) and indexed annually for inflation. The Plan limits the salary deferral of a participant if the participant's annual contribution limitations are exceeded, as described by the IRC. The maximum pre-tax contributions for the years ended December 31, 2008 and 2007 were $15,500. The Plan also provides that participants who are projected to be age 50 or older by the end of the calendar year and who are making deferral contributions to the Plan may also make catch-up contributions of up to $5,000 during each of the years ended December 31, 2008 and 2007.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Employer Contributions: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adoption of the 401(k) Safe-Harbor Provisions effective January 1, 2006, Company matching contributions were mandatory. For the year ended December 31, 2008 and 2007, the Company matched 100% of each participant’s contribution, up to the first 3% of covered compensation, plus 50% of the next 2% of covered compensation. At its discretion, the Company may make discretionary non-elective employer contributions to the Plan. The discretionary non-elective employer contributions were $371,127 and $304,069 for the years ended December 31, 2008 and 2007,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&amp; Hawken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Accounts: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401(k) Accounts - Each participant's account is credited with the participant's elective contributions, employer matching contributions, earnings and losses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Rollover contributions from other plans are also accepted provided certain specified conditions are met.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2008 and 2007, all participants are 100% vested in elective deferrals, rollover contributions, safe harbor matching contributions made by the Company, and any earnings thereon. Participants become 100% vested in the discretionary non-elective employer contributions after 3 years of service.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non-vested portions of participant account balances are forfeitable and used to reduce employer contributions to the Plan. Forfeited non-vested accounts totaled $36,919 and $37,929 for the years ended December 31, 2008 and 2007,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Loans: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are permitted under certain circumstances and are subject to limitations. Participants may borrow from their account up to a maximum equal to the lesser of $50,000 or 50% of their account balance. Loans are repaid over a period not to exceed 5 years with exceptions for the purchase of a primary residence. The loans are secured by the balance in the participant's account and bear interest at rates established by Fidelity Pricing and Cash Management Services. Principal and interest are paid ratably through monthly payroll deductions.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Normal retirement age is 65; however, the Plan provides for in-service withdrawals for active employees under certain circumstances.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termination of service by reason of retirement, death or total and permanent disability, a participant receives a lump sum amount equal to the vested value of his or her account.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Hardship Withdrawals: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Hardship withdrawals are permitted in accordance with Internal Revenue Service guidelines.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Upon enrollment in the Plan, a participant may direct his or her contributions in any of the investment options offered by the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&amp; Hawken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Plan's transactions are reported on the accrual basis of accounting in accordance with generally accepted accounting principles.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Plan’s investments are stated at fair value. Quoted market prices are used to value investments. Shares of mutual funds are valued at the net asset value of shares held by the Plan at year-end.</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in Financial Accounting Standards Board Staff Position, FSP AAG INV-1 and SOP 94-4-1, "Reporting of Fully Benefit-Responsive Investment Contracts Held by Certain Investment Companies Subject to the AICPA Investment Company Guide and Defined-Contribution Health and Welfare and Pension Plans" (the "FSP"), investment contracts held by a defined-contribution plan are required to be reported at fair value. However, contract value is the relevant measurement attribute for that portion of the net assets available for benefits of a defined-contribution plan attributable to fully benefit-responsive investment contracts because contract value is the amount participants would receive if they were to initiate permitted transactions under the terms of the Plan. As required by the FSP, the Statements of Net Assets Available for Benefits present the fair value of the investment contracts as well as the adjustment of the Fidelity Advisor Stable Value Fund, a fully benefit-responsive investment contract from fair value to contract value. The Statements of Changes in Net Assets Available for Benefits are prepared on a contract value basis.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wrapper investment is calculated by discounting the related cash flows based on current yields of similar instruments with comparable durations.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Participants’ loans are valued at their outstanding balance, which approximates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investments with original term to maturity of 90 days or less. Cost approximates fair value.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presents in the Statements of Changes in Net Assets Available for Benefits the net appreciation or depreciation in the fair value of its investments, which consists of the realized gains or losses and the unrealized appreciation or depreciation on those investments. Gains and losses on sales of investments are based on the average cost method.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fiancial statements. Actual results could differ from those estimates.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&amp; Hawken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Fees: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fees and expenses of administering the Plan are paid by the Plan sponsor, except for fees relating to the investment management services of the Plan ($18,929 in 2008 and $22,866 in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Plan's investments include investments in mutual funds and collective funds holding investment contracts with varying degrees of risk, such as interest rate, credit and overall market volatility risks. Due to the level of risk associated with certain investment securities, it is reasonably possible that changes in the values of investment securities will occur in the near-term and such changes could materially affect the amounts reported in the Statements of Net Assets Available for Benefits.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Plan's funds are invested in the various stock, bond and cash investments through the Fidelity Pricing and Cash Management Services. Investments which constitute more than 5% of the Plan's net assets 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Fidelity Advisor Stable Value Fund</w:t>
            </w:r>
          </w:p>
        </w:tc>
        <w:tc>
          <w:tcPr>
            <w:tcW w:w="4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884,478</w:t>
            </w: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577,618</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Fidelity Advisor New Insights</w:t>
            </w: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730,433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1,004,839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JPM Equity Index Fund</w:t>
            </w:r>
          </w:p>
        </w:tc>
        <w:tc>
          <w:tcPr>
            <w:tcW w:w="3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586,488</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870,929</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JPM Intrepid America Fund</w:t>
            </w: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513,529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822,928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Fidelity Advisor Diversified International Fund</w:t>
            </w:r>
          </w:p>
        </w:tc>
        <w:tc>
          <w:tcPr>
            <w:tcW w:w="3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480,316</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708,787</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Columbia Acorn A</w:t>
            </w: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443,557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567,188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Fidelity Advisor Strategic Income Fund</w:t>
            </w:r>
          </w:p>
        </w:tc>
        <w:tc>
          <w:tcPr>
            <w:tcW w:w="3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425,967</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665,235</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All/Bern Balanced A</w:t>
            </w: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339,921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526,556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Robertson Stephens Partners</w:t>
            </w:r>
          </w:p>
        </w:tc>
        <w:tc>
          <w:tcPr>
            <w:tcW w:w="3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296,857</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369,857</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Fidelity Advisor International Small Cap T</w:t>
            </w: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294,845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453,127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41"/>
        </w:trPr>
        <w:tc>
          <w:tcPr>
            <w:tcW w:w="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980" w:type="dxa"/>
            <w:vAlign w:val="bottom"/>
          </w:tcPr>
          <w:p>
            <w:pPr>
              <w:jc w:val="right"/>
              <w:ind w:right="277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8"/>
        </w:trPr>
        <w:tc>
          <w:tcPr>
            <w:tcW w:w="30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&amp; Hawken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CONTRACT WITH FIDELITY PRICING AND CASH MANAGEMENT SERVICES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holds a stable value investment contract, Fidelity Advisor Stable Value Fund (the “Fund”), with Fidelity Pricing and Cash Management Services, the Trustee. The Fund is an open-end commingled pool dedicated exclusively to the management of assets of defined contribution plans. The Fund invests in underlying assets (typically fixed-income securities or bond funds and may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Fund an amount sufficient to cover unit holder redemptions and certain other payments (such as fund expenses), provided all the terms of the wrappers have been met. Wrappers are normally purchased from issuers rated in the top three long-term rating categories (A- or the equivalent and above). The purpose of the wrappers is to preserve the investors’ principal investment while earning interest income, providing more stabilization than a traditional investment.</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Note 2, because the stable value investment contract is fully benefit-responsive, contract value is the relevant measurement attribute for that portion of the net assets available for benefits attributable to the stable value investment contract. Contract value, as reported by Fidelity Pricing and Cash Management Services, represents contributions made under the contract, plus earnings, less participant withdrawals and administrative expenses. Participants may ordinarily direct the withdrawal or transfer of all or a portion of their investment at contract value.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reserves against contract value for credit risk of the contract issuer or otherwise. The crediting interest rate is based on a formula agreed upon with the issuer. Such interest rates are reviewed on a quarterly basis for resetting.</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events limit the ability of the Plan to transact at contract value with the issuer. Such events include the following: (1) amendments to the Plan documents (including complete or partial plan termination or merger with another plan), (2) changes to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Employee Retirement Income Security Act of 1974. The Plan administrator does not believe that the occurrence of any such value event, which would limit the Plan’s ability to transact at contract value with participants, is probable.</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stable value investment contract does not permit Fidelity Pricing and Cash Management Services to terminate the agreement prior to the scheduled maturity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average yields for the stable value investment contract for 2008 and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Average Yields:</w:t>
            </w:r>
          </w:p>
        </w:tc>
        <w:tc>
          <w:tcPr>
            <w:tcW w:w="324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Based on actual earnings</w:t>
            </w:r>
          </w:p>
        </w:tc>
        <w:tc>
          <w:tcPr>
            <w:tcW w:w="4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2.99%</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3.96%</w:t>
            </w:r>
          </w:p>
        </w:tc>
        <w:tc>
          <w:tcPr>
            <w:tcW w:w="112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Based on interest rates credited to participants</w:t>
            </w:r>
          </w:p>
        </w:tc>
        <w:tc>
          <w:tcPr>
            <w:tcW w:w="45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2.83%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1120" w:type="dxa"/>
            <w:vAlign w:val="bottom"/>
          </w:tcPr>
          <w:p>
            <w:pPr>
              <w:spacing w:after="0"/>
              <w:rPr>
                <w:sz w:val="20"/>
                <w:szCs w:val="20"/>
                <w:color w:val="auto"/>
              </w:rPr>
            </w:pPr>
          </w:p>
        </w:tc>
      </w:tr>
      <w:tr>
        <w:trPr>
          <w:trHeight w:val="441"/>
        </w:trPr>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240" w:type="dxa"/>
            <w:vAlign w:val="bottom"/>
          </w:tcPr>
          <w:p>
            <w:pPr>
              <w:jc w:val="right"/>
              <w:ind w:right="1990"/>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&amp; Hawken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TAX STATUS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is an adoption of the standardized prototype plan written by Fidelity Management &amp; Research Company. The prototype sponsor received a favorable determination letter dated October 9, 2003, in which the Internal Revenue Service stated that the prototype plan, as then designated, was in compliance with applicable requirements of the IRC. Therefore, the Plan Administrator believes that the Plan is qualified and the related trust is tax exempt as of the financial statement dates. Accordingly, no provision for federal income taxes has been made.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PLAN TERMINATION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Although it has not expressed any intent to do so, the Company has the right under the Plan to discontinue its contributions at any time and to terminate the Plan subject to the provisions of ERISA. In the event the Plan is terminated, participants will become fully vested in their accounts.</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Scotts Company, LLC, parent of the Company, pursued divesting Smith &amp; Hawken, Ltd. but was unable to negotiate economically reasonable terms. The Scotts Company, LLC continues to evaluate options for Smith &amp; Hawken, Ltd. Any impact to the Plan is unknown.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RECONCILIATION OF FINANCIAL STATEMENTS TO FORM 5500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Form 5500, as of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5,342,276</w:t>
            </w:r>
          </w:p>
        </w:tc>
        <w:tc>
          <w:tcPr>
            <w:tcW w:w="12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6,866,021</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5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(24,255)</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Rounding</w:t>
            </w:r>
          </w:p>
        </w:tc>
        <w:tc>
          <w:tcPr>
            <w:tcW w:w="5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340" w:type="dxa"/>
            <w:vAlign w:val="bottom"/>
            <w:tcBorders>
              <w:top w:val="single" w:sz="8" w:color="CCFFCC"/>
            </w:tcBorders>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0" w:type="dxa"/>
            <w:vAlign w:val="bottom"/>
            <w:vMerge w:val="continue"/>
          </w:tcPr>
          <w:p>
            <w:pPr>
              <w:spacing w:after="0"/>
              <w:rPr>
                <w:sz w:val="22"/>
                <w:szCs w:val="22"/>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Net assets available for benefits per the Form 5500</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5,318,019</w:t>
            </w:r>
          </w:p>
        </w:tc>
        <w:tc>
          <w:tcPr>
            <w:tcW w:w="120" w:type="dxa"/>
            <w:vAlign w:val="bottom"/>
            <w:shd w:val="clear" w:color="auto" w:fill="CCFFCC"/>
          </w:tcPr>
          <w:p>
            <w:pPr>
              <w:spacing w:after="0"/>
              <w:rPr>
                <w:sz w:val="22"/>
                <w:szCs w:val="22"/>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6,863,725</w:t>
            </w:r>
          </w:p>
        </w:tc>
        <w:tc>
          <w:tcPr>
            <w:tcW w:w="100" w:type="dxa"/>
            <w:vAlign w:val="bottom"/>
            <w:shd w:val="clear" w:color="auto" w:fill="CCFFC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7340" w:type="dxa"/>
            <w:vAlign w:val="bottom"/>
            <w:tcBorders>
              <w:top w:val="single" w:sz="8" w:color="CCFFCC"/>
            </w:tcBorders>
          </w:tcPr>
          <w:p>
            <w:pPr>
              <w:ind w:left="5040"/>
              <w:spacing w:after="0"/>
              <w:rPr>
                <w:sz w:val="20"/>
                <w:szCs w:val="20"/>
                <w:color w:val="auto"/>
              </w:rPr>
            </w:pPr>
            <w:r>
              <w:rPr>
                <w:rFonts w:ascii="Arial" w:cs="Arial" w:eastAsia="Arial" w:hAnsi="Arial"/>
                <w:sz w:val="18"/>
                <w:szCs w:val="18"/>
                <w:color w:val="auto"/>
              </w:rPr>
              <w:t>13</w:t>
            </w:r>
          </w:p>
        </w:tc>
        <w:tc>
          <w:tcPr>
            <w:tcW w:w="580" w:type="dxa"/>
            <w:vAlign w:val="bottom"/>
            <w:tcBorders>
              <w:top w:val="single" w:sz="8" w:color="CCFFC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7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8660" w:type="dxa"/>
            <w:vAlign w:val="bottom"/>
          </w:tcPr>
          <w:p>
            <w:pPr>
              <w:jc w:val="center"/>
              <w:ind w:left="1510"/>
              <w:spacing w:after="0"/>
              <w:rPr>
                <w:sz w:val="20"/>
                <w:szCs w:val="20"/>
                <w:color w:val="auto"/>
              </w:rPr>
            </w:pPr>
            <w:r>
              <w:rPr>
                <w:rFonts w:ascii="Arial" w:cs="Arial" w:eastAsia="Arial" w:hAnsi="Arial"/>
                <w:sz w:val="18"/>
                <w:szCs w:val="18"/>
                <w:color w:val="auto"/>
                <w:w w:val="96"/>
              </w:rPr>
              <w:t>NOTES TO FINANCIAL STATEMENTS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8660" w:type="dxa"/>
            <w:vAlign w:val="bottom"/>
          </w:tcPr>
          <w:p>
            <w:pPr>
              <w:jc w:val="center"/>
              <w:ind w:left="1510"/>
              <w:spacing w:after="0"/>
              <w:rPr>
                <w:sz w:val="20"/>
                <w:szCs w:val="20"/>
                <w:color w:val="auto"/>
              </w:rPr>
            </w:pPr>
            <w:r>
              <w:rPr>
                <w:rFonts w:ascii="Arial" w:cs="Arial" w:eastAsia="Arial" w:hAnsi="Arial"/>
                <w:sz w:val="18"/>
                <w:szCs w:val="18"/>
                <w:color w:val="auto"/>
                <w:w w:val="94"/>
              </w:rPr>
              <w:t>Smith &amp; Hawken</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660" w:type="dxa"/>
            <w:vAlign w:val="bottom"/>
          </w:tcPr>
          <w:p>
            <w:pPr>
              <w:jc w:val="center"/>
              <w:ind w:left="1530"/>
              <w:spacing w:after="0"/>
              <w:rPr>
                <w:sz w:val="20"/>
                <w:szCs w:val="20"/>
                <w:color w:val="auto"/>
              </w:rPr>
            </w:pPr>
            <w:r>
              <w:rPr>
                <w:rFonts w:ascii="Arial" w:cs="Arial" w:eastAsia="Arial" w:hAnsi="Arial"/>
                <w:sz w:val="18"/>
                <w:szCs w:val="18"/>
                <w:color w:val="auto"/>
                <w:w w:val="91"/>
              </w:rPr>
              <w:t>401(k) Plan</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40" w:type="dxa"/>
            <w:vAlign w:val="bottom"/>
            <w:gridSpan w:val="2"/>
          </w:tcPr>
          <w:p>
            <w:pPr>
              <w:spacing w:after="0"/>
              <w:rPr>
                <w:sz w:val="20"/>
                <w:szCs w:val="20"/>
                <w:color w:val="auto"/>
              </w:rPr>
            </w:pPr>
            <w:r>
              <w:rPr>
                <w:rFonts w:ascii="Arial" w:cs="Arial" w:eastAsia="Arial" w:hAnsi="Arial"/>
                <w:sz w:val="18"/>
                <w:szCs w:val="18"/>
                <w:color w:val="auto"/>
                <w:w w:val="96"/>
              </w:rPr>
              <w:t>The following is a reconciliation of investment income per the financial statements to the Form 5500, as of December 31: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8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 and net depreciation of investments per the financial statements</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w w:val="97"/>
              </w:rPr>
              <w:t>(2,263,158)</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contracts-2008</w:t>
            </w:r>
          </w:p>
        </w:tc>
        <w:tc>
          <w:tcPr>
            <w:tcW w:w="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(24,255)</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contracts-2007</w:t>
            </w:r>
          </w:p>
        </w:tc>
        <w:tc>
          <w:tcPr>
            <w:tcW w:w="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2,296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Rounding</w:t>
            </w:r>
          </w:p>
        </w:tc>
        <w:tc>
          <w:tcPr>
            <w:tcW w:w="5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66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vMerge w:val="continue"/>
          </w:tcPr>
          <w:p>
            <w:pPr>
              <w:spacing w:after="0"/>
              <w:rPr>
                <w:sz w:val="20"/>
                <w:szCs w:val="20"/>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Net investment loss per the Form 5500</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w w:val="97"/>
              </w:rPr>
              <w:t>(2,285,120)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6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NOTE 8. PARTY-IN-INTEREST TRANSACTIONS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Plan investments are shares of mutual funds managed by Fidelity Pricing and Cash Management Services, the Trustee as defined by the Plan. These transactions qualify as party-in-interest transactions. Usual and customary fees were paid by the mutual fund for the investment management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adopted Statement of Financial Accounting Standards ("SFAS") No. 157, “Fair Value Measurements” ("SFAS 157"), effective January 1, 2008, with respect to the fair value measurement and disclosure of assets and liabilities. SFAS 157 defines fair value, establishes a framework for measuring fair value, and expands disclosures about fair value measurements. SFAS 157 defines fair value as the exchange price that would be received for an asset or paid to transfer a liability (an exit price) in the principal or the most advantageous market for the asset or liability in an orderly transaction between market participants at the measurement date. SFAS 157 establishes a three-level fair value hierarchy that prioritizes the inputs used to measure fair value. The hierarchy requires entities to maximize the use of observable inputs and minimize the use of unobservable inputs. The three levels of inputs in the fair value hierarchy under SFAS 157 are as follows:</w:t>
      </w:r>
    </w:p>
    <w:p>
      <w:pPr>
        <w:spacing w:after="0" w:line="216" w:lineRule="exact"/>
        <w:rPr>
          <w:sz w:val="20"/>
          <w:szCs w:val="20"/>
          <w:color w:val="auto"/>
        </w:rPr>
      </w:pPr>
    </w:p>
    <w:p>
      <w:pPr>
        <w:ind w:left="660" w:right="2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unadjusted quoted prices for identical assets or liabilities in active markets that the Plan has the ability to access.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w:t>
      </w:r>
    </w:p>
    <w:p>
      <w:pPr>
        <w:spacing w:after="0" w:line="9" w:lineRule="exact"/>
        <w:rPr>
          <w:rFonts w:ascii="Arial" w:cs="Arial" w:eastAsia="Arial" w:hAnsi="Arial"/>
          <w:sz w:val="18"/>
          <w:szCs w:val="18"/>
          <w:color w:val="auto"/>
        </w:rPr>
      </w:pPr>
    </w:p>
    <w:p>
      <w:pPr>
        <w:ind w:left="1300" w:hanging="14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300" w:hanging="14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300" w:hanging="14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300" w:hanging="14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asset or liability has a specified (contractual) term, the Level 2 input must be observable for substantially the full term of the asset or liability.</w:t>
      </w:r>
    </w:p>
    <w:p>
      <w:pPr>
        <w:spacing w:after="0" w:line="32" w:lineRule="exact"/>
        <w:rPr>
          <w:sz w:val="20"/>
          <w:szCs w:val="20"/>
          <w:color w:val="auto"/>
        </w:rPr>
      </w:pPr>
    </w:p>
    <w:p>
      <w:pPr>
        <w:ind w:left="5620" w:right="2820" w:hanging="5099"/>
        <w:spacing w:after="0" w:line="542"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&amp; Hawken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2008 and 2007.</w:t>
      </w:r>
    </w:p>
    <w:p>
      <w:pPr>
        <w:spacing w:after="0" w:line="197"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Mutual funds: Valued at the net asset value of shares held by the Plan at year end.</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stocks: Valued at the closing price reported on the active market on which the individual securities are traded.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Participant loans: Valued at amortized cost, which approximates fair value.</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Guaranteed investment contracts: Valued at fair value by discounting the related cash flows based on current yields of similar instruments with comparable durations considering the credit worthiness of the issuer (See Note 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investments measured at fair value on a recurring basis at December 31, 2008:</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4,263,148</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4,263,148</w:t>
            </w:r>
          </w:p>
        </w:tc>
        <w:tc>
          <w:tcPr>
            <w:tcW w:w="100" w:type="dxa"/>
            <w:vAlign w:val="bottom"/>
            <w:shd w:val="clear" w:color="auto" w:fill="CCFFC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Common stocks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65,527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65,527</w:t>
            </w: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Stable value investment contracts</w:t>
            </w:r>
          </w:p>
        </w:tc>
        <w:tc>
          <w:tcPr>
            <w:tcW w:w="16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884,478</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884,478</w:t>
            </w:r>
          </w:p>
        </w:tc>
        <w:tc>
          <w:tcPr>
            <w:tcW w:w="100" w:type="dxa"/>
            <w:vAlign w:val="bottom"/>
            <w:shd w:val="clear" w:color="auto" w:fill="CCFFC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Participant loans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94,576</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94,576</w:t>
            </w:r>
          </w:p>
        </w:tc>
      </w:tr>
      <w:tr>
        <w:trPr>
          <w:trHeight w:val="27"/>
        </w:trPr>
        <w:tc>
          <w:tcPr>
            <w:tcW w:w="4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investments at fair value</w:t>
            </w:r>
          </w:p>
        </w:tc>
        <w:tc>
          <w:tcPr>
            <w:tcW w:w="162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4,328,675</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884,478</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94,576</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5,307,729</w:t>
            </w:r>
          </w:p>
        </w:tc>
        <w:tc>
          <w:tcPr>
            <w:tcW w:w="100" w:type="dxa"/>
            <w:vAlign w:val="bottom"/>
            <w:shd w:val="clear" w:color="auto" w:fill="CCFFCC"/>
          </w:tcPr>
          <w:p>
            <w:pPr>
              <w:spacing w:after="0"/>
              <w:rPr>
                <w:sz w:val="20"/>
                <w:szCs w:val="20"/>
                <w:color w:val="auto"/>
              </w:rPr>
            </w:pPr>
          </w:p>
        </w:tc>
      </w:tr>
      <w:tr>
        <w:trPr>
          <w:trHeight w:val="20"/>
        </w:trPr>
        <w:tc>
          <w:tcPr>
            <w:tcW w:w="4040" w:type="dxa"/>
            <w:vAlign w:val="bottom"/>
            <w:tcBorders>
              <w:top w:val="single" w:sz="8" w:color="CCFFCC"/>
            </w:tcBorders>
            <w:shd w:val="clear" w:color="auto" w:fill="CCFFCC"/>
          </w:tcPr>
          <w:p>
            <w:pPr>
              <w:spacing w:after="0" w:line="20" w:lineRule="exact"/>
              <w:rPr>
                <w:sz w:val="1"/>
                <w:szCs w:val="1"/>
                <w:color w:val="auto"/>
              </w:rPr>
            </w:pPr>
          </w:p>
        </w:tc>
        <w:tc>
          <w:tcPr>
            <w:tcW w:w="16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2" w:lineRule="exact"/>
        <w:rPr>
          <w:sz w:val="20"/>
          <w:szCs w:val="20"/>
          <w:color w:val="auto"/>
        </w:rPr>
      </w:pPr>
    </w:p>
    <w:p>
      <w:pPr>
        <w:ind w:left="180" w:right="380"/>
        <w:spacing w:after="0" w:line="251" w:lineRule="auto"/>
        <w:rPr>
          <w:sz w:val="20"/>
          <w:szCs w:val="20"/>
          <w:color w:val="auto"/>
        </w:rPr>
      </w:pPr>
      <w:r>
        <w:rPr>
          <w:rFonts w:ascii="Arial" w:cs="Arial" w:eastAsia="Arial" w:hAnsi="Arial"/>
          <w:sz w:val="22"/>
          <w:szCs w:val="22"/>
          <w:color w:val="auto"/>
        </w:rPr>
        <w:t>The table below sets forth a summary of changes in the fair value of the Plan’s level 3 assets for the year ended December 31, 2008: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 3 Assets</w:t>
            </w:r>
          </w:p>
        </w:tc>
        <w:tc>
          <w:tcPr>
            <w:tcW w:w="1140" w:type="dxa"/>
            <w:vAlign w:val="bottom"/>
          </w:tcPr>
          <w:p>
            <w:pPr>
              <w:spacing w:after="0"/>
              <w:rPr>
                <w:sz w:val="20"/>
                <w:szCs w:val="20"/>
                <w:color w:val="auto"/>
              </w:rPr>
            </w:pPr>
          </w:p>
        </w:tc>
      </w:tr>
      <w:tr>
        <w:trPr>
          <w:trHeight w:val="225"/>
        </w:trPr>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8"/>
                <w:szCs w:val="18"/>
                <w:b w:val="1"/>
                <w:bCs w:val="1"/>
                <w:color w:val="auto"/>
                <w:w w:val="92"/>
              </w:rPr>
              <w:t>Year Ended December 31, 2008</w:t>
            </w:r>
          </w:p>
        </w:tc>
        <w:tc>
          <w:tcPr>
            <w:tcW w:w="1140" w:type="dxa"/>
            <w:vAlign w:val="bottom"/>
          </w:tcPr>
          <w:p>
            <w:pPr>
              <w:spacing w:after="0"/>
              <w:rPr>
                <w:sz w:val="19"/>
                <w:szCs w:val="19"/>
                <w:color w:val="auto"/>
              </w:rPr>
            </w:pPr>
          </w:p>
        </w:tc>
      </w:tr>
      <w:tr>
        <w:trPr>
          <w:trHeight w:val="241"/>
        </w:trPr>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Participant Loans</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Balance, beginning of year</w:t>
            </w:r>
          </w:p>
        </w:tc>
        <w:tc>
          <w:tcPr>
            <w:tcW w:w="3460" w:type="dxa"/>
            <w:vAlign w:val="bottom"/>
            <w:gridSpan w:val="2"/>
            <w:shd w:val="clear" w:color="auto" w:fill="CCFFCC"/>
          </w:tcPr>
          <w:p>
            <w:pPr>
              <w:ind w:left="316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76,346</w:t>
            </w:r>
          </w:p>
        </w:tc>
        <w:tc>
          <w:tcPr>
            <w:tcW w:w="114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Purchases, sales, issuances and settlements (net)</w:t>
            </w:r>
          </w:p>
        </w:tc>
        <w:tc>
          <w:tcPr>
            <w:tcW w:w="3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180" w:type="dxa"/>
            <w:vAlign w:val="bottom"/>
          </w:tcPr>
          <w:p>
            <w:pPr>
              <w:spacing w:after="0"/>
              <w:rPr>
                <w:sz w:val="22"/>
                <w:szCs w:val="22"/>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Ending Balance</w:t>
            </w:r>
          </w:p>
        </w:tc>
        <w:tc>
          <w:tcPr>
            <w:tcW w:w="3460" w:type="dxa"/>
            <w:vAlign w:val="bottom"/>
            <w:gridSpan w:val="2"/>
            <w:shd w:val="clear" w:color="auto" w:fill="CCFFCC"/>
          </w:tcPr>
          <w:p>
            <w:pPr>
              <w:ind w:left="316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94,576</w:t>
            </w:r>
          </w:p>
        </w:tc>
        <w:tc>
          <w:tcPr>
            <w:tcW w:w="1140" w:type="dxa"/>
            <w:vAlign w:val="bottom"/>
          </w:tcPr>
          <w:p>
            <w:pPr>
              <w:spacing w:after="0"/>
              <w:rPr>
                <w:sz w:val="22"/>
                <w:szCs w:val="22"/>
                <w:color w:val="auto"/>
              </w:rPr>
            </w:pPr>
          </w:p>
        </w:tc>
      </w:tr>
      <w:tr>
        <w:trPr>
          <w:trHeight w:val="453"/>
        </w:trPr>
        <w:tc>
          <w:tcPr>
            <w:tcW w:w="180" w:type="dxa"/>
            <w:vAlign w:val="bottom"/>
          </w:tcPr>
          <w:p>
            <w:pPr>
              <w:spacing w:after="0"/>
              <w:rPr>
                <w:sz w:val="24"/>
                <w:szCs w:val="24"/>
                <w:color w:val="auto"/>
              </w:rPr>
            </w:pPr>
          </w:p>
        </w:tc>
        <w:tc>
          <w:tcPr>
            <w:tcW w:w="4460" w:type="dxa"/>
            <w:vAlign w:val="bottom"/>
            <w:tcBorders>
              <w:top w:val="single" w:sz="8" w:color="CCFFCC"/>
            </w:tcBorders>
          </w:tcPr>
          <w:p>
            <w:pPr>
              <w:spacing w:after="0"/>
              <w:rPr>
                <w:sz w:val="24"/>
                <w:szCs w:val="24"/>
                <w:color w:val="auto"/>
              </w:rPr>
            </w:pPr>
          </w:p>
        </w:tc>
        <w:tc>
          <w:tcPr>
            <w:tcW w:w="3160" w:type="dxa"/>
            <w:vAlign w:val="bottom"/>
            <w:tcBorders>
              <w:top w:val="single" w:sz="8" w:color="CCFFCC"/>
            </w:tcBorders>
          </w:tcPr>
          <w:p>
            <w:pPr>
              <w:jc w:val="right"/>
              <w:ind w:right="1910"/>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&amp; Hawken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RECENT ACCOUNTING PRONOUNCEMENTS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2008, the FASB issued SFAS No. 161, "Disclosure about Derivative Instruments and Hedging Activities" ("SFAS 161"), which amends the disclosure requirements of SFAS No. 133, “Accounting for Derivative instruments and Hedging Activities.” SFAS 161 requires increased disclosures about derivative instruments and hedging activities and their effects on an entity's financial position, financial performance, and cash flows. SFAS is effective for fiscal years beginning after November 15, 2008, with early adoption permitted. SFAS 161 is not expected to have a material impact on the Plan's financial statements.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2008, the FASB issued SFAS No. 162, "The Hierarchy of Generally Accepted Accounting Principles" ("SFAS 162"), which is intended to improve financial reporting by identifying the sources of accounting principles and the consistent framework, or hierarchy, for selecting principles to be used in preparing financial statements that are presented in conformity with U.S. GAAP for nongovernmental entities. SFAS 162 will be effective 60 days after the U.S. Securities and Exchange Commission approves the Public Company Accounting Oversight Board's amendments to AU section 411, "The Meaning of Present Fairly in Conformity With Generally Accepted Accounting Principles". SFAS 162 is not expected to have a material impact on the Plan's financial statements.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2009, the FASB issued three FASB Staff Positions, which provide additional guidance and enhance disclosures regarding fair value measurements and impairment of securities, FASB Staff Position No. FAS 107-1 and APB 28-1, “Interim Disclosures about Fair Value Financial Instruments,” FASB Staff Position No. FAS 115-2 and FAS 124-2, “Recognition and Presentation of Other-Than-Temporary Impairments,” and FASB Staff Position No. FAS 157-4, “Determining Fair Value When the Volume and Level of Activity for the Asset or Liability Have Significantly Decreased and Identifying Transactions That Are Not Orderly.” These staff positions 1) require that the fair value of all financial instruments be disclosed in both interim and annual reporting periods; 2) modify the criteria used to assess other-than-temporary impairments (OTTI) of debt securities and collectability of cash flows; 3) bifurcate the recognition of OTTI between earnings and other comprehensive income; 4) require expanded and more frequent disclosures about OTTI; 5) permit adjustments to estimated fair values when, due to significant decrease in the volume and level of market activity or evidence that a market is not orderly, the valuation technique does not fairly present the price at which willing market participants would transact at the measurement date; and 6) require disclosure about inputs and valuation techniques used to measure fair value for both interim and annual reporting periods. The staff positions are effective for interim reporting periods ending after June 15, 2009, with early adoption permitted. The sponsor has not determined the effect of adopting the staff positions on the net assets available for benefits and changes in those net assets.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SCHEDULE OF ASSETS HELD FOR INVESTMENT PURPOSES AT END OF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5500, Schedule H, Part IV, Line 4i</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&amp; Hawken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3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EIN 06-1359589</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Plan Number 001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Arial" w:cs="Arial" w:eastAsia="Arial" w:hAnsi="Arial"/>
                <w:sz w:val="14"/>
                <w:szCs w:val="14"/>
                <w:color w:val="auto"/>
                <w:w w:val="93"/>
              </w:rPr>
              <w:t>(b)</w:t>
            </w:r>
          </w:p>
        </w:tc>
        <w:tc>
          <w:tcPr>
            <w:tcW w:w="240" w:type="dxa"/>
            <w:vAlign w:val="bottom"/>
          </w:tcPr>
          <w:p>
            <w:pPr>
              <w:spacing w:after="0"/>
              <w:rPr>
                <w:sz w:val="14"/>
                <w:szCs w:val="14"/>
                <w:color w:val="auto"/>
              </w:rPr>
            </w:pPr>
          </w:p>
        </w:tc>
        <w:tc>
          <w:tcPr>
            <w:tcW w:w="4340" w:type="dxa"/>
            <w:vAlign w:val="bottom"/>
          </w:tcPr>
          <w:p>
            <w:pPr>
              <w:jc w:val="center"/>
              <w:spacing w:after="0"/>
              <w:rPr>
                <w:sz w:val="20"/>
                <w:szCs w:val="20"/>
                <w:color w:val="auto"/>
              </w:rPr>
            </w:pPr>
            <w:r>
              <w:rPr>
                <w:rFonts w:ascii="Arial" w:cs="Arial" w:eastAsia="Arial" w:hAnsi="Arial"/>
                <w:sz w:val="14"/>
                <w:szCs w:val="14"/>
                <w:color w:val="auto"/>
                <w:w w:val="91"/>
              </w:rPr>
              <w:t>( c )</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0" w:type="dxa"/>
            <w:vAlign w:val="bottom"/>
          </w:tcPr>
          <w:p>
            <w:pPr>
              <w:jc w:val="center"/>
              <w:spacing w:after="0" w:line="149" w:lineRule="exact"/>
              <w:rPr>
                <w:sz w:val="20"/>
                <w:szCs w:val="20"/>
                <w:color w:val="auto"/>
              </w:rPr>
            </w:pPr>
            <w:r>
              <w:rPr>
                <w:rFonts w:ascii="Arial" w:cs="Arial" w:eastAsia="Arial" w:hAnsi="Arial"/>
                <w:sz w:val="14"/>
                <w:szCs w:val="14"/>
                <w:color w:val="auto"/>
                <w:w w:val="96"/>
              </w:rPr>
              <w:t>Identity of Issue,</w:t>
            </w:r>
          </w:p>
        </w:tc>
        <w:tc>
          <w:tcPr>
            <w:tcW w:w="240" w:type="dxa"/>
            <w:vAlign w:val="bottom"/>
          </w:tcPr>
          <w:p>
            <w:pPr>
              <w:spacing w:after="0"/>
              <w:rPr>
                <w:sz w:val="12"/>
                <w:szCs w:val="12"/>
                <w:color w:val="auto"/>
              </w:rPr>
            </w:pPr>
          </w:p>
        </w:tc>
        <w:tc>
          <w:tcPr>
            <w:tcW w:w="4340" w:type="dxa"/>
            <w:vAlign w:val="bottom"/>
          </w:tcPr>
          <w:p>
            <w:pPr>
              <w:jc w:val="center"/>
              <w:spacing w:after="0" w:line="149" w:lineRule="exact"/>
              <w:rPr>
                <w:sz w:val="20"/>
                <w:szCs w:val="20"/>
                <w:color w:val="auto"/>
              </w:rPr>
            </w:pPr>
            <w:r>
              <w:rPr>
                <w:rFonts w:ascii="Arial" w:cs="Arial" w:eastAsia="Arial" w:hAnsi="Arial"/>
                <w:sz w:val="14"/>
                <w:szCs w:val="14"/>
                <w:color w:val="auto"/>
                <w:w w:val="96"/>
              </w:rPr>
              <w:t>Description of Investment Including</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(e)</w:t>
            </w:r>
          </w:p>
        </w:tc>
      </w:tr>
      <w:tr>
        <w:trPr>
          <w:trHeight w:val="149"/>
        </w:trPr>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0" w:type="dxa"/>
            <w:vAlign w:val="bottom"/>
          </w:tcPr>
          <w:p>
            <w:pPr>
              <w:jc w:val="center"/>
              <w:spacing w:after="0" w:line="149" w:lineRule="exact"/>
              <w:rPr>
                <w:sz w:val="20"/>
                <w:szCs w:val="20"/>
                <w:color w:val="auto"/>
              </w:rPr>
            </w:pPr>
            <w:r>
              <w:rPr>
                <w:rFonts w:ascii="Arial" w:cs="Arial" w:eastAsia="Arial" w:hAnsi="Arial"/>
                <w:sz w:val="14"/>
                <w:szCs w:val="14"/>
                <w:color w:val="auto"/>
                <w:w w:val="92"/>
              </w:rPr>
              <w:t>Borrower, Lessor,</w:t>
            </w:r>
          </w:p>
        </w:tc>
        <w:tc>
          <w:tcPr>
            <w:tcW w:w="240" w:type="dxa"/>
            <w:vAlign w:val="bottom"/>
          </w:tcPr>
          <w:p>
            <w:pPr>
              <w:spacing w:after="0"/>
              <w:rPr>
                <w:sz w:val="12"/>
                <w:szCs w:val="12"/>
                <w:color w:val="auto"/>
              </w:rPr>
            </w:pPr>
          </w:p>
        </w:tc>
        <w:tc>
          <w:tcPr>
            <w:tcW w:w="4340" w:type="dxa"/>
            <w:vAlign w:val="bottom"/>
          </w:tcPr>
          <w:p>
            <w:pPr>
              <w:jc w:val="center"/>
              <w:spacing w:after="0" w:line="149" w:lineRule="exact"/>
              <w:rPr>
                <w:sz w:val="20"/>
                <w:szCs w:val="20"/>
                <w:color w:val="auto"/>
              </w:rPr>
            </w:pPr>
            <w:r>
              <w:rPr>
                <w:rFonts w:ascii="Arial" w:cs="Arial" w:eastAsia="Arial" w:hAnsi="Arial"/>
                <w:sz w:val="14"/>
                <w:szCs w:val="14"/>
                <w:color w:val="auto"/>
                <w:w w:val="95"/>
              </w:rPr>
              <w:t>Maturity Date, Rate of Interest,</w:t>
            </w:r>
          </w:p>
        </w:tc>
        <w:tc>
          <w:tcPr>
            <w:tcW w:w="240" w:type="dxa"/>
            <w:vAlign w:val="bottom"/>
          </w:tcPr>
          <w:p>
            <w:pPr>
              <w:spacing w:after="0"/>
              <w:rPr>
                <w:sz w:val="12"/>
                <w:szCs w:val="12"/>
                <w:color w:val="auto"/>
              </w:rPr>
            </w:pPr>
          </w:p>
        </w:tc>
        <w:tc>
          <w:tcPr>
            <w:tcW w:w="680" w:type="dxa"/>
            <w:vAlign w:val="bottom"/>
          </w:tcPr>
          <w:p>
            <w:pPr>
              <w:ind w:left="260"/>
              <w:spacing w:after="0" w:line="149" w:lineRule="exact"/>
              <w:rPr>
                <w:sz w:val="20"/>
                <w:szCs w:val="20"/>
                <w:color w:val="auto"/>
              </w:rPr>
            </w:pPr>
            <w:r>
              <w:rPr>
                <w:rFonts w:ascii="Arial" w:cs="Arial" w:eastAsia="Arial" w:hAnsi="Arial"/>
                <w:sz w:val="14"/>
                <w:szCs w:val="14"/>
                <w:color w:val="auto"/>
              </w:rPr>
              <w:t>(d)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Current</w:t>
            </w:r>
          </w:p>
        </w:tc>
      </w:tr>
      <w:tr>
        <w:trPr>
          <w:trHeight w:val="174"/>
        </w:trPr>
        <w:tc>
          <w:tcPr>
            <w:tcW w:w="24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22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Arial" w:cs="Arial" w:eastAsia="Arial" w:hAnsi="Arial"/>
                <w:sz w:val="14"/>
                <w:szCs w:val="14"/>
                <w:color w:val="auto"/>
                <w:w w:val="96"/>
              </w:rPr>
              <w:t>or Similar Party</w:t>
            </w:r>
          </w:p>
        </w:tc>
        <w:tc>
          <w:tcPr>
            <w:tcW w:w="240" w:type="dxa"/>
            <w:vAlign w:val="bottom"/>
          </w:tcPr>
          <w:p>
            <w:pPr>
              <w:spacing w:after="0"/>
              <w:rPr>
                <w:sz w:val="15"/>
                <w:szCs w:val="15"/>
                <w:color w:val="auto"/>
              </w:rPr>
            </w:pPr>
          </w:p>
        </w:tc>
        <w:tc>
          <w:tcPr>
            <w:tcW w:w="4340" w:type="dxa"/>
            <w:vAlign w:val="bottom"/>
          </w:tcPr>
          <w:p>
            <w:pPr>
              <w:jc w:val="center"/>
              <w:spacing w:after="0"/>
              <w:rPr>
                <w:sz w:val="20"/>
                <w:szCs w:val="20"/>
                <w:color w:val="auto"/>
              </w:rPr>
            </w:pPr>
            <w:r>
              <w:rPr>
                <w:rFonts w:ascii="Arial" w:cs="Arial" w:eastAsia="Arial" w:hAnsi="Arial"/>
                <w:sz w:val="14"/>
                <w:szCs w:val="14"/>
                <w:color w:val="auto"/>
                <w:w w:val="95"/>
              </w:rPr>
              <w:t>Collateral, Par or Maturity Value</w:t>
            </w:r>
          </w:p>
        </w:tc>
        <w:tc>
          <w:tcPr>
            <w:tcW w:w="24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Cost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Value</w:t>
            </w:r>
          </w:p>
        </w:tc>
      </w:tr>
      <w:tr>
        <w:trPr>
          <w:trHeight w:val="149"/>
        </w:trPr>
        <w:tc>
          <w:tcPr>
            <w:tcW w:w="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spacing w:after="0"/>
              <w:rPr>
                <w:sz w:val="12"/>
                <w:szCs w:val="12"/>
                <w:color w:val="auto"/>
              </w:rPr>
            </w:pPr>
          </w:p>
        </w:tc>
        <w:tc>
          <w:tcPr>
            <w:tcW w:w="422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All/Bern Balanced A</w:t>
            </w:r>
          </w:p>
        </w:tc>
        <w:tc>
          <w:tcPr>
            <w:tcW w:w="240" w:type="dxa"/>
            <w:vAlign w:val="bottom"/>
            <w:shd w:val="clear" w:color="auto" w:fill="CCFFCC"/>
          </w:tcPr>
          <w:p>
            <w:pPr>
              <w:spacing w:after="0"/>
              <w:rPr>
                <w:sz w:val="12"/>
                <w:szCs w:val="12"/>
                <w:color w:val="auto"/>
              </w:rPr>
            </w:pPr>
          </w:p>
        </w:tc>
        <w:tc>
          <w:tcPr>
            <w:tcW w:w="4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ind w:left="28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339,921</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4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Columbia Acorn A</w:t>
            </w:r>
          </w:p>
        </w:tc>
        <w:tc>
          <w:tcPr>
            <w:tcW w:w="24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tcPr>
          <w:p>
            <w:pPr>
              <w:spacing w:after="0"/>
              <w:rPr>
                <w:sz w:val="12"/>
                <w:szCs w:val="12"/>
                <w:color w:val="auto"/>
              </w:rPr>
            </w:pPr>
          </w:p>
        </w:tc>
        <w:tc>
          <w:tcPr>
            <w:tcW w:w="680" w:type="dxa"/>
            <w:vAlign w:val="bottom"/>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443,557</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422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Advisor Diversified International Fund</w:t>
            </w:r>
          </w:p>
        </w:tc>
        <w:tc>
          <w:tcPr>
            <w:tcW w:w="240" w:type="dxa"/>
            <w:vAlign w:val="bottom"/>
            <w:shd w:val="clear" w:color="auto" w:fill="CCFFCC"/>
          </w:tcPr>
          <w:p>
            <w:pPr>
              <w:spacing w:after="0"/>
              <w:rPr>
                <w:sz w:val="12"/>
                <w:szCs w:val="12"/>
                <w:color w:val="auto"/>
              </w:rPr>
            </w:pPr>
          </w:p>
        </w:tc>
        <w:tc>
          <w:tcPr>
            <w:tcW w:w="4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480,316</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4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Advisor Dividend Growth Fund</w:t>
            </w:r>
          </w:p>
        </w:tc>
        <w:tc>
          <w:tcPr>
            <w:tcW w:w="24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tcPr>
          <w:p>
            <w:pPr>
              <w:spacing w:after="0"/>
              <w:rPr>
                <w:sz w:val="12"/>
                <w:szCs w:val="12"/>
                <w:color w:val="auto"/>
              </w:rPr>
            </w:pPr>
          </w:p>
        </w:tc>
        <w:tc>
          <w:tcPr>
            <w:tcW w:w="680" w:type="dxa"/>
            <w:vAlign w:val="bottom"/>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422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Advisor International Small Cap T</w:t>
            </w:r>
          </w:p>
        </w:tc>
        <w:tc>
          <w:tcPr>
            <w:tcW w:w="240" w:type="dxa"/>
            <w:vAlign w:val="bottom"/>
            <w:shd w:val="clear" w:color="auto" w:fill="CCFFCC"/>
          </w:tcPr>
          <w:p>
            <w:pPr>
              <w:spacing w:after="0"/>
              <w:rPr>
                <w:sz w:val="12"/>
                <w:szCs w:val="12"/>
                <w:color w:val="auto"/>
              </w:rPr>
            </w:pPr>
          </w:p>
        </w:tc>
        <w:tc>
          <w:tcPr>
            <w:tcW w:w="4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294,845</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4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Advisor Leveraged Common Stock Fund</w:t>
            </w:r>
          </w:p>
        </w:tc>
        <w:tc>
          <w:tcPr>
            <w:tcW w:w="24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tcPr>
          <w:p>
            <w:pPr>
              <w:spacing w:after="0"/>
              <w:rPr>
                <w:sz w:val="12"/>
                <w:szCs w:val="12"/>
                <w:color w:val="auto"/>
              </w:rPr>
            </w:pPr>
          </w:p>
        </w:tc>
        <w:tc>
          <w:tcPr>
            <w:tcW w:w="680" w:type="dxa"/>
            <w:vAlign w:val="bottom"/>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3,579</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422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Advisor New Insights</w:t>
            </w:r>
          </w:p>
        </w:tc>
        <w:tc>
          <w:tcPr>
            <w:tcW w:w="240" w:type="dxa"/>
            <w:vAlign w:val="bottom"/>
            <w:shd w:val="clear" w:color="auto" w:fill="CCFFCC"/>
          </w:tcPr>
          <w:p>
            <w:pPr>
              <w:spacing w:after="0"/>
              <w:rPr>
                <w:sz w:val="12"/>
                <w:szCs w:val="12"/>
                <w:color w:val="auto"/>
              </w:rPr>
            </w:pPr>
          </w:p>
        </w:tc>
        <w:tc>
          <w:tcPr>
            <w:tcW w:w="4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730,433</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4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Advisor Stable Value</w:t>
            </w:r>
          </w:p>
        </w:tc>
        <w:tc>
          <w:tcPr>
            <w:tcW w:w="24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Common Collective Trust</w:t>
            </w:r>
          </w:p>
        </w:tc>
        <w:tc>
          <w:tcPr>
            <w:tcW w:w="240" w:type="dxa"/>
            <w:vAlign w:val="bottom"/>
          </w:tcPr>
          <w:p>
            <w:pPr>
              <w:spacing w:after="0"/>
              <w:rPr>
                <w:sz w:val="12"/>
                <w:szCs w:val="12"/>
                <w:color w:val="auto"/>
              </w:rPr>
            </w:pPr>
          </w:p>
        </w:tc>
        <w:tc>
          <w:tcPr>
            <w:tcW w:w="680" w:type="dxa"/>
            <w:vAlign w:val="bottom"/>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884,478</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422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Advisor Strategic Income Fund</w:t>
            </w:r>
          </w:p>
        </w:tc>
        <w:tc>
          <w:tcPr>
            <w:tcW w:w="240" w:type="dxa"/>
            <w:vAlign w:val="bottom"/>
            <w:shd w:val="clear" w:color="auto" w:fill="CCFFCC"/>
          </w:tcPr>
          <w:p>
            <w:pPr>
              <w:spacing w:after="0"/>
              <w:rPr>
                <w:sz w:val="12"/>
                <w:szCs w:val="12"/>
                <w:color w:val="auto"/>
              </w:rPr>
            </w:pPr>
          </w:p>
        </w:tc>
        <w:tc>
          <w:tcPr>
            <w:tcW w:w="4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425,967</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4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JPM Intrepid America Fund</w:t>
            </w:r>
          </w:p>
        </w:tc>
        <w:tc>
          <w:tcPr>
            <w:tcW w:w="24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tcPr>
          <w:p>
            <w:pPr>
              <w:spacing w:after="0"/>
              <w:rPr>
                <w:sz w:val="12"/>
                <w:szCs w:val="12"/>
                <w:color w:val="auto"/>
              </w:rPr>
            </w:pPr>
          </w:p>
        </w:tc>
        <w:tc>
          <w:tcPr>
            <w:tcW w:w="680" w:type="dxa"/>
            <w:vAlign w:val="bottom"/>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513,529</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spacing w:after="0"/>
              <w:rPr>
                <w:sz w:val="12"/>
                <w:szCs w:val="12"/>
                <w:color w:val="auto"/>
              </w:rPr>
            </w:pPr>
          </w:p>
        </w:tc>
        <w:tc>
          <w:tcPr>
            <w:tcW w:w="422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JPM Intrepid Value Fund</w:t>
            </w:r>
          </w:p>
        </w:tc>
        <w:tc>
          <w:tcPr>
            <w:tcW w:w="240" w:type="dxa"/>
            <w:vAlign w:val="bottom"/>
            <w:shd w:val="clear" w:color="auto" w:fill="CCFFCC"/>
          </w:tcPr>
          <w:p>
            <w:pPr>
              <w:spacing w:after="0"/>
              <w:rPr>
                <w:sz w:val="12"/>
                <w:szCs w:val="12"/>
                <w:color w:val="auto"/>
              </w:rPr>
            </w:pPr>
          </w:p>
        </w:tc>
        <w:tc>
          <w:tcPr>
            <w:tcW w:w="4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147,651</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4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JPM Equity Index Fund</w:t>
            </w:r>
          </w:p>
        </w:tc>
        <w:tc>
          <w:tcPr>
            <w:tcW w:w="24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tcPr>
          <w:p>
            <w:pPr>
              <w:spacing w:after="0"/>
              <w:rPr>
                <w:sz w:val="12"/>
                <w:szCs w:val="12"/>
                <w:color w:val="auto"/>
              </w:rPr>
            </w:pPr>
          </w:p>
        </w:tc>
        <w:tc>
          <w:tcPr>
            <w:tcW w:w="680" w:type="dxa"/>
            <w:vAlign w:val="bottom"/>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586,488</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spacing w:after="0"/>
              <w:rPr>
                <w:sz w:val="12"/>
                <w:szCs w:val="12"/>
                <w:color w:val="auto"/>
              </w:rPr>
            </w:pPr>
          </w:p>
        </w:tc>
        <w:tc>
          <w:tcPr>
            <w:tcW w:w="422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Robertson Stephens Partners</w:t>
            </w:r>
          </w:p>
        </w:tc>
        <w:tc>
          <w:tcPr>
            <w:tcW w:w="240" w:type="dxa"/>
            <w:vAlign w:val="bottom"/>
            <w:shd w:val="clear" w:color="auto" w:fill="CCFFCC"/>
          </w:tcPr>
          <w:p>
            <w:pPr>
              <w:spacing w:after="0"/>
              <w:rPr>
                <w:sz w:val="12"/>
                <w:szCs w:val="12"/>
                <w:color w:val="auto"/>
              </w:rPr>
            </w:pPr>
          </w:p>
        </w:tc>
        <w:tc>
          <w:tcPr>
            <w:tcW w:w="4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Mutual Fund</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296,857</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4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The Scotts Company Common Shares</w:t>
            </w:r>
          </w:p>
        </w:tc>
        <w:tc>
          <w:tcPr>
            <w:tcW w:w="24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Employer Securities</w:t>
            </w:r>
          </w:p>
        </w:tc>
        <w:tc>
          <w:tcPr>
            <w:tcW w:w="240" w:type="dxa"/>
            <w:vAlign w:val="bottom"/>
          </w:tcPr>
          <w:p>
            <w:pPr>
              <w:spacing w:after="0"/>
              <w:rPr>
                <w:sz w:val="12"/>
                <w:szCs w:val="12"/>
                <w:color w:val="auto"/>
              </w:rPr>
            </w:pPr>
          </w:p>
        </w:tc>
        <w:tc>
          <w:tcPr>
            <w:tcW w:w="680" w:type="dxa"/>
            <w:vAlign w:val="bottom"/>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65,527</w:t>
            </w:r>
          </w:p>
        </w:tc>
        <w:tc>
          <w:tcPr>
            <w:tcW w:w="100" w:type="dxa"/>
            <w:vAlign w:val="bottom"/>
          </w:tcPr>
          <w:p>
            <w:pPr>
              <w:spacing w:after="0"/>
              <w:rPr>
                <w:sz w:val="12"/>
                <w:szCs w:val="12"/>
                <w:color w:val="auto"/>
              </w:rPr>
            </w:pPr>
          </w:p>
        </w:tc>
      </w:tr>
      <w:tr>
        <w:trPr>
          <w:trHeight w:val="156"/>
        </w:trPr>
        <w:tc>
          <w:tcPr>
            <w:tcW w:w="240" w:type="dxa"/>
            <w:vAlign w:val="bottom"/>
            <w:tcBorders>
              <w:bottom w:val="single" w:sz="8" w:color="CCFFCC"/>
            </w:tcBorders>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4220" w:type="dxa"/>
            <w:vAlign w:val="bottom"/>
            <w:tcBorders>
              <w:bottom w:val="single" w:sz="8" w:color="CCFFCC"/>
            </w:tcBorders>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Participant Loans</w:t>
            </w:r>
          </w:p>
        </w:tc>
        <w:tc>
          <w:tcPr>
            <w:tcW w:w="240" w:type="dxa"/>
            <w:vAlign w:val="bottom"/>
            <w:tcBorders>
              <w:bottom w:val="single" w:sz="8" w:color="CCFFCC"/>
            </w:tcBorders>
            <w:shd w:val="clear" w:color="auto" w:fill="CCFFCC"/>
          </w:tcPr>
          <w:p>
            <w:pPr>
              <w:spacing w:after="0"/>
              <w:rPr>
                <w:sz w:val="13"/>
                <w:szCs w:val="13"/>
                <w:color w:val="auto"/>
              </w:rPr>
            </w:pPr>
          </w:p>
        </w:tc>
        <w:tc>
          <w:tcPr>
            <w:tcW w:w="4340" w:type="dxa"/>
            <w:vAlign w:val="bottom"/>
            <w:tcBorders>
              <w:bottom w:val="single" w:sz="8" w:color="CCFFCC"/>
            </w:tcBorders>
            <w:shd w:val="clear" w:color="auto" w:fill="CCFFCC"/>
          </w:tcPr>
          <w:p>
            <w:pPr>
              <w:spacing w:after="0" w:line="149" w:lineRule="exact"/>
              <w:rPr>
                <w:sz w:val="20"/>
                <w:szCs w:val="20"/>
                <w:color w:val="auto"/>
              </w:rPr>
            </w:pPr>
            <w:r>
              <w:rPr>
                <w:rFonts w:ascii="Arial" w:cs="Arial" w:eastAsia="Arial" w:hAnsi="Arial"/>
                <w:sz w:val="14"/>
                <w:szCs w:val="14"/>
                <w:color w:val="auto"/>
              </w:rPr>
              <w:t>Notes receivable (interest at prevailing local rate)</w:t>
            </w:r>
          </w:p>
        </w:tc>
        <w:tc>
          <w:tcPr>
            <w:tcW w:w="24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CCFFCC"/>
            </w:tcBorders>
            <w:shd w:val="clear" w:color="auto" w:fill="CCFFCC"/>
          </w:tcPr>
          <w:p>
            <w:pPr>
              <w:ind w:left="280"/>
              <w:spacing w:after="0" w:line="149" w:lineRule="exact"/>
              <w:rPr>
                <w:sz w:val="20"/>
                <w:szCs w:val="20"/>
                <w:color w:val="auto"/>
              </w:rPr>
            </w:pPr>
            <w:r>
              <w:rPr>
                <w:rFonts w:ascii="Arial" w:cs="Arial" w:eastAsia="Arial" w:hAnsi="Arial"/>
                <w:sz w:val="14"/>
                <w:szCs w:val="14"/>
                <w:color w:val="auto"/>
              </w:rPr>
              <w:t>N/A</w:t>
            </w:r>
          </w:p>
        </w:tc>
        <w:tc>
          <w:tcPr>
            <w:tcW w:w="220" w:type="dxa"/>
            <w:vAlign w:val="bottom"/>
            <w:tcBorders>
              <w:bottom w:val="single" w:sz="8" w:color="CCFFCC"/>
            </w:tcBorders>
            <w:shd w:val="clear" w:color="auto" w:fill="CCFFCC"/>
          </w:tcPr>
          <w:p>
            <w:pPr>
              <w:spacing w:after="0"/>
              <w:rPr>
                <w:sz w:val="13"/>
                <w:szCs w:val="13"/>
                <w:color w:val="auto"/>
              </w:rPr>
            </w:pPr>
          </w:p>
        </w:tc>
        <w:tc>
          <w:tcPr>
            <w:tcW w:w="200" w:type="dxa"/>
            <w:vAlign w:val="bottom"/>
            <w:tcBorders>
              <w:bottom w:val="single" w:sz="8" w:color="auto"/>
            </w:tcBorders>
            <w:shd w:val="clear" w:color="auto" w:fill="CCFFCC"/>
          </w:tcPr>
          <w:p>
            <w:pPr>
              <w:spacing w:after="0"/>
              <w:rPr>
                <w:sz w:val="13"/>
                <w:szCs w:val="13"/>
                <w:color w:val="auto"/>
              </w:rPr>
            </w:pPr>
          </w:p>
        </w:tc>
        <w:tc>
          <w:tcPr>
            <w:tcW w:w="9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94,576</w:t>
            </w:r>
          </w:p>
        </w:tc>
        <w:tc>
          <w:tcPr>
            <w:tcW w:w="100" w:type="dxa"/>
            <w:vAlign w:val="bottom"/>
            <w:tcBorders>
              <w:bottom w:val="single" w:sz="8" w:color="CCFFCC"/>
            </w:tcBorders>
            <w:shd w:val="clear" w:color="auto" w:fill="CCFFCC"/>
          </w:tcPr>
          <w:p>
            <w:pPr>
              <w:spacing w:after="0"/>
              <w:rPr>
                <w:sz w:val="13"/>
                <w:szCs w:val="13"/>
                <w:color w:val="auto"/>
              </w:rPr>
            </w:pPr>
          </w:p>
        </w:tc>
      </w:tr>
      <w:tr>
        <w:trPr>
          <w:trHeight w:val="149"/>
        </w:trPr>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5,307,729</w:t>
            </w:r>
          </w:p>
        </w:tc>
        <w:tc>
          <w:tcPr>
            <w:tcW w:w="100" w:type="dxa"/>
            <w:vAlign w:val="bottom"/>
          </w:tcPr>
          <w:p>
            <w:pPr>
              <w:spacing w:after="0"/>
              <w:rPr>
                <w:sz w:val="12"/>
                <w:szCs w:val="12"/>
                <w:color w:val="auto"/>
              </w:rPr>
            </w:pPr>
          </w:p>
        </w:tc>
      </w:tr>
      <w:tr>
        <w:trPr>
          <w:trHeight w:val="21"/>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0" w:lineRule="exact"/>
        <w:rPr>
          <w:sz w:val="20"/>
          <w:szCs w:val="20"/>
          <w:color w:val="auto"/>
        </w:rPr>
      </w:pPr>
    </w:p>
    <w:p>
      <w:pPr>
        <w:ind w:left="460" w:hanging="373"/>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Party-in-interest to the Plan.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ind w:left="4240"/>
        <w:spacing w:after="0"/>
        <w:rPr>
          <w:sz w:val="20"/>
          <w:szCs w:val="20"/>
          <w:color w:val="auto"/>
        </w:rPr>
      </w:pPr>
      <w:r>
        <w:rPr>
          <w:rFonts w:ascii="Arial" w:cs="Arial" w:eastAsia="Arial" w:hAnsi="Arial"/>
          <w:sz w:val="18"/>
          <w:szCs w:val="18"/>
          <w:color w:val="auto"/>
        </w:rPr>
        <w:t>SMITH &amp; HAWKEN 401(K) PLAN</w:t>
      </w:r>
    </w:p>
    <w:p>
      <w:pPr>
        <w:spacing w:after="0" w:line="25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ANNUAL REPORT ON FORM 11-K</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FOR FISCAL YEAR ENDED DECEMBER 31, 2008</w:t>
      </w:r>
    </w:p>
    <w:p>
      <w:pPr>
        <w:spacing w:after="0" w:line="23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INDEX TO EXHIBITS</w:t>
      </w:r>
    </w:p>
    <w:p>
      <w:pPr>
        <w:spacing w:after="0" w:line="24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 – Meaden &amp; Moore, Ltd.</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79"/>
          </w:cols>
          <w:pgMar w:left="380" w:top="517"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Exhibit 23.1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on Form S-8 (No. 333-147397) pertaining to Smith &amp; Hawken Ltd. of our report dated June 18, 2009, with respect to the financial statements of The Smith &amp; Hawken 401(k) Plan included in this Annual Report (Form 11-K) for the fiscal years ended December 31, 2008 and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Meaden &amp; Moore,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R"/>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2019-12-10T07:56:26Z</dcterms:created>
  <dcterms:modified xsi:type="dcterms:W3CDTF">2019-12-10T07:56:26Z</dcterms:modified>
</cp:coreProperties>
</file>