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18770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87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Scheiwer Mark J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11/03/2020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SCOTTS MIRACLE-GRO CO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SMG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14111 SCOTTSLAWN ROAD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1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MARYSVILLE OH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43041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4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jc w:val="right"/>
        <w:spacing w:after="0"/>
        <w:tabs>
          <w:tab w:leader="none" w:pos="1240" w:val="left"/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5"/>
          <w:szCs w:val="25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VP and Corporate Controller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-3172460</wp:posOffset>
            </wp:positionH>
            <wp:positionV relativeFrom="paragraph">
              <wp:posOffset>488950</wp:posOffset>
            </wp:positionV>
            <wp:extent cx="6946900" cy="1267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267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5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right"/>
              <w:ind w:right="5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4,807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right"/>
              <w:ind w:righ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276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5"/>
              </w:rPr>
              <w:t>By 401(K) Plan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Phantom Stock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5"/>
              </w:rPr>
              <w:t>Common Shares</w:t>
            </w:r>
          </w:p>
        </w:tc>
        <w:tc>
          <w:tcPr>
            <w:tcW w:w="8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491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-1818640</wp:posOffset>
            </wp:positionV>
            <wp:extent cx="6946900" cy="1677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677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 w:right="260" w:firstLine="5"/>
        <w:spacing w:after="0" w:line="253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Shares of phantom stock are payable in cash following termination of the reporting person's employment with Issuer. The reporting person may transfer his/her phantom stock account into an alternative investment account at any time.</w:t>
      </w:r>
    </w:p>
    <w:p>
      <w:pPr>
        <w:spacing w:after="0" w:line="26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Each share of phantom stock represents the right to receive one common share of Issuer or the cash value thereof.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0"/>
              </w:rPr>
              <w:t>Kathy L. Uttley as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2"/>
              </w:rPr>
              <w:t>attorney-in-fact for Mark   11/06/2020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J. Scheiwer</w:t>
            </w: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830165" TargetMode="External"/><Relationship Id="rId11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2020-11-06T11:30:07Z</dcterms:created>
  <dcterms:modified xsi:type="dcterms:W3CDTF">2020-11-06T11:30:07Z</dcterms:modified>
</cp:coreProperties>
</file>