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252095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-199390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FORM 10-Q</w:t>
      </w:r>
    </w:p>
    <w:p>
      <w:pPr>
        <w:spacing w:after="0" w:line="1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0" w:lineRule="exact"/>
        <w:rPr>
          <w:sz w:val="24"/>
          <w:szCs w:val="24"/>
          <w:color w:val="auto"/>
        </w:rPr>
      </w:pPr>
    </w:p>
    <w:p>
      <w:pPr>
        <w:ind w:left="440"/>
        <w:spacing w:after="0"/>
        <w:rPr>
          <w:sz w:val="20"/>
          <w:szCs w:val="20"/>
          <w:color w:val="auto"/>
        </w:rPr>
      </w:pPr>
      <w:r>
        <w:rPr>
          <w:rFonts w:ascii="Arial" w:cs="Arial" w:eastAsia="Arial" w:hAnsi="Arial"/>
          <w:sz w:val="20"/>
          <w:szCs w:val="20"/>
          <w:b w:val="1"/>
          <w:bCs w:val="1"/>
          <w:color w:val="auto"/>
        </w:rPr>
        <w:t>FOR THE QUARTERLY PERIOD ENDED MARCH 31, 2012</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3" w:lineRule="exact"/>
        <w:rPr>
          <w:sz w:val="24"/>
          <w:szCs w:val="24"/>
          <w:color w:val="auto"/>
        </w:rPr>
      </w:pPr>
    </w:p>
    <w:p>
      <w:pPr>
        <w:ind w:left="440"/>
        <w:spacing w:after="0"/>
        <w:tabs>
          <w:tab w:leader="none" w:pos="506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20"/>
          <w:szCs w:val="20"/>
          <w:b w:val="1"/>
          <w:bCs w:val="1"/>
          <w:color w:val="auto"/>
        </w:rPr>
        <w:t>TO</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4" w:right="239" w:bottom="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234" w:right="239" w:bottom="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5">
            <w:col w:w="8620" w:space="180"/>
            <w:col w:w="260" w:space="80"/>
            <w:col w:w="160" w:space="180"/>
            <w:col w:w="220" w:space="100"/>
            <w:col w:w="1620"/>
          </w:cols>
          <w:pgMar w:left="240" w:top="234" w:right="239" w:bottom="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5"/>
          </w:tcPr>
          <w:p>
            <w:pPr>
              <w:jc w:val="center"/>
              <w:ind w:right="2500"/>
              <w:spacing w:after="0"/>
              <w:rPr>
                <w:sz w:val="20"/>
                <w:szCs w:val="20"/>
                <w:color w:val="auto"/>
              </w:rPr>
            </w:pPr>
            <w:r>
              <w:rPr>
                <w:rFonts w:ascii="Arial" w:cs="Arial" w:eastAsia="Arial" w:hAnsi="Arial"/>
                <w:sz w:val="18"/>
                <w:szCs w:val="18"/>
                <w:color w:val="auto"/>
                <w:w w:val="88"/>
              </w:rPr>
              <w:t>Class</w:t>
            </w:r>
          </w:p>
        </w:tc>
        <w:tc>
          <w:tcPr>
            <w:tcW w:w="2620" w:type="dxa"/>
            <w:vAlign w:val="bottom"/>
            <w:gridSpan w:val="3"/>
          </w:tcPr>
          <w:p>
            <w:pPr>
              <w:jc w:val="center"/>
              <w:ind w:right="408"/>
              <w:spacing w:after="0"/>
              <w:rPr>
                <w:sz w:val="20"/>
                <w:szCs w:val="20"/>
                <w:color w:val="auto"/>
              </w:rPr>
            </w:pPr>
            <w:r>
              <w:rPr>
                <w:rFonts w:ascii="Arial" w:cs="Arial" w:eastAsia="Arial" w:hAnsi="Arial"/>
                <w:sz w:val="18"/>
                <w:szCs w:val="18"/>
                <w:color w:val="auto"/>
                <w:w w:val="90"/>
              </w:rPr>
              <w:t>Outstanding at May 04, 2012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6"/>
          </w:tcPr>
          <w:p>
            <w:pPr>
              <w:jc w:val="center"/>
              <w:ind w:right="2000"/>
              <w:spacing w:after="0"/>
              <w:rPr>
                <w:sz w:val="20"/>
                <w:szCs w:val="20"/>
                <w:color w:val="auto"/>
              </w:rPr>
            </w:pPr>
            <w:r>
              <w:rPr>
                <w:rFonts w:ascii="Arial" w:cs="Arial" w:eastAsia="Arial" w:hAnsi="Arial"/>
                <w:sz w:val="18"/>
                <w:szCs w:val="18"/>
                <w:color w:val="auto"/>
                <w:w w:val="88"/>
              </w:rPr>
              <w:t>Common Shares, $0.01 stated value, no par value</w:t>
            </w:r>
          </w:p>
        </w:tc>
        <w:tc>
          <w:tcPr>
            <w:tcW w:w="2620" w:type="dxa"/>
            <w:vAlign w:val="bottom"/>
            <w:gridSpan w:val="3"/>
          </w:tcPr>
          <w:p>
            <w:pPr>
              <w:jc w:val="center"/>
              <w:ind w:right="408"/>
              <w:spacing w:after="0"/>
              <w:rPr>
                <w:sz w:val="20"/>
                <w:szCs w:val="20"/>
                <w:color w:val="auto"/>
              </w:rPr>
            </w:pPr>
            <w:r>
              <w:rPr>
                <w:rFonts w:ascii="Arial" w:cs="Arial" w:eastAsia="Arial" w:hAnsi="Arial"/>
                <w:sz w:val="18"/>
                <w:szCs w:val="18"/>
                <w:color w:val="auto"/>
                <w:w w:val="88"/>
              </w:rPr>
              <w:t>61,090,597 common 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15"/>
        </w:trPr>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54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00" w:type="dxa"/>
            <w:vAlign w:val="bottom"/>
            <w:gridSpan w:val="5"/>
          </w:tcPr>
          <w:p>
            <w:pPr>
              <w:jc w:val="center"/>
              <w:ind w:right="200"/>
              <w:spacing w:after="0"/>
              <w:rPr>
                <w:sz w:val="20"/>
                <w:szCs w:val="20"/>
                <w:color w:val="auto"/>
              </w:rPr>
            </w:pPr>
            <w:r>
              <w:rPr>
                <w:rFonts w:ascii="Arial" w:cs="Arial" w:eastAsia="Arial" w:hAnsi="Arial"/>
                <w:sz w:val="18"/>
                <w:szCs w:val="18"/>
                <w:color w:val="auto"/>
                <w:w w:val="96"/>
              </w:rPr>
              <w:t>THE SCOTTS MIRACLE-GRO COMPANY</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20" w:type="dxa"/>
            <w:vAlign w:val="bottom"/>
            <w:gridSpan w:val="4"/>
          </w:tcPr>
          <w:p>
            <w:pPr>
              <w:jc w:val="center"/>
              <w:ind w:right="2160"/>
              <w:spacing w:after="0"/>
              <w:rPr>
                <w:sz w:val="20"/>
                <w:szCs w:val="20"/>
                <w:color w:val="auto"/>
              </w:rPr>
            </w:pPr>
            <w:r>
              <w:rPr>
                <w:rFonts w:ascii="Arial" w:cs="Arial" w:eastAsia="Arial" w:hAnsi="Arial"/>
                <w:sz w:val="18"/>
                <w:szCs w:val="18"/>
                <w:color w:val="auto"/>
              </w:rPr>
              <w:t>INDEX</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36"/>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 NO.</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89"/>
        </w:trPr>
        <w:tc>
          <w:tcPr>
            <w:tcW w:w="8660" w:type="dxa"/>
            <w:vAlign w:val="bottom"/>
            <w:gridSpan w:val="11"/>
          </w:tcPr>
          <w:p>
            <w:pPr>
              <w:ind w:left="40"/>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gridSpan w:val="3"/>
          </w:tcPr>
          <w:p>
            <w:pPr>
              <w:ind w:left="40"/>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770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6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 Three and six months ended March 31, 2012 and April 2, 2011</w:t>
              </w:r>
            </w:hyperlink>
          </w:p>
        </w:tc>
        <w:tc>
          <w:tcPr>
            <w:tcW w:w="18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7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Condensed Consolidated Statements of Cash Flow — Six months ended March 31, 2012 and April 2, 2011</w:t>
              </w:r>
            </w:hyperlink>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1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Balance Sheets — March 31, 2012, April 2, 2011 and September 30, 2011</w:t>
              </w:r>
            </w:hyperlink>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700" w:type="dxa"/>
            <w:vAlign w:val="bottom"/>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Condensed Consolidated Financial Statements</w:t>
              </w:r>
            </w:hyperlink>
          </w:p>
        </w:tc>
        <w:tc>
          <w:tcPr>
            <w:tcW w:w="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gridSpan w:val="3"/>
          </w:tcPr>
          <w:p>
            <w:pPr>
              <w:jc w:val="right"/>
              <w:ind w:right="20"/>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34"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gridSpan w:val="3"/>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2.</w:t>
              </w:r>
            </w:hyperlink>
          </w:p>
        </w:tc>
        <w:tc>
          <w:tcPr>
            <w:tcW w:w="10420" w:type="dxa"/>
            <w:vAlign w:val="bottom"/>
            <w:gridSpan w:val="10"/>
          </w:tcPr>
          <w:p>
            <w:pPr>
              <w:ind w:left="160"/>
              <w:spacing w:after="0"/>
              <w:rPr>
                <w:rFonts w:ascii="Arial" w:cs="Arial" w:eastAsia="Arial" w:hAnsi="Arial"/>
                <w:sz w:val="18"/>
                <w:szCs w:val="18"/>
                <w:color w:val="0000FF"/>
              </w:rPr>
            </w:pPr>
            <w:hyperlink w:anchor="page32">
              <w:r>
                <w:rPr>
                  <w:rFonts w:ascii="Arial" w:cs="Arial" w:eastAsia="Arial" w:hAnsi="Arial"/>
                  <w:sz w:val="18"/>
                  <w:szCs w:val="18"/>
                  <w:color w:val="0000FF"/>
                </w:rPr>
                <w:t>Management’s Discussion and Analysis of Financial Condition and Results of Operations</w:t>
              </w:r>
            </w:hyperlink>
          </w:p>
        </w:tc>
        <w:tc>
          <w:tcPr>
            <w:tcW w:w="180" w:type="dxa"/>
            <w:vAlign w:val="bottom"/>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3.</w:t>
              </w:r>
            </w:hyperlink>
          </w:p>
        </w:tc>
        <w:tc>
          <w:tcPr>
            <w:tcW w:w="10420" w:type="dxa"/>
            <w:vAlign w:val="bottom"/>
            <w:gridSpan w:val="10"/>
          </w:tcPr>
          <w:p>
            <w:pPr>
              <w:ind w:left="160"/>
              <w:spacing w:after="0"/>
              <w:rPr>
                <w:rFonts w:ascii="Arial" w:cs="Arial" w:eastAsia="Arial" w:hAnsi="Arial"/>
                <w:sz w:val="18"/>
                <w:szCs w:val="18"/>
                <w:color w:val="0000FF"/>
              </w:rPr>
            </w:pPr>
            <w:hyperlink w:anchor="page43">
              <w:r>
                <w:rPr>
                  <w:rFonts w:ascii="Arial" w:cs="Arial" w:eastAsia="Arial" w:hAnsi="Arial"/>
                  <w:sz w:val="18"/>
                  <w:szCs w:val="18"/>
                  <w:color w:val="0000FF"/>
                </w:rPr>
                <w:t>Quantitative and Qualitative Disclosures about Market Risk</w:t>
              </w:r>
            </w:hyperlink>
          </w:p>
        </w:tc>
        <w:tc>
          <w:tcPr>
            <w:tcW w:w="180" w:type="dxa"/>
            <w:vAlign w:val="bottom"/>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4.</w:t>
              </w:r>
            </w:hyperlink>
          </w:p>
        </w:tc>
        <w:tc>
          <w:tcPr>
            <w:tcW w:w="10420" w:type="dxa"/>
            <w:vAlign w:val="bottom"/>
            <w:gridSpan w:val="10"/>
          </w:tcPr>
          <w:p>
            <w:pPr>
              <w:ind w:left="160"/>
              <w:spacing w:after="0"/>
              <w:rPr>
                <w:rFonts w:ascii="Arial" w:cs="Arial" w:eastAsia="Arial" w:hAnsi="Arial"/>
                <w:sz w:val="18"/>
                <w:szCs w:val="18"/>
                <w:color w:val="0000FF"/>
              </w:rPr>
            </w:pPr>
            <w:hyperlink w:anchor="page44">
              <w:r>
                <w:rPr>
                  <w:rFonts w:ascii="Arial" w:cs="Arial" w:eastAsia="Arial" w:hAnsi="Arial"/>
                  <w:sz w:val="18"/>
                  <w:szCs w:val="18"/>
                  <w:color w:val="0000FF"/>
                </w:rPr>
                <w:t>Controls and Procedures</w:t>
              </w:r>
            </w:hyperlink>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74"/>
        </w:trPr>
        <w:tc>
          <w:tcPr>
            <w:tcW w:w="2680" w:type="dxa"/>
            <w:vAlign w:val="bottom"/>
            <w:tcBorders>
              <w:bottom w:val="single" w:sz="8" w:color="0000FF"/>
            </w:tcBorders>
            <w:gridSpan w:val="9"/>
          </w:tcPr>
          <w:p>
            <w:pPr>
              <w:spacing w:after="0"/>
              <w:rPr>
                <w:rFonts w:ascii="Arial" w:cs="Arial" w:eastAsia="Arial" w:hAnsi="Arial"/>
                <w:sz w:val="18"/>
                <w:szCs w:val="18"/>
                <w:color w:val="0000FF"/>
                <w:w w:val="97"/>
              </w:rPr>
            </w:pPr>
            <w:hyperlink w:anchor="page44">
              <w:r>
                <w:rPr>
                  <w:rFonts w:ascii="Arial" w:cs="Arial" w:eastAsia="Arial" w:hAnsi="Arial"/>
                  <w:sz w:val="18"/>
                  <w:szCs w:val="18"/>
                  <w:color w:val="0000FF"/>
                  <w:w w:val="97"/>
                </w:rPr>
                <w:t>PART II. OTHER INFORMATION:</w:t>
              </w:r>
            </w:hyperlink>
          </w:p>
        </w:tc>
        <w:tc>
          <w:tcPr>
            <w:tcW w:w="850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760" w:type="dxa"/>
            <w:vAlign w:val="bottom"/>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1.</w:t>
              </w:r>
            </w:hyperlink>
          </w:p>
        </w:tc>
        <w:tc>
          <w:tcPr>
            <w:tcW w:w="10420" w:type="dxa"/>
            <w:vAlign w:val="bottom"/>
            <w:gridSpan w:val="10"/>
          </w:tcPr>
          <w:p>
            <w:pPr>
              <w:ind w:left="160"/>
              <w:spacing w:after="0"/>
              <w:rPr>
                <w:rFonts w:ascii="Arial" w:cs="Arial" w:eastAsia="Arial" w:hAnsi="Arial"/>
                <w:sz w:val="18"/>
                <w:szCs w:val="18"/>
                <w:color w:val="0000FF"/>
              </w:rPr>
            </w:pPr>
            <w:hyperlink w:anchor="page44">
              <w:r>
                <w:rPr>
                  <w:rFonts w:ascii="Arial" w:cs="Arial" w:eastAsia="Arial" w:hAnsi="Arial"/>
                  <w:sz w:val="18"/>
                  <w:szCs w:val="18"/>
                  <w:color w:val="0000FF"/>
                </w:rPr>
                <w:t>Legal Proceedings</w:t>
              </w:r>
            </w:hyperlink>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w w:val="92"/>
              </w:rPr>
            </w:pPr>
            <w:hyperlink w:anchor="page44">
              <w:r>
                <w:rPr>
                  <w:rFonts w:ascii="Arial" w:cs="Arial" w:eastAsia="Arial" w:hAnsi="Arial"/>
                  <w:sz w:val="18"/>
                  <w:szCs w:val="18"/>
                  <w:color w:val="0000FF"/>
                  <w:w w:val="92"/>
                </w:rPr>
                <w:t>Item 1A.</w:t>
              </w:r>
            </w:hyperlink>
          </w:p>
        </w:tc>
        <w:tc>
          <w:tcPr>
            <w:tcW w:w="120" w:type="dxa"/>
            <w:vAlign w:val="bottom"/>
          </w:tcPr>
          <w:p>
            <w:pPr>
              <w:spacing w:after="0"/>
              <w:rPr>
                <w:sz w:val="21"/>
                <w:szCs w:val="21"/>
                <w:color w:val="auto"/>
              </w:rPr>
            </w:pPr>
          </w:p>
        </w:tc>
        <w:tc>
          <w:tcPr>
            <w:tcW w:w="10420" w:type="dxa"/>
            <w:vAlign w:val="bottom"/>
            <w:gridSpan w:val="10"/>
          </w:tcPr>
          <w:p>
            <w:pPr>
              <w:ind w:left="160"/>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80" w:type="dxa"/>
            <w:vAlign w:val="bottom"/>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2.</w:t>
              </w:r>
            </w:hyperlink>
          </w:p>
        </w:tc>
        <w:tc>
          <w:tcPr>
            <w:tcW w:w="120" w:type="dxa"/>
            <w:vAlign w:val="bottom"/>
          </w:tcPr>
          <w:p>
            <w:pPr>
              <w:spacing w:after="0"/>
              <w:rPr>
                <w:sz w:val="21"/>
                <w:szCs w:val="21"/>
                <w:color w:val="auto"/>
              </w:rPr>
            </w:pPr>
          </w:p>
        </w:tc>
        <w:tc>
          <w:tcPr>
            <w:tcW w:w="10420" w:type="dxa"/>
            <w:vAlign w:val="bottom"/>
            <w:gridSpan w:val="10"/>
          </w:tcPr>
          <w:p>
            <w:pPr>
              <w:ind w:left="160"/>
              <w:spacing w:after="0"/>
              <w:rPr>
                <w:rFonts w:ascii="Arial" w:cs="Arial" w:eastAsia="Arial" w:hAnsi="Arial"/>
                <w:sz w:val="18"/>
                <w:szCs w:val="18"/>
                <w:color w:val="0000FF"/>
              </w:rPr>
            </w:pPr>
            <w:hyperlink w:anchor="page45">
              <w:r>
                <w:rPr>
                  <w:rFonts w:ascii="Arial" w:cs="Arial" w:eastAsia="Arial" w:hAnsi="Arial"/>
                  <w:sz w:val="18"/>
                  <w:szCs w:val="18"/>
                  <w:color w:val="0000FF"/>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40" w:type="dxa"/>
            <w:vAlign w:val="bottom"/>
            <w:gridSpan w:val="5"/>
            <w:shd w:val="clear" w:color="auto" w:fill="0000FF"/>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Item 6.</w:t>
              </w:r>
            </w:hyperlink>
          </w:p>
        </w:tc>
        <w:tc>
          <w:tcPr>
            <w:tcW w:w="10420" w:type="dxa"/>
            <w:vAlign w:val="bottom"/>
            <w:gridSpan w:val="10"/>
          </w:tcPr>
          <w:p>
            <w:pPr>
              <w:ind w:left="160"/>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760" w:type="dxa"/>
            <w:vAlign w:val="bottom"/>
            <w:tcBorders>
              <w:bottom w:val="single" w:sz="8" w:color="0000FF"/>
            </w:tcBorders>
            <w:gridSpan w:val="3"/>
          </w:tcPr>
          <w:p>
            <w:pPr>
              <w:spacing w:after="0"/>
              <w:rPr>
                <w:rFonts w:ascii="Arial" w:cs="Arial" w:eastAsia="Arial" w:hAnsi="Arial"/>
                <w:sz w:val="18"/>
                <w:szCs w:val="18"/>
                <w:color w:val="0000FF"/>
                <w:w w:val="85"/>
              </w:rPr>
            </w:pPr>
            <w:hyperlink w:anchor="page46">
              <w:r>
                <w:rPr>
                  <w:rFonts w:ascii="Arial" w:cs="Arial" w:eastAsia="Arial" w:hAnsi="Arial"/>
                  <w:sz w:val="18"/>
                  <w:szCs w:val="18"/>
                  <w:color w:val="0000FF"/>
                  <w:w w:val="85"/>
                </w:rPr>
                <w:t>Signatures</w:t>
              </w:r>
            </w:hyperlink>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47</w:t>
              </w:r>
            </w:hyperlink>
          </w:p>
        </w:tc>
      </w:tr>
      <w:tr>
        <w:trPr>
          <w:trHeight w:val="250"/>
        </w:trPr>
        <w:tc>
          <w:tcPr>
            <w:tcW w:w="1240" w:type="dxa"/>
            <w:vAlign w:val="bottom"/>
            <w:tcBorders>
              <w:bottom w:val="single" w:sz="8" w:color="0000FF"/>
            </w:tcBorders>
            <w:gridSpan w:val="5"/>
          </w:tcPr>
          <w:p>
            <w:pPr>
              <w:spacing w:after="0"/>
              <w:rPr>
                <w:rFonts w:ascii="Arial" w:cs="Arial" w:eastAsia="Arial" w:hAnsi="Arial"/>
                <w:sz w:val="18"/>
                <w:szCs w:val="18"/>
                <w:color w:val="0000FF"/>
                <w:w w:val="92"/>
              </w:rPr>
            </w:pPr>
            <w:hyperlink w:anchor="page47">
              <w:r>
                <w:rPr>
                  <w:rFonts w:ascii="Arial" w:cs="Arial" w:eastAsia="Arial" w:hAnsi="Arial"/>
                  <w:sz w:val="18"/>
                  <w:szCs w:val="18"/>
                  <w:color w:val="0000FF"/>
                  <w:w w:val="92"/>
                </w:rPr>
                <w:t>Index to Exhibits</w:t>
              </w:r>
            </w:hyperlink>
          </w:p>
        </w:tc>
        <w:tc>
          <w:tcPr>
            <w:tcW w:w="9940" w:type="dxa"/>
            <w:vAlign w:val="bottom"/>
            <w:gridSpan w:val="8"/>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r>
    </w:tbl>
    <w:p>
      <w:pPr>
        <w:sectPr>
          <w:pgSz w:w="11900" w:h="16838" w:orient="portrait"/>
          <w:cols w:equalWidth="0" w:num="1">
            <w:col w:w="11360"/>
          </w:cols>
          <w:pgMar w:left="280" w:top="108"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13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2,</w:t>
            </w:r>
          </w:p>
        </w:tc>
        <w:tc>
          <w:tcPr>
            <w:tcW w:w="240" w:type="dxa"/>
            <w:vAlign w:val="bottom"/>
          </w:tcPr>
          <w:p>
            <w:pPr>
              <w:spacing w:after="0"/>
              <w:rPr>
                <w:sz w:val="13"/>
                <w:szCs w:val="13"/>
                <w:color w:val="auto"/>
              </w:rPr>
            </w:pPr>
          </w:p>
        </w:tc>
        <w:tc>
          <w:tcPr>
            <w:tcW w:w="13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12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1,173.5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9"/>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 from continuing operations</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8"/>
              </w:rPr>
              <w:t>Weighted-average common shares outstanding during the period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Diluted income per common share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1"/>
              </w:rPr>
              <w:t>Weighted-average common shares outstanding during the period plus</w:t>
            </w: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Dividends declared per common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3" w:name="page4"/>
    <w:bookmarkEnd w:id="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3"/>
                <w:szCs w:val="13"/>
                <w:color w:val="auto"/>
              </w:rPr>
            </w:pPr>
          </w:p>
        </w:tc>
        <w:tc>
          <w:tcPr>
            <w:tcW w:w="1200" w:type="dxa"/>
            <w:vAlign w:val="bottom"/>
          </w:tcPr>
          <w:p>
            <w:pPr>
              <w:jc w:val="right"/>
              <w:ind w:right="371"/>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8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and other charges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on sale of long-lived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business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(801.7)</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223.4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Restructuring reserves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non-current items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r>
      <w:tr>
        <w:trPr>
          <w:trHeight w:val="277"/>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business, net of transaction costs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r>
      <w:tr>
        <w:trPr>
          <w:trHeight w:val="277"/>
        </w:trPr>
        <w:tc>
          <w:tcPr>
            <w:tcW w:w="83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1,705.6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993.7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6.625% Senior Notes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200.0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437.5</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40.6</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128.7</w:t>
            </w:r>
          </w:p>
        </w:tc>
      </w:tr>
      <w:tr>
        <w:trPr>
          <w:trHeight w:val="67"/>
        </w:trPr>
        <w:tc>
          <w:tcPr>
            <w:tcW w:w="8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64"/>
        </w:trPr>
        <w:tc>
          <w:tcPr>
            <w:tcW w:w="83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6" w:right="239" w:bottom="921"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921"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460" w:type="dxa"/>
            <w:vAlign w:val="bottom"/>
          </w:tcPr>
          <w:p>
            <w:pPr>
              <w:spacing w:after="0"/>
              <w:rPr>
                <w:sz w:val="14"/>
                <w:szCs w:val="14"/>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2,</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2011</w:t>
            </w:r>
          </w:p>
        </w:tc>
      </w:tr>
      <w:tr>
        <w:trPr>
          <w:trHeight w:val="250"/>
        </w:trPr>
        <w:tc>
          <w:tcPr>
            <w:tcW w:w="6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$9.8, $7.9 and $12.9, respectively</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323.5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387.0</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2,026.6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992.5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$534.4, $485.1 and</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$510.5,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309.1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36.3</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150.0</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232.0</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Commitments and contingencies (notes 3 and 12)</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40"/>
              <w:spacing w:after="0"/>
              <w:rPr>
                <w:sz w:val="20"/>
                <w:szCs w:val="20"/>
                <w:color w:val="auto"/>
              </w:rPr>
            </w:pPr>
            <w:r>
              <w:rPr>
                <w:rFonts w:ascii="Arial" w:cs="Arial" w:eastAsia="Arial" w:hAnsi="Arial"/>
                <w:sz w:val="18"/>
                <w:szCs w:val="18"/>
                <w:color w:val="auto"/>
                <w:w w:val="89"/>
              </w:rPr>
              <w:t>Common shares and capital in excess of $.01 stated value per share, 61.1, 65.7 and</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40"/>
              <w:spacing w:after="0"/>
              <w:rPr>
                <w:sz w:val="20"/>
                <w:szCs w:val="20"/>
                <w:color w:val="auto"/>
              </w:rPr>
            </w:pPr>
            <w:r>
              <w:rPr>
                <w:rFonts w:ascii="Arial" w:cs="Arial" w:eastAsia="Arial" w:hAnsi="Arial"/>
                <w:sz w:val="18"/>
                <w:szCs w:val="18"/>
                <w:color w:val="auto"/>
              </w:rPr>
              <w:t>60.8 shares issued and outstanding, respectively</w:t>
            </w:r>
          </w:p>
        </w:tc>
        <w:tc>
          <w:tcPr>
            <w:tcW w:w="26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427.1</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599.2</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Treasury shares, at cost: 7.1, 2.6 and 7.5 shares, respectively</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(388.5)</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589.7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559.8</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3,069.7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ind w:right="2140" w:firstLine="2132"/>
        <w:spacing w:after="0" w:line="484" w:lineRule="auto"/>
        <w:rPr>
          <w:sz w:val="20"/>
          <w:szCs w:val="20"/>
          <w:color w:val="auto"/>
        </w:rPr>
      </w:pPr>
      <w:r>
        <w:rPr>
          <w:rFonts w:ascii="Arial" w:cs="Arial" w:eastAsia="Arial" w:hAnsi="Arial"/>
          <w:sz w:val="18"/>
          <w:szCs w:val="18"/>
          <w:b w:val="1"/>
          <w:bCs w:val="1"/>
          <w:color w:val="auto"/>
        </w:rPr>
        <w:t xml:space="preserve">NOTES TO CONDENSED CONSOLIDATED FINANCIAL STATEMENTS (UNAUDITED) NOTE 1. SUMMARY OF SIGNIFICANT ACCOUNTING POLICIES </w:t>
      </w:r>
      <w:r>
        <w:rPr>
          <w:rFonts w:ascii="Arial" w:cs="Arial" w:eastAsia="Arial" w:hAnsi="Arial"/>
          <w:sz w:val="18"/>
          <w:szCs w:val="18"/>
          <w:b w:val="1"/>
          <w:bCs w:val="1"/>
          <w:i w:val="1"/>
          <w:iCs w:val="1"/>
          <w:u w:val="single" w:color="auto"/>
          <w:color w:val="auto"/>
        </w:rPr>
        <w:t>Nature of Operations</w:t>
      </w:r>
    </w:p>
    <w:p>
      <w:pPr>
        <w:spacing w:after="0" w:line="22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See “NOTE 2. DISCONTINUED OPERATIONS” for additional details regarding the sale of Global Pro.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and six months ended March 31, 2012 and April 2, 2011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2011,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Measurement</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May 2011, the Financial Accounting Standards Board (the “FASB”) issued amended accounting guidance to improve comparability of fair value measures between GAAP and the International Financial Reporting Standards. The amended guidance clarifies how to apply the existing fair value measurement and disclosure requirements. The provisions were effective for the Company’s financial statements for the interim period beginning January 1, 2012. The adoption of the amended guidance did not have a significant impact on the Company's financial statements and related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will be effective for the Company’s financial statements for the fiscal year beginning October 1, 2012. The Company is in the process of evaluating the impact that the amended guidance may have on its financial statements and related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Goodwill Impairment</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In September 2011, the FASB issued new accounting guidance that permits an entity to first assess qualitative factors to determine whether it is more likely than not that the fair value of a reporting unit is less than its carrying amount as a basis for determining whether it is necessary to perform the two-step goodwill impairment test. The entity is not required to calculate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6"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of a reporting unit unless the entity determines that it is more likely than not that the reporting unit’s fair value is less than its carrying value. The guidance will be effective for the Company’s financial statements for the fiscal year beginning October 1, 2012. The Company is in the process of evaluating the impact that the guidance may have on its financial statements and related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w:t>
      </w:r>
    </w:p>
    <w:p>
      <w:pPr>
        <w:spacing w:after="0" w:line="10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the terms of the indenture governing the Company’s 7.25% Senior Notes due 2018 and the indenture governing the Company’s 6.625% Senior Notes due 2020, the Company had a period of 360 days to apply an amount equal to the net proceeds received from the sale of Global Pro to repay indebtedness, acquire equity interests in certain entities, make capital expenditures, acquire other assets useful in a related business and/or make investments in certain joint ventures. Any amount not so applied must be used to make an offer to repurchase the Senior Notes, provided that such repurchase offer may be deferred until such time as the unutilized proceeds exceed $50 million. As of March 31, 2012, the Company had applied all but approximately $45 million of the net proceeds to one or more of the uses permitted by the indentures.</w:t>
      </w:r>
    </w:p>
    <w:p>
      <w:pPr>
        <w:spacing w:after="0" w:line="9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Global Consumer and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segments.</w:t>
      </w:r>
    </w:p>
    <w:p>
      <w:pPr>
        <w:spacing w:after="0" w:line="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conjunction with the transaction, The Scotts Company LLC (“Scotts LLC”), a wholly owned subsidiary of Scotts Miracle-Gro,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Scotts LLC estimates that it will supply ICL with approximately $50 million of product under these agreements, as well as purchase approximately $15 million of materials from ICL, each on an annualized basis.</w:t>
      </w:r>
    </w:p>
    <w:p>
      <w:pPr>
        <w:spacing w:after="0" w:line="9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Global Pro within discontinued operations for the periods presented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2, 2011</w:t>
            </w:r>
          </w:p>
        </w:tc>
        <w:tc>
          <w:tcPr>
            <w:tcW w:w="260" w:type="dxa"/>
            <w:vAlign w:val="bottom"/>
          </w:tcPr>
          <w:p>
            <w:pPr>
              <w:spacing w:after="0"/>
              <w:rPr>
                <w:sz w:val="22"/>
                <w:szCs w:val="22"/>
                <w:color w:val="auto"/>
              </w:rPr>
            </w:pPr>
          </w:p>
        </w:tc>
        <w:tc>
          <w:tcPr>
            <w:tcW w:w="2020" w:type="dxa"/>
            <w:vAlign w:val="bottom"/>
          </w:tcPr>
          <w:p>
            <w:pPr>
              <w:jc w:val="right"/>
              <w:ind w:right="593"/>
              <w:spacing w:after="0"/>
              <w:rPr>
                <w:sz w:val="20"/>
                <w:szCs w:val="20"/>
                <w:color w:val="auto"/>
              </w:rPr>
            </w:pPr>
            <w:r>
              <w:rPr>
                <w:rFonts w:ascii="Arial" w:cs="Arial" w:eastAsia="Arial" w:hAnsi="Arial"/>
                <w:sz w:val="14"/>
                <w:szCs w:val="14"/>
                <w:b w:val="1"/>
                <w:bCs w:val="1"/>
                <w:color w:val="auto"/>
              </w:rPr>
              <w:t>APRIL 2, 2011</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costs</w:t>
            </w:r>
          </w:p>
        </w:tc>
        <w:tc>
          <w:tcPr>
            <w:tcW w:w="200" w:type="dxa"/>
            <w:vAlign w:val="bottom"/>
          </w:tcPr>
          <w:p>
            <w:pPr>
              <w:spacing w:after="0"/>
              <w:rPr>
                <w:sz w:val="21"/>
                <w:szCs w:val="21"/>
                <w:color w:val="auto"/>
              </w:rPr>
            </w:pP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78.1</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Global Pro business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Pro sale related transaction costs</w:t>
            </w:r>
          </w:p>
        </w:tc>
        <w:tc>
          <w:tcPr>
            <w:tcW w:w="200" w:type="dxa"/>
            <w:vAlign w:val="bottom"/>
          </w:tcPr>
          <w:p>
            <w:pPr>
              <w:spacing w:after="0"/>
              <w:rPr>
                <w:sz w:val="21"/>
                <w:szCs w:val="21"/>
                <w:color w:val="auto"/>
              </w:rPr>
            </w:pP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14.8</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00" w:type="dxa"/>
            <w:vAlign w:val="bottom"/>
          </w:tcPr>
          <w:p>
            <w:pPr>
              <w:spacing w:after="0"/>
              <w:rPr>
                <w:sz w:val="21"/>
                <w:szCs w:val="21"/>
                <w:color w:val="auto"/>
              </w:rPr>
            </w:pPr>
          </w:p>
        </w:tc>
        <w:tc>
          <w:tcPr>
            <w:tcW w:w="2080" w:type="dxa"/>
            <w:vAlign w:val="bottom"/>
          </w:tcPr>
          <w:p>
            <w:pPr>
              <w:jc w:val="right"/>
              <w:ind w:right="13"/>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Arial" w:cs="Arial" w:eastAsia="Arial" w:hAnsi="Arial"/>
                <w:sz w:val="18"/>
                <w:szCs w:val="18"/>
                <w:color w:val="auto"/>
              </w:rPr>
              <w:t>56.8</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6"/>
          <w:szCs w:val="16"/>
          <w:color w:val="auto"/>
        </w:rPr>
        <w:t>In late April 2008, in connection with the U.S. EPA’s investigation, the Company conducted a consumer-level recall of certain consumer lawn and garden products and 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fiscal 2010 or fiscal 2011 sales and are not expected to materially affect the Company’s fiscal 2012 sales.</w:t>
      </w:r>
    </w:p>
    <w:p>
      <w:pPr>
        <w:spacing w:after="0" w:line="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the Company’s fiscal 2009, fiscal 2010 or fiscal 2011 financial condition, result of operations or cash flows and are not expected to affect the Company's fiscal 2012 financial condition, result of operations or cash flows.</w:t>
      </w:r>
    </w:p>
    <w:p>
      <w:pPr>
        <w:spacing w:after="0" w:line="8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Settlement discussions relating to potential fines and/or penalties are a frequent outgrowth of governmental investigations. In that regard, on or about June 30, 2011, the Company received a Notice of Intent to File Administrative Complaint (“Notice”) from the U.S. EPA Region 5 with respect to the alleged FIFRA violations. The Notice, which did not set forth a proposed penalty amount, offered the Company an opportunity to present any information that it believed the U.S. EPA should consider prior to filing the complaint and indicated that the U.S. EPA was prepared to meet with the Company to discuss the alleged violations. The Company made a timely response to the Notice and settlement discussions between the Company and the U.S. EPA are ongoing.</w:t>
      </w:r>
    </w:p>
    <w:p>
      <w:pPr>
        <w:spacing w:after="0" w:line="7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As previously disclosed, the Company has also been engaged in settlement discussions with the U.S. DOJ regarding its criminal investigation. On January 25, 2012, a plea agreement (the “Plea Agreement”), executed by both Scotts Miracle-Gro and the U.S. DOJ, was filed with the United States District Court for the Southern District of Ohio. Under the terms of the Plea Agreement, Scotts Miracle-Gro agreed to plead guilty to 11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 (5)The Nature Conservancy of Ohio. In exchange for Scotts Miracle-Gro’s guilty plea and the other promises contained in the Plea Agreement, the U.S. DOJ agreed not to criminally prosecute the Company for any other federal crimes relating to any potential FIFRA violations known to the government as of the date of the Plea Agreement. On March 13, 2012, the court accepted the Company's guilty plea, but delayed sentencing thereon to an unspecified later date. The Company’s previously established accrual includes the full amount of the proposed criminal penalty and other amounts payable under the Plea Agreement.</w:t>
      </w:r>
    </w:p>
    <w:p>
      <w:pPr>
        <w:spacing w:after="0" w:line="9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U.S. EPA and related state investigations continue and the court has not yet issued its sentence with respect to the Plea Agreement between Scotts Miracle-Gro and the U.S. DOJ. In addition, the current investigations and proceedings may result in future state, federal or private rights of action as well as judgments, settlements, fines and/or penalties with respect to known or potential additional product registration issues. At this stage of the investigations, the Company cannot reasonably estimate the total scope or magnitude of all possible liabilities that could result from known or potential product registration issues. Based on the facts and circumstances known to the Company at this time (including settlement discussions that have taken place to date and the Plea Agreement), the Company has established what it believes to be an appropriate accrual. It is possible that any fines and/or penalties with respect to the investigations, as well as any judgments, litigation costs or other liabilities relating to such known or potential product registration issues, could exceed the amount of the accrual and could have an adverse effect on the Company’s financial condition, results of operations or cash flows.</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a result of these registration and recall matters, the Company has recorded charges for affected inventory and other registration and recall-related costs. The Company expects that future charges will include costs associated with the rework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impact of the product registration and recall matters on the Company’s results of operations and other current liabilities for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 2012</w:t>
            </w:r>
          </w:p>
        </w:tc>
        <w:tc>
          <w:tcPr>
            <w:tcW w:w="22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APRIL 2, 2011</w:t>
            </w:r>
          </w:p>
        </w:tc>
        <w:tc>
          <w:tcPr>
            <w:tcW w:w="180" w:type="dxa"/>
            <w:vAlign w:val="bottom"/>
          </w:tcPr>
          <w:p>
            <w:pPr>
              <w:spacing w:after="0"/>
              <w:rPr>
                <w:sz w:val="22"/>
                <w:szCs w:val="22"/>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 2012</w:t>
            </w:r>
          </w:p>
        </w:tc>
        <w:tc>
          <w:tcPr>
            <w:tcW w:w="240" w:type="dxa"/>
            <w:vAlign w:val="bottom"/>
          </w:tcPr>
          <w:p>
            <w:pPr>
              <w:spacing w:after="0"/>
              <w:rPr>
                <w:sz w:val="22"/>
                <w:szCs w:val="22"/>
                <w:color w:val="auto"/>
              </w:rPr>
            </w:pPr>
          </w:p>
        </w:tc>
        <w:tc>
          <w:tcPr>
            <w:tcW w:w="136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APRIL 2, 2011</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other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Gross loss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3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COSTS AND</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65"/>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SEPTEMBER 30,</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CHANGES IN</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RESERVES</w:t>
            </w:r>
          </w:p>
        </w:tc>
        <w:tc>
          <w:tcPr>
            <w:tcW w:w="240" w:type="dxa"/>
            <w:vAlign w:val="bottom"/>
          </w:tcPr>
          <w:p>
            <w:pPr>
              <w:spacing w:after="0"/>
              <w:rPr>
                <w:sz w:val="14"/>
                <w:szCs w:val="14"/>
                <w:color w:val="auto"/>
              </w:rPr>
            </w:pPr>
          </w:p>
        </w:tc>
        <w:tc>
          <w:tcPr>
            <w:tcW w:w="1360" w:type="dxa"/>
            <w:vAlign w:val="bottom"/>
          </w:tcPr>
          <w:p>
            <w:pPr>
              <w:jc w:val="center"/>
              <w:ind w:right="17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ESTIMATE</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USED</w:t>
            </w:r>
          </w:p>
        </w:tc>
        <w:tc>
          <w:tcPr>
            <w:tcW w:w="240" w:type="dxa"/>
            <w:vAlign w:val="bottom"/>
          </w:tcPr>
          <w:p>
            <w:pPr>
              <w:spacing w:after="0"/>
              <w:rPr>
                <w:sz w:val="16"/>
                <w:szCs w:val="16"/>
                <w:color w:val="auto"/>
              </w:rPr>
            </w:pPr>
          </w:p>
        </w:tc>
        <w:tc>
          <w:tcPr>
            <w:tcW w:w="1360" w:type="dxa"/>
            <w:vAlign w:val="bottom"/>
          </w:tcPr>
          <w:p>
            <w:pPr>
              <w:jc w:val="center"/>
              <w:ind w:right="154"/>
              <w:spacing w:after="0"/>
              <w:rPr>
                <w:sz w:val="20"/>
                <w:szCs w:val="20"/>
                <w:color w:val="auto"/>
              </w:rPr>
            </w:pPr>
            <w:r>
              <w:rPr>
                <w:rFonts w:ascii="Arial" w:cs="Arial" w:eastAsia="Arial" w:hAnsi="Arial"/>
                <w:sz w:val="14"/>
                <w:szCs w:val="14"/>
                <w:b w:val="1"/>
                <w:bCs w:val="1"/>
                <w:color w:val="auto"/>
                <w:w w:val="89"/>
              </w:rPr>
              <w:t>2012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costs of sales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general and administrative costs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cost accrued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August 8, 2011, the Company announced a restructuring plan (the “2011 restructuring plan”) designed to streamline management decision making and continue the regionalization of the Company’s operating structure, with the objective of reinvesting the savings generated in innovation and growth initiatives. During fiscal 2011, the Company incurred $24.2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 A majority of these costs that were incurred were in relation to the Global Consumer segment and Corporate &amp; Other. In continuation of the 2011 restructuring plan, during the six months ended March 31, 2012, the Company incurred an additional $2.1 million in restructuring costs related to termination benefits provided to employees who accepted voluntary retirement and special termination benefits provided to certain employees upon future separation as well as $0.2 million related to curtailment charges for its U.S. defined benefit pension and U.S retiree medical plans. A significant portion of the amounts reserved as of March 31, 2012 will be paid out over the course of fiscal 2012. Included in the restructuring reserves is $7.2 million that is classified as long-term. Payments against the long-term reserves will start once the employees covered by the 2011 restructuring plan retire.</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9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2012</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2.3</w:t>
            </w:r>
          </w:p>
        </w:tc>
      </w:tr>
      <w:tr>
        <w:trPr>
          <w:trHeight w:val="27"/>
        </w:trPr>
        <w:tc>
          <w:tcPr>
            <w:tcW w:w="9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March 31, 2012</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20.8</w:t>
            </w:r>
          </w:p>
        </w:tc>
      </w:tr>
      <w:tr>
        <w:trPr>
          <w:trHeight w:val="27"/>
        </w:trPr>
        <w:tc>
          <w:tcPr>
            <w:tcW w:w="9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months ended March 31, 2012, the Company recognized a $5.3 million asset impairment charge as a result of issues with commercialization of products including the active ingredient MAT 28 for the Global Consumer segment. Also included is a $0.5 million impairment charge related to the investment in Turf-Seed (Europe) Limited.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4"/>
                <w:szCs w:val="14"/>
                <w:color w:val="auto"/>
              </w:rPr>
            </w:pPr>
          </w:p>
        </w:tc>
        <w:tc>
          <w:tcPr>
            <w:tcW w:w="15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8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34.3</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222.0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387.0</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Adjustments to reflect inventories at net realizeable values were $26.5 million at March 31, 2012, $31.2 million at April 2, 2011 and $31.4 million at September 30,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8"/>
          <w:szCs w:val="18"/>
          <w:color w:val="auto"/>
        </w:rPr>
        <w:t>The Company is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annual contribution payment is defined in the Marketing Agreement as $20 million.</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seven years as of March 31, 2012.</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Net commission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net sales associated with Marketing Agreement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56.7</w:t>
            </w:r>
          </w:p>
        </w:tc>
      </w:tr>
      <w:tr>
        <w:trPr>
          <w:trHeight w:val="27"/>
        </w:trPr>
        <w:tc>
          <w:tcPr>
            <w:tcW w:w="6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84"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5"/>
          <w:szCs w:val="25"/>
          <w:color w:val="auto"/>
          <w:vertAlign w:val="superscript"/>
        </w:rPr>
        <w: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20" w:lineRule="exact"/>
        <w:rPr>
          <w:sz w:val="20"/>
          <w:szCs w:val="20"/>
          <w:color w:val="auto"/>
        </w:rPr>
      </w:pPr>
    </w:p>
    <w:p>
      <w:pPr>
        <w:jc w:val="both"/>
        <w:ind w:firstLine="432"/>
        <w:spacing w:after="0" w:line="227"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4"/>
                <w:szCs w:val="14"/>
                <w:color w:val="auto"/>
              </w:rPr>
            </w:pPr>
          </w:p>
        </w:tc>
        <w:tc>
          <w:tcPr>
            <w:tcW w:w="1600" w:type="dxa"/>
            <w:vAlign w:val="bottom"/>
          </w:tcPr>
          <w:p>
            <w:pPr>
              <w:jc w:val="right"/>
              <w:ind w:right="29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2011</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MARP Agreement</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7.5</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Less current portions</w:t>
            </w:r>
          </w:p>
        </w:tc>
        <w:tc>
          <w:tcPr>
            <w:tcW w:w="3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764.6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2012, there was $837.4 million of availability under the Company’s senior secured credit facility, including availability under letters of credit. Under the credit facility, the Company has the ability to issue letter of credit commitments up to $75 million. At March 31, 2012, the Company had letters of credit in the aggregate face amount of $25.5 million outstanding.</w:t>
      </w:r>
    </w:p>
    <w:p>
      <w:pPr>
        <w:spacing w:after="0" w:line="10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was in compliance with the terms of all debt covenants at March 31, 2012. The credit facility contains, among other obligations, an affirmative covenant regarding the Company’s leverage ratio, calculated as average total indebtedness, as described in the Company’s credit facility, relative to the Company’s earnings before interest, taxes, deprecation and amortization ("EBITDA"), as adjusted pursuant to the terms of the credit facility (“Adjusted EBITDA”). Under the terms of the credit facility, the maximum leverage ratio was 3.50 as of March 31, 2012. The Company’s leverage ratio was 2.51 at March 31, 2012.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twelve months ended March 31, 2012. The Company’s interest coverage ratio was 5.80 for the twelve months ended March 31, 2012.</w:t>
      </w:r>
    </w:p>
    <w:p>
      <w:pPr>
        <w:spacing w:after="0" w:line="9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There were $222.5 million in borrowings under the MARP Agreement as of March 31,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which are the prevailing market rates, and thus the carrying value is a reasonable estimate of fair value. The fair value measurement for the credit facility was classified in Level 2 of the fair value hierarchy.</w:t>
      </w:r>
    </w:p>
    <w:p>
      <w:pPr>
        <w:spacing w:after="0" w:line="1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(the “7.25% Senior Notes”) can be determined based on the trading of the 7.25% Senior Notes in the open market. The difference between the carrying value and the fair value of the 7.25% Senior Notes represents the premium or discount on that date. Based on the trading value on or around March 31, 2012, April 2, 2011 and September 30, 20111, the fair value of the 7.25% Senior Notes was approximately $216.0 million, $212.0 million and $206.0 million, respectively. The fair value measurement for the 7.25%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March 31, 2012, April 2, 2011 and September 30, 2011, the fair value of the 6.625% Senior Notes was approximately $212.0 million, $205.8 million and $198.1 million, respectively. The fair value measurement for the 6.625% Senior Notes was classified in Level 1 of the fair value hierarchy.</w:t>
      </w:r>
    </w:p>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which are the prevailing market rates, and thus the carrying value is a reasonable estimate of fair value. The fair value measurement for the MARP agreement was classified in Level 2 of the fair value hierarchy.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COMPREHENSIVE INCOME (LOSS)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other comprehensive income (loss) (“OCI”) were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w:t>
            </w:r>
          </w:p>
        </w:tc>
        <w:tc>
          <w:tcPr>
            <w:tcW w:w="20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120" w:type="dxa"/>
            <w:vAlign w:val="bottom"/>
          </w:tcPr>
          <w:p>
            <w:pPr>
              <w:jc w:val="right"/>
              <w:ind w:right="315"/>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5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unrealized gain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change in pension and other postretirement related items</w:t>
            </w:r>
          </w:p>
        </w:tc>
        <w:tc>
          <w:tcPr>
            <w:tcW w:w="2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115.4</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AND RETIREE MEDICAL PLANS</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summarizes the components of net periodic benefit cost for the retirement and retiree medical plans sponsored by the Company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MARCH 31, 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7"/>
              </w:rPr>
              <w:t>APRIL 2, 2011</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7"/>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U.S.</w:t>
            </w:r>
          </w:p>
        </w:tc>
        <w:tc>
          <w:tcPr>
            <w:tcW w:w="28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Medical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Pension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w:t>
            </w:r>
          </w:p>
        </w:tc>
        <w:tc>
          <w:tcPr>
            <w:tcW w:w="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4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12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9"/>
              </w:rPr>
              <w:t>MARCH 31, 2012</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7"/>
              </w:rPr>
              <w:t>APRIL 2, 2011</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r>
      <w:tr>
        <w:trPr>
          <w:trHeight w:val="152"/>
        </w:trPr>
        <w:tc>
          <w:tcPr>
            <w:tcW w:w="2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International</w:t>
            </w:r>
          </w:p>
        </w:tc>
        <w:tc>
          <w:tcPr>
            <w:tcW w:w="180" w:type="dxa"/>
            <w:vAlign w:val="bottom"/>
          </w:tcPr>
          <w:p>
            <w:pPr>
              <w:spacing w:after="0"/>
              <w:rPr>
                <w:sz w:val="13"/>
                <w:szCs w:val="13"/>
                <w:color w:val="auto"/>
              </w:rPr>
            </w:pPr>
          </w:p>
        </w:tc>
        <w:tc>
          <w:tcPr>
            <w:tcW w:w="9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3"/>
                <w:szCs w:val="13"/>
                <w:color w:val="auto"/>
              </w:rPr>
            </w:pPr>
          </w:p>
        </w:tc>
        <w:tc>
          <w:tcPr>
            <w:tcW w:w="9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00" w:type="dxa"/>
            <w:vAlign w:val="bottom"/>
          </w:tcPr>
          <w:p>
            <w:pPr>
              <w:spacing w:after="0"/>
              <w:rPr>
                <w:sz w:val="13"/>
                <w:szCs w:val="13"/>
                <w:color w:val="auto"/>
              </w:rPr>
            </w:pPr>
          </w:p>
        </w:tc>
        <w:tc>
          <w:tcPr>
            <w:tcW w:w="84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9"/>
              </w:rPr>
              <w:t>Pension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8"/>
              </w:rPr>
              <w:t>Pension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Medical</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Pension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8"/>
              </w:rPr>
              <w:t>Pension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2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220" w:type="dxa"/>
            <w:vAlign w:val="bottom"/>
          </w:tcPr>
          <w:p>
            <w:pPr>
              <w:ind w:left="20"/>
              <w:spacing w:after="0"/>
              <w:rPr>
                <w:sz w:val="20"/>
                <w:szCs w:val="20"/>
                <w:color w:val="auto"/>
              </w:rPr>
            </w:pPr>
            <w:r>
              <w:rPr>
                <w:rFonts w:ascii="Arial" w:cs="Arial" w:eastAsia="Arial" w:hAnsi="Arial"/>
                <w:sz w:val="18"/>
                <w:szCs w:val="18"/>
                <w:color w:val="auto"/>
              </w:rPr>
              <w:t>Net amortization</w:t>
            </w:r>
          </w:p>
        </w:tc>
        <w:tc>
          <w:tcPr>
            <w:tcW w:w="2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Curtailment loss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22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2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six months ended March 31, 2012, Scotts Miracle-Gro repurchased 0.4 million of its common shares (the “Common Shares”) for $17.5 million. These repurchases were made pursuant to the $700 million share repurchase program approved by the Scotts Miracle-Gro Board of Directors. Since the inception of the program in the fourth quarter of fiscal 2010 through March 31, 2012, Scotts Miracle-Gro has repurchased approximately 7.9 million Common Shares for $401.2 million to be held in treasury.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7"/>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8"/>
              </w:rPr>
              <w:t>March 31, 2012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April 2, 2011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464,061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429,700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65,619</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Performance units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110,079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53,874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stock units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27,259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25,289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share-based awards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708,243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574,482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459"/>
        </w:trPr>
        <w:tc>
          <w:tcPr>
            <w:tcW w:w="7060" w:type="dxa"/>
            <w:vAlign w:val="bottom"/>
            <w:gridSpan w:val="5"/>
          </w:tcPr>
          <w:p>
            <w:pPr>
              <w:spacing w:after="0"/>
              <w:rPr>
                <w:sz w:val="20"/>
                <w:szCs w:val="20"/>
                <w:color w:val="auto"/>
              </w:rPr>
            </w:pPr>
            <w:r>
              <w:rPr>
                <w:rFonts w:ascii="Arial" w:cs="Arial" w:eastAsia="Arial" w:hAnsi="Arial"/>
                <w:sz w:val="18"/>
                <w:szCs w:val="18"/>
                <w:color w:val="auto"/>
                <w:w w:val="90"/>
              </w:rPr>
              <w:t>Total share-based compensation recognized was as follows for the periods indicated (in millions):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28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 2011</w:t>
            </w: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MARCH 31, 2012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APRIL 2, 2011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60" w:type="dxa"/>
            <w:vAlign w:val="bottom"/>
          </w:tcPr>
          <w:p>
            <w:pPr>
              <w:spacing w:after="0"/>
              <w:rPr>
                <w:sz w:val="23"/>
                <w:szCs w:val="23"/>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2012, total unrecognized compensation cost related to non-vested share-based awards amounted to $18.7 million. This cost is expected to be recognized over a weighted-average period of 2.1 years. The tax benefit realized from the tax deductions associated with the exercise of share-based awards and the vesting of restricted stock and restricted stock units totaled $12.8 million for fiscal 2012.</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maximum of 18 million Common Shares are available for issuance under share-based award plans. At March 31, 2012, approximately 0.1 million Common Shares were not subject to outstanding awards and were available to underlie the grant of new share-based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Stock Options/SARs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Aggregate stock option and stock appreciation right ("SAR") activity consisted of the following for the six months ended March 31, 2012 (No.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Options/SARs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jc w:val="center"/>
              <w:ind w:right="297"/>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0"/>
              </w:rPr>
              <w:t>No.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Options/SARs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43"/>
        </w:trPr>
        <w:tc>
          <w:tcPr>
            <w:tcW w:w="90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Exercisable</w:t>
            </w: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certain information pertaining to stock option and SAR awards outstanding and exercisable at March 31, 2012 (No.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Options/SARs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1"/>
              </w:rPr>
              <w:t>Awards Outstanding</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Awards Exercisable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40" w:type="dxa"/>
            <w:vAlign w:val="bottom"/>
          </w:tcPr>
          <w:p>
            <w:pPr>
              <w:spacing w:after="0"/>
              <w:rPr>
                <w:sz w:val="13"/>
                <w:szCs w:val="13"/>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No. of</w:t>
            </w:r>
          </w:p>
        </w:tc>
        <w:tc>
          <w:tcPr>
            <w:tcW w:w="15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80" w:type="dxa"/>
            <w:vAlign w:val="bottom"/>
          </w:tcPr>
          <w:p>
            <w:pPr>
              <w:spacing w:after="0"/>
              <w:rPr>
                <w:sz w:val="13"/>
                <w:szCs w:val="13"/>
                <w:color w:val="auto"/>
              </w:rPr>
            </w:pPr>
          </w:p>
        </w:tc>
        <w:tc>
          <w:tcPr>
            <w:tcW w:w="12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WTD.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14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WTD.</w:t>
            </w:r>
          </w:p>
        </w:tc>
        <w:tc>
          <w:tcPr>
            <w:tcW w:w="260" w:type="dxa"/>
            <w:vAlign w:val="bottom"/>
          </w:tcPr>
          <w:p>
            <w:pPr>
              <w:spacing w:after="0"/>
              <w:rPr>
                <w:sz w:val="13"/>
                <w:szCs w:val="13"/>
                <w:color w:val="auto"/>
              </w:rPr>
            </w:pPr>
          </w:p>
        </w:tc>
        <w:tc>
          <w:tcPr>
            <w:tcW w:w="1100" w:type="dxa"/>
            <w:vAlign w:val="bottom"/>
          </w:tcPr>
          <w:p>
            <w:pPr>
              <w:jc w:val="center"/>
              <w:ind w:right="197"/>
              <w:spacing w:after="0" w:line="153" w:lineRule="exact"/>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w:t>
            </w:r>
          </w:p>
        </w:tc>
        <w:tc>
          <w:tcPr>
            <w:tcW w:w="1500" w:type="dxa"/>
            <w:vAlign w:val="bottom"/>
            <w:gridSpan w:val="2"/>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Avg.</w:t>
            </w: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Avg.</w:t>
            </w: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2"/>
              </w:rPr>
              <w:t>Avg.</w:t>
            </w:r>
          </w:p>
        </w:tc>
        <w:tc>
          <w:tcPr>
            <w:tcW w:w="0" w:type="dxa"/>
            <w:vAlign w:val="bottom"/>
          </w:tcPr>
          <w:p>
            <w:pPr>
              <w:spacing w:after="0"/>
              <w:rPr>
                <w:sz w:val="1"/>
                <w:szCs w:val="1"/>
                <w:color w:val="auto"/>
              </w:rPr>
            </w:pPr>
          </w:p>
        </w:tc>
      </w:tr>
      <w:tr>
        <w:trPr>
          <w:trHeight w:val="149"/>
        </w:trPr>
        <w:tc>
          <w:tcPr>
            <w:tcW w:w="2640" w:type="dxa"/>
            <w:vAlign w:val="bottom"/>
            <w:vMerge w:val="continue"/>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Options/</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1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Exercise Price</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SARs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SARS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6"/>
                <w:szCs w:val="16"/>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 – $21.65</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$24.45 – $28.72</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$29.01 – $31.62</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$33.25 – $37.48</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$37.89 – $38.90</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$40.81 – $51.73</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intrinsic values of the stock option and SAR awards outstanding and exercisable at March 31, 2012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5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69.2</w:t>
            </w:r>
          </w:p>
        </w:tc>
      </w:tr>
      <w:tr>
        <w:trPr>
          <w:trHeight w:val="27"/>
        </w:trPr>
        <w:tc>
          <w:tcPr>
            <w:tcW w:w="55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w:t>
            </w:r>
          </w:p>
        </w:tc>
        <w:tc>
          <w:tcPr>
            <w:tcW w:w="50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556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during the six months ended March 31, 2012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market price volatility</w:t>
            </w:r>
          </w:p>
        </w:tc>
        <w:tc>
          <w:tcPr>
            <w:tcW w:w="3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Risk-free interest rates</w:t>
            </w:r>
          </w:p>
        </w:tc>
        <w:tc>
          <w:tcPr>
            <w:tcW w:w="3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0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Expected life of stock options in years</w:t>
            </w:r>
          </w:p>
        </w:tc>
        <w:tc>
          <w:tcPr>
            <w:tcW w:w="34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5.96</w:t>
            </w:r>
          </w:p>
        </w:tc>
      </w:tr>
      <w:tr>
        <w:trPr>
          <w:trHeight w:val="27"/>
        </w:trPr>
        <w:tc>
          <w:tcPr>
            <w:tcW w:w="70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weighted-average fair value per stock option</w:t>
            </w:r>
          </w:p>
        </w:tc>
        <w:tc>
          <w:tcPr>
            <w:tcW w:w="3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11.50</w:t>
            </w:r>
          </w:p>
        </w:tc>
      </w:tr>
      <w:tr>
        <w:trPr>
          <w:trHeight w:val="27"/>
        </w:trPr>
        <w:tc>
          <w:tcPr>
            <w:tcW w:w="706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six months ended March 31, 2012, the total intrinsic value of stock options exercised was $10.2 million. Cash received from the exercise of stock options for the six months ended March 31, 2012 was $12.4 million.</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6" w:right="2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share-based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78"/>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2011</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696,906</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134,103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301,132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(26,700)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outstanding at March 31, 2012</w:t>
            </w:r>
          </w:p>
        </w:tc>
        <w:tc>
          <w:tcPr>
            <w:tcW w:w="1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1,105,441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six months ended March 31, 2012, the total fair value of restricted stock and restricted stock units vested was $3.6 million and $3.1 million,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Performance-based awards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Performance-based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78"/>
              <w:spacing w:after="0"/>
              <w:rPr>
                <w:sz w:val="20"/>
                <w:szCs w:val="20"/>
                <w:color w:val="auto"/>
              </w:rPr>
            </w:pPr>
            <w:r>
              <w:rPr>
                <w:rFonts w:ascii="Arial" w:cs="Arial" w:eastAsia="Arial" w:hAnsi="Arial"/>
                <w:sz w:val="14"/>
                <w:szCs w:val="14"/>
                <w:b w:val="1"/>
                <w:bCs w:val="1"/>
                <w:color w:val="auto"/>
                <w:w w:val="97"/>
              </w:rPr>
              <w:t>WTD. Avg.</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120" w:type="dxa"/>
            <w:vAlign w:val="bottom"/>
            <w:vMerge w:val="restart"/>
          </w:tcPr>
          <w:p>
            <w:pPr>
              <w:ind w:left="740"/>
              <w:spacing w:after="0"/>
              <w:rPr>
                <w:sz w:val="20"/>
                <w:szCs w:val="20"/>
                <w:color w:val="auto"/>
              </w:rPr>
            </w:pPr>
            <w:r>
              <w:rPr>
                <w:rFonts w:ascii="Arial" w:cs="Arial" w:eastAsia="Arial" w:hAnsi="Arial"/>
                <w:sz w:val="14"/>
                <w:szCs w:val="14"/>
                <w:b w:val="1"/>
                <w:bCs w:val="1"/>
                <w:color w:val="auto"/>
                <w:w w:val="90"/>
              </w:rPr>
              <w:t>No.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w w:val="97"/>
              </w:rPr>
              <w:t>Units</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Awards outstanding at September 30, 2011</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42,300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110,079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78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Awards outstanding at March 31, 2012</w:t>
            </w: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152,379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six months ended March 31, 2012 was 37.1%, compared to 35.9% for the six months ended April 2, 2011.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10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With few exceptions, which are discussed below, the Company is no longer subject to examinations by these tax authorities for fiscal years prior to 2008. The Company is currently under examination by certain foreign and U.S. state and local tax authorities. In regard to the local German audit, the tax periods under examination are limited to fiscal years 2004 through 2008. In regard to the U.S. state and local audits, the tax periods under examinations are limited to fiscal years 1997 through 2009. In addition to these aforementioned audits, certain other tax deficiency notices and refund claims for previous years remain unresolved.</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its assessment of contingencies is reasonable and related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reserves, in the aggregate, are adequate; however, there can be no assurance that final resolution of these matters will not have a material effect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financial condition, results of operations or cash flows. The following are the more significant of the Company’s identified contingencies: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a description of the Company’s ongoing FIFRA compliance efforts and the corresponding governmental investigations and related settlement discussions, see “NOTE 3. PRODUCT REGISTRATION AND RECALL MATTERS.”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At March 31, 2012, $4.1 million was accrued in the “Other liabilities” line in the Condensed Consolidated Balance Sheet for non-FIFRA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reserves have been recorded in the Company’s condensed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0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March 31, 2012, the notional amount of outstanding foreign currency swap contracts was $243.1 million, with a negative fair value of $1.5 million. At April 2, 2011, the notional amount of outstanding foreign currency swap contracts was $107.7 million with a negative fair value of $0.4 million. The fair value of foreign currency swap contracts is determined based on changes in spot rates. The contracts will mature over the next fiscal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2012 and April 2, 2011, the Company had outstanding interest rate swap agreements with major financial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institutions that effectively converted a portion of the Company’s variable-rate debt to a fixed rate. The swap agreements had a total U.S. dollar equivalent notional amount of $700 million and $900 million at March 31, 2012 and April 2, 2011, respectively. Included in the AOCI balance at March 31, 2012 was a loss of $4.2 million related to interest rate swap agreements that is expected to be reclassified to earnings during the next 12 months, consistent with the timing of the underlying hedged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March 31, 2012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 inventory, the gain or loss is reclassified to cost of sales. Included in the AOCI balance at March 31, 2012 was a gain of $0.7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March 31, 2012 was a gain of $0.1 million related to fuel derivatives that is expected to be reclassified to earnings during the next 12 months, consistent with the timing of the underlying hedged transactions.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203835</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3600" w:type="dxa"/>
            <w:vAlign w:val="bottom"/>
          </w:tcPr>
          <w:p>
            <w:pPr>
              <w:spacing w:after="0"/>
              <w:rPr>
                <w:sz w:val="14"/>
                <w:szCs w:val="14"/>
                <w:color w:val="auto"/>
              </w:rPr>
            </w:pPr>
          </w:p>
        </w:tc>
        <w:tc>
          <w:tcPr>
            <w:tcW w:w="2360" w:type="dxa"/>
            <w:vAlign w:val="bottom"/>
            <w:gridSpan w:val="2"/>
          </w:tcPr>
          <w:p>
            <w:pPr>
              <w:ind w:left="700"/>
              <w:spacing w:after="0"/>
              <w:rPr>
                <w:sz w:val="20"/>
                <w:szCs w:val="20"/>
                <w:color w:val="auto"/>
              </w:rPr>
            </w:pPr>
            <w:r>
              <w:rPr>
                <w:rFonts w:ascii="Arial" w:cs="Arial" w:eastAsia="Arial" w:hAnsi="Arial"/>
                <w:sz w:val="14"/>
                <w:szCs w:val="14"/>
                <w:b w:val="1"/>
                <w:bCs w:val="1"/>
                <w:color w:val="auto"/>
              </w:rPr>
              <w:t>MARCH 31,</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5820" w:type="dxa"/>
            <w:vAlign w:val="bottom"/>
            <w:gridSpan w:val="2"/>
          </w:tcPr>
          <w:p>
            <w:pPr>
              <w:jc w:val="right"/>
              <w:ind w:right="874"/>
              <w:spacing w:after="0" w:line="158"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3"/>
                <w:szCs w:val="13"/>
                <w:color w:val="auto"/>
              </w:rPr>
            </w:pPr>
          </w:p>
        </w:tc>
        <w:tc>
          <w:tcPr>
            <w:tcW w:w="2200" w:type="dxa"/>
            <w:vAlign w:val="bottom"/>
          </w:tcPr>
          <w:p>
            <w:pPr>
              <w:jc w:val="right"/>
              <w:ind w:right="876"/>
              <w:spacing w:after="0" w:line="158" w:lineRule="exact"/>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260" w:type="dxa"/>
            <w:vAlign w:val="bottom"/>
            <w:gridSpan w:val="3"/>
            <w:vMerge w:val="restart"/>
          </w:tcPr>
          <w:p>
            <w:pPr>
              <w:ind w:left="40"/>
              <w:spacing w:after="0"/>
              <w:rPr>
                <w:sz w:val="20"/>
                <w:szCs w:val="20"/>
                <w:color w:val="auto"/>
              </w:rPr>
            </w:pPr>
            <w:r>
              <w:rPr>
                <w:rFonts w:ascii="Arial" w:cs="Arial" w:eastAsia="Arial" w:hAnsi="Arial"/>
                <w:sz w:val="18"/>
                <w:szCs w:val="18"/>
                <w:color w:val="auto"/>
              </w:rPr>
              <w:t>Urea</w:t>
            </w:r>
          </w:p>
        </w:tc>
        <w:tc>
          <w:tcPr>
            <w:tcW w:w="36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260" w:type="dxa"/>
            <w:vAlign w:val="bottom"/>
            <w:gridSpan w:val="3"/>
            <w:vMerge w:val="continue"/>
          </w:tcPr>
          <w:p>
            <w:pPr>
              <w:spacing w:after="0"/>
              <w:rPr>
                <w:sz w:val="20"/>
                <w:szCs w:val="20"/>
                <w:color w:val="auto"/>
              </w:rPr>
            </w:pPr>
          </w:p>
        </w:tc>
        <w:tc>
          <w:tcPr>
            <w:tcW w:w="3600" w:type="dxa"/>
            <w:vAlign w:val="bottom"/>
          </w:tcPr>
          <w:p>
            <w:pPr>
              <w:spacing w:after="0"/>
              <w:rPr>
                <w:sz w:val="20"/>
                <w:szCs w:val="20"/>
                <w:color w:val="auto"/>
              </w:rPr>
            </w:pPr>
          </w:p>
        </w:tc>
        <w:tc>
          <w:tcPr>
            <w:tcW w:w="2360" w:type="dxa"/>
            <w:vAlign w:val="bottom"/>
            <w:gridSpan w:val="2"/>
          </w:tcPr>
          <w:p>
            <w:pPr>
              <w:ind w:left="1220"/>
              <w:spacing w:after="0"/>
              <w:rPr>
                <w:sz w:val="20"/>
                <w:szCs w:val="20"/>
                <w:color w:val="auto"/>
              </w:rPr>
            </w:pPr>
            <w:r>
              <w:rPr>
                <w:rFonts w:ascii="Arial" w:cs="Arial" w:eastAsia="Arial" w:hAnsi="Arial"/>
                <w:sz w:val="18"/>
                <w:szCs w:val="18"/>
                <w:color w:val="auto"/>
              </w:rPr>
              <w:t>9,000 tons</w:t>
            </w:r>
          </w:p>
        </w:tc>
        <w:tc>
          <w:tcPr>
            <w:tcW w:w="2200" w:type="dxa"/>
            <w:vAlign w:val="bottom"/>
          </w:tcPr>
          <w:p>
            <w:pPr>
              <w:jc w:val="center"/>
              <w:ind w:left="796"/>
              <w:spacing w:after="0"/>
              <w:rPr>
                <w:sz w:val="20"/>
                <w:szCs w:val="20"/>
                <w:color w:val="auto"/>
              </w:rPr>
            </w:pPr>
            <w:r>
              <w:rPr>
                <w:rFonts w:ascii="Arial" w:cs="Arial" w:eastAsia="Arial" w:hAnsi="Arial"/>
                <w:sz w:val="18"/>
                <w:szCs w:val="18"/>
                <w:color w:val="auto"/>
                <w:w w:val="89"/>
              </w:rPr>
              <w:t>11,000 tons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3,234,000 gallons</w:t>
            </w:r>
          </w:p>
        </w:tc>
        <w:tc>
          <w:tcPr>
            <w:tcW w:w="2200" w:type="dxa"/>
            <w:vAlign w:val="bottom"/>
            <w:tcBorders>
              <w:bottom w:val="single" w:sz="8" w:color="CCEEFF"/>
            </w:tcBorders>
            <w:shd w:val="clear" w:color="auto" w:fill="CCEEFF"/>
          </w:tcPr>
          <w:p>
            <w:pPr>
              <w:jc w:val="center"/>
              <w:ind w:left="776"/>
              <w:spacing w:after="0"/>
              <w:rPr>
                <w:sz w:val="20"/>
                <w:szCs w:val="20"/>
                <w:color w:val="auto"/>
              </w:rPr>
            </w:pPr>
            <w:r>
              <w:rPr>
                <w:rFonts w:ascii="Arial" w:cs="Arial" w:eastAsia="Arial" w:hAnsi="Arial"/>
                <w:sz w:val="18"/>
                <w:szCs w:val="18"/>
                <w:color w:val="auto"/>
                <w:w w:val="91"/>
              </w:rPr>
              <w:t>3,108,000 gallons</w:t>
            </w:r>
          </w:p>
        </w:tc>
        <w:tc>
          <w:tcPr>
            <w:tcW w:w="0" w:type="dxa"/>
            <w:vAlign w:val="bottom"/>
          </w:tcPr>
          <w:p>
            <w:pPr>
              <w:spacing w:after="0"/>
              <w:rPr>
                <w:sz w:val="1"/>
                <w:szCs w:val="1"/>
                <w:color w:val="auto"/>
              </w:rPr>
            </w:pPr>
          </w:p>
        </w:tc>
      </w:tr>
      <w:tr>
        <w:trPr>
          <w:trHeight w:val="243"/>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Gasoline</w:t>
            </w:r>
          </w:p>
        </w:tc>
        <w:tc>
          <w:tcPr>
            <w:tcW w:w="3600" w:type="dxa"/>
            <w:vAlign w:val="bottom"/>
          </w:tcPr>
          <w:p>
            <w:pPr>
              <w:spacing w:after="0"/>
              <w:rPr>
                <w:sz w:val="21"/>
                <w:szCs w:val="21"/>
                <w:color w:val="auto"/>
              </w:rPr>
            </w:pP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217,000 gallons</w:t>
            </w:r>
          </w:p>
        </w:tc>
        <w:tc>
          <w:tcPr>
            <w:tcW w:w="2200" w:type="dxa"/>
            <w:vAlign w:val="bottom"/>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Heating Oil</w:t>
            </w:r>
          </w:p>
        </w:tc>
        <w:tc>
          <w:tcPr>
            <w:tcW w:w="36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1,386,000 gallons</w:t>
            </w:r>
          </w:p>
        </w:tc>
        <w:tc>
          <w:tcPr>
            <w:tcW w:w="2200" w:type="dxa"/>
            <w:vAlign w:val="bottom"/>
            <w:tcBorders>
              <w:bottom w:val="single" w:sz="8" w:color="CCEEFF"/>
            </w:tcBorders>
            <w:shd w:val="clear" w:color="auto" w:fill="CCEEFF"/>
          </w:tcPr>
          <w:p>
            <w:pPr>
              <w:jc w:val="center"/>
              <w:ind w:left="7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0" w:type="dxa"/>
            <w:vAlign w:val="bottom"/>
          </w:tcPr>
          <w:p>
            <w:pPr>
              <w:jc w:val="right"/>
              <w:ind w:right="979"/>
              <w:spacing w:after="0"/>
              <w:rPr>
                <w:sz w:val="20"/>
                <w:szCs w:val="20"/>
                <w:color w:val="auto"/>
              </w:rPr>
            </w:pPr>
            <w:r>
              <w:rPr>
                <w:rFonts w:ascii="Arial" w:cs="Arial" w:eastAsia="Arial" w:hAnsi="Arial"/>
                <w:sz w:val="18"/>
                <w:szCs w:val="18"/>
                <w:color w:val="auto"/>
              </w:rPr>
              <w:t>17</w:t>
            </w:r>
          </w:p>
        </w:tc>
        <w:tc>
          <w:tcPr>
            <w:tcW w:w="2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rPr>
              <w:t>ASSETS / (LIABILITIES)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tcPr>
          <w:p>
            <w:pPr>
              <w:jc w:val="right"/>
              <w:ind w:right="276"/>
              <w:spacing w:after="0" w:line="153"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right="580"/>
              <w:spacing w:after="0" w:line="153" w:lineRule="exact"/>
              <w:rPr>
                <w:sz w:val="20"/>
                <w:szCs w:val="20"/>
                <w:color w:val="auto"/>
              </w:rPr>
            </w:pPr>
            <w:r>
              <w:rPr>
                <w:rFonts w:ascii="Arial" w:cs="Arial" w:eastAsia="Arial" w:hAnsi="Arial"/>
                <w:sz w:val="14"/>
                <w:szCs w:val="14"/>
                <w:b w:val="1"/>
                <w:bCs w:val="1"/>
                <w:color w:val="auto"/>
              </w:rPr>
              <w:t>APRIL 2,</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2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gridSpan w:val="4"/>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6"/>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center"/>
              <w:ind w:right="128"/>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4"/>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8"/>
              </w:rPr>
              <w:t>Total derivatives designated as hedging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vMerge w:val="restart"/>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(23.0)</w:t>
            </w:r>
          </w:p>
        </w:tc>
        <w:tc>
          <w:tcPr>
            <w:tcW w:w="2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3"/>
            <w:vMerge w:val="restart"/>
          </w:tcPr>
          <w:p>
            <w:pPr>
              <w:jc w:val="center"/>
              <w:ind w:right="12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instruments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gridSpan w:val="2"/>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20" w:type="dxa"/>
            <w:vAlign w:val="bottom"/>
            <w:tcBorders>
              <w:bottom w:val="single" w:sz="8" w:color="auto"/>
            </w:tcBorders>
            <w:gridSpan w:val="2"/>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3"/>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2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4"/>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center"/>
              <w:ind w:right="128"/>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4"/>
          </w:tcPr>
          <w:p>
            <w:pPr>
              <w:ind w:left="20"/>
              <w:spacing w:after="0"/>
              <w:rPr>
                <w:sz w:val="20"/>
                <w:szCs w:val="20"/>
                <w:color w:val="auto"/>
              </w:rPr>
            </w:pPr>
            <w:r>
              <w:rPr>
                <w:rFonts w:ascii="Arial" w:cs="Arial" w:eastAsia="Arial" w:hAnsi="Arial"/>
                <w:sz w:val="18"/>
                <w:szCs w:val="18"/>
                <w:color w:val="auto"/>
                <w:w w:val="87"/>
              </w:rPr>
              <w:t>Prepaid and other current assets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Other current liabilities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40"/>
              <w:spacing w:after="0"/>
              <w:rPr>
                <w:sz w:val="20"/>
                <w:szCs w:val="20"/>
                <w:color w:val="auto"/>
              </w:rPr>
            </w:pPr>
            <w:r>
              <w:rPr>
                <w:rFonts w:ascii="Arial" w:cs="Arial" w:eastAsia="Arial" w:hAnsi="Arial"/>
                <w:sz w:val="18"/>
                <w:szCs w:val="18"/>
                <w:color w:val="auto"/>
                <w:w w:val="90"/>
              </w:rPr>
              <w:t>Total derivatives not designated as hedging</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gridSpan w:val="2"/>
            <w:vMerge w:val="restart"/>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top w:val="single" w:sz="8" w:color="auto"/>
            </w:tcBorders>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gridSpan w:val="3"/>
            <w:vMerge w:val="restart"/>
          </w:tcPr>
          <w:p>
            <w:pPr>
              <w:jc w:val="center"/>
              <w:ind w:right="128"/>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instruments</w:t>
            </w: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gridSpan w:val="2"/>
            <w:vMerge w:val="continue"/>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2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gridSpan w:val="3"/>
            <w:shd w:val="clear" w:color="auto" w:fill="CCEEFF"/>
          </w:tcPr>
          <w:p>
            <w:pPr>
              <w:jc w:val="center"/>
              <w:ind w:right="128"/>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960" w:type="dxa"/>
            <w:vAlign w:val="bottom"/>
            <w:gridSpan w:val="25"/>
          </w:tcPr>
          <w:p>
            <w:pPr>
              <w:ind w:left="440"/>
              <w:spacing w:after="0"/>
              <w:rPr>
                <w:sz w:val="20"/>
                <w:szCs w:val="20"/>
                <w:color w:val="auto"/>
              </w:rPr>
            </w:pPr>
            <w:r>
              <w:rPr>
                <w:rFonts w:ascii="Arial" w:cs="Arial" w:eastAsia="Arial" w:hAnsi="Arial"/>
                <w:sz w:val="18"/>
                <w:szCs w:val="18"/>
                <w:color w:val="auto"/>
                <w:w w:val="90"/>
              </w:rPr>
              <w:t>The effect of derivative instruments on OCI and the Condensed Consolidated Statements of Operations was as follows (in millions):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1"/>
          </w:tcPr>
          <w:p>
            <w:pPr>
              <w:ind w:left="18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11"/>
          </w:tcPr>
          <w:p>
            <w:pPr>
              <w:ind w:left="380"/>
              <w:spacing w:after="0"/>
              <w:rPr>
                <w:sz w:val="20"/>
                <w:szCs w:val="20"/>
                <w:color w:val="auto"/>
              </w:rPr>
            </w:pPr>
            <w:r>
              <w:rPr>
                <w:rFonts w:ascii="Arial" w:cs="Arial" w:eastAsia="Arial" w:hAnsi="Arial"/>
                <w:sz w:val="14"/>
                <w:szCs w:val="14"/>
                <w:b w:val="1"/>
                <w:bCs w:val="1"/>
                <w:color w:val="auto"/>
              </w:rPr>
              <w:t>RECOGNIZED IN OCI</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8"/>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right="50"/>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rPr>
              <w:t>APRIL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2012</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3"/>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500" w:type="dxa"/>
            <w:vAlign w:val="bottom"/>
            <w:gridSpan w:val="11"/>
          </w:tcPr>
          <w:p>
            <w:pPr>
              <w:jc w:val="center"/>
              <w:ind w:right="140"/>
              <w:spacing w:after="0"/>
              <w:rPr>
                <w:sz w:val="20"/>
                <w:szCs w:val="20"/>
                <w:color w:val="auto"/>
              </w:rPr>
            </w:pPr>
            <w:r>
              <w:rPr>
                <w:rFonts w:ascii="Arial" w:cs="Arial" w:eastAsia="Arial" w:hAnsi="Arial"/>
                <w:sz w:val="14"/>
                <w:szCs w:val="14"/>
                <w:b w:val="1"/>
                <w:bCs w:val="1"/>
                <w:color w:val="auto"/>
              </w:rPr>
              <w:t>AMOUNT OF GAIN / (LOSS)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00" w:type="dxa"/>
            <w:vAlign w:val="bottom"/>
            <w:gridSpan w:val="11"/>
          </w:tcPr>
          <w:p>
            <w:pPr>
              <w:jc w:val="center"/>
              <w:ind w:right="160"/>
              <w:spacing w:after="0" w:line="149" w:lineRule="exact"/>
              <w:rPr>
                <w:sz w:val="20"/>
                <w:szCs w:val="20"/>
                <w:color w:val="auto"/>
              </w:rPr>
            </w:pPr>
            <w:r>
              <w:rPr>
                <w:rFonts w:ascii="Arial" w:cs="Arial" w:eastAsia="Arial" w:hAnsi="Arial"/>
                <w:sz w:val="14"/>
                <w:szCs w:val="14"/>
                <w:b w:val="1"/>
                <w:bCs w:val="1"/>
                <w:color w:val="auto"/>
              </w:rPr>
              <w:t>RECLASSIFIED FROM AOCI INTO</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10"/>
          </w:tcPr>
          <w:p>
            <w:pPr>
              <w:jc w:val="center"/>
              <w:ind w:right="92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2420" w:type="dxa"/>
            <w:vAlign w:val="bottom"/>
            <w:gridSpan w:val="3"/>
          </w:tcPr>
          <w:p>
            <w:pPr>
              <w:jc w:val="center"/>
              <w:ind w:left="41"/>
              <w:spacing w:after="0" w:line="139" w:lineRule="exact"/>
              <w:rPr>
                <w:sz w:val="20"/>
                <w:szCs w:val="20"/>
                <w:color w:val="auto"/>
              </w:rPr>
            </w:pPr>
            <w:r>
              <w:rPr>
                <w:rFonts w:ascii="Arial" w:cs="Arial" w:eastAsia="Arial" w:hAnsi="Arial"/>
                <w:sz w:val="14"/>
                <w:szCs w:val="14"/>
                <w:b w:val="1"/>
                <w:bCs w:val="1"/>
                <w:color w:val="auto"/>
              </w:rPr>
              <w:t>LOCATION OF GAIN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20" w:type="dxa"/>
            <w:vAlign w:val="bottom"/>
            <w:gridSpan w:val="8"/>
            <w:vMerge w:val="restart"/>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8"/>
            <w:vMerge w:val="restart"/>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200" w:type="dxa"/>
            <w:vAlign w:val="bottom"/>
          </w:tcPr>
          <w:p>
            <w:pPr>
              <w:spacing w:after="0"/>
              <w:rPr>
                <w:sz w:val="10"/>
                <w:szCs w:val="10"/>
                <w:color w:val="auto"/>
              </w:rPr>
            </w:pPr>
          </w:p>
        </w:tc>
        <w:tc>
          <w:tcPr>
            <w:tcW w:w="2420" w:type="dxa"/>
            <w:vAlign w:val="bottom"/>
            <w:gridSpan w:val="3"/>
          </w:tcPr>
          <w:p>
            <w:pPr>
              <w:jc w:val="center"/>
              <w:ind w:left="21"/>
              <w:spacing w:after="0" w:line="125" w:lineRule="exact"/>
              <w:rPr>
                <w:sz w:val="20"/>
                <w:szCs w:val="20"/>
                <w:color w:val="auto"/>
              </w:rPr>
            </w:pPr>
            <w:r>
              <w:rPr>
                <w:rFonts w:ascii="Arial" w:cs="Arial" w:eastAsia="Arial" w:hAnsi="Arial"/>
                <w:sz w:val="14"/>
                <w:szCs w:val="14"/>
                <w:b w:val="1"/>
                <w:bCs w:val="1"/>
                <w:color w:val="auto"/>
              </w:rPr>
              <w:t>(LOSS) RECLASSIFIED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8"/>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8"/>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513"/>
              <w:spacing w:after="0" w:line="153" w:lineRule="exact"/>
              <w:rPr>
                <w:sz w:val="20"/>
                <w:szCs w:val="20"/>
                <w:color w:val="auto"/>
              </w:rPr>
            </w:pPr>
            <w:r>
              <w:rPr>
                <w:rFonts w:ascii="Arial" w:cs="Arial" w:eastAsia="Arial" w:hAnsi="Arial"/>
                <w:sz w:val="14"/>
                <w:szCs w:val="14"/>
                <w:b w:val="1"/>
                <w:bCs w:val="1"/>
                <w:color w:val="auto"/>
              </w:rPr>
              <w:t>FROM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left="108"/>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APRIL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4"/>
          </w:tcPr>
          <w:p>
            <w:pPr>
              <w:jc w:val="center"/>
              <w:ind w:right="200"/>
              <w:spacing w:after="0" w:line="153"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242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rPr>
              <w:t>AOCI INTO EARNINGS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42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w w:val="79"/>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79"/>
              </w:rPr>
              <w:t>18</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ind w:left="160"/>
              <w:spacing w:after="0"/>
              <w:rPr>
                <w:sz w:val="20"/>
                <w:szCs w:val="20"/>
                <w:color w:val="auto"/>
              </w:rPr>
            </w:pPr>
            <w:r>
              <w:rPr>
                <w:rFonts w:ascii="Arial" w:cs="Arial" w:eastAsia="Arial" w:hAnsi="Arial"/>
                <w:sz w:val="14"/>
                <w:szCs w:val="14"/>
                <w:b w:val="1"/>
                <w:bCs w:val="1"/>
                <w:color w:val="auto"/>
              </w:rPr>
              <w:t>AMOUNT OF GAIN / (LOSS)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3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RECOGNIZED IN EARNINGS</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31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310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2940" w:type="dxa"/>
            <w:vAlign w:val="bottom"/>
            <w:gridSpan w:val="2"/>
          </w:tcPr>
          <w:p>
            <w:pPr>
              <w:ind w:left="580"/>
              <w:spacing w:after="0" w:line="153" w:lineRule="exact"/>
              <w:rPr>
                <w:sz w:val="20"/>
                <w:szCs w:val="20"/>
                <w:color w:val="auto"/>
              </w:rPr>
            </w:pPr>
            <w:r>
              <w:rPr>
                <w:rFonts w:ascii="Arial" w:cs="Arial" w:eastAsia="Arial" w:hAnsi="Arial"/>
                <w:sz w:val="14"/>
                <w:szCs w:val="14"/>
                <w:b w:val="1"/>
                <w:bCs w:val="1"/>
                <w:color w:val="auto"/>
              </w:rPr>
              <w:t>LOCATION OF GAIN / (LOSS)</w:t>
            </w: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28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2011</w:t>
            </w: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w:t>
            </w:r>
          </w:p>
        </w:tc>
      </w:tr>
      <w:tr>
        <w:trPr>
          <w:trHeight w:val="243"/>
        </w:trPr>
        <w:tc>
          <w:tcPr>
            <w:tcW w:w="31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940" w:type="dxa"/>
            <w:vAlign w:val="bottom"/>
            <w:gridSpan w:val="2"/>
          </w:tcPr>
          <w:p>
            <w:pPr>
              <w:ind w:left="36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2.3</w:t>
            </w:r>
          </w:p>
        </w:tc>
      </w:tr>
      <w:tr>
        <w:trPr>
          <w:trHeight w:val="27"/>
        </w:trPr>
        <w:tc>
          <w:tcPr>
            <w:tcW w:w="3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at March 31, 2012 (in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April 2, 2011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Quoted Prices in Active</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28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Company’s financial assets and liabilities measured at fair value on a recurring basis at September 30, 2011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Quoted Prices in Active</w:t>
            </w:r>
          </w:p>
        </w:tc>
        <w:tc>
          <w:tcPr>
            <w:tcW w:w="2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00" w:type="dxa"/>
            <w:vAlign w:val="bottom"/>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Unobservable</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Markets for Identical Assets</w:t>
            </w: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300" w:type="dxa"/>
            <w:vAlign w:val="bottom"/>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2"/>
                <w:szCs w:val="12"/>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6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4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080" w:type="dxa"/>
            <w:vAlign w:val="bottom"/>
          </w:tcPr>
          <w:p>
            <w:pPr>
              <w:jc w:val="right"/>
              <w:ind w:right="15"/>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w:t>
      </w:r>
    </w:p>
    <w:p>
      <w:pPr>
        <w:spacing w:after="0" w:line="10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the Company’s professional seed business, revenues and expenses associated with the Company’s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6"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tables present summarized financial information concerning the Company’s reportable segments for the periods indicated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w:t>
            </w:r>
          </w:p>
        </w:tc>
        <w:tc>
          <w:tcPr>
            <w:tcW w:w="1000" w:type="dxa"/>
            <w:vAlign w:val="bottom"/>
          </w:tcPr>
          <w:p>
            <w:pPr>
              <w:spacing w:after="0"/>
              <w:rPr>
                <w:sz w:val="14"/>
                <w:szCs w:val="14"/>
                <w:color w:val="auto"/>
              </w:rPr>
            </w:pPr>
          </w:p>
        </w:tc>
      </w:t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rPr>
              <w:t>ENDED</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ENDED</w:t>
            </w:r>
          </w:p>
        </w:tc>
        <w:tc>
          <w:tcPr>
            <w:tcW w:w="1000" w:type="dxa"/>
            <w:vAlign w:val="bottom"/>
            <w:tcBorders>
              <w:bottom w:val="single" w:sz="8" w:color="auto"/>
            </w:tcBorders>
          </w:tcPr>
          <w:p>
            <w:pPr>
              <w:spacing w:after="0"/>
              <w:rPr>
                <w:sz w:val="16"/>
                <w:szCs w:val="16"/>
                <w:color w:val="auto"/>
              </w:rPr>
            </w:pPr>
          </w:p>
        </w:tc>
      </w:tr>
      <w:tr>
        <w:trPr>
          <w:trHeight w:val="152"/>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248"/>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5"/>
          </w:tcPr>
          <w:p>
            <w:pPr>
              <w:ind w:left="120"/>
              <w:spacing w:after="0" w:line="153" w:lineRule="exact"/>
              <w:rPr>
                <w:sz w:val="20"/>
                <w:szCs w:val="20"/>
                <w:color w:val="auto"/>
              </w:rPr>
            </w:pPr>
            <w:r>
              <w:rPr>
                <w:rFonts w:ascii="Arial" w:cs="Arial" w:eastAsia="Arial" w:hAnsi="Arial"/>
                <w:sz w:val="14"/>
                <w:szCs w:val="14"/>
                <w:b w:val="1"/>
                <w:bCs w:val="1"/>
                <w:color w:val="auto"/>
              </w:rPr>
              <w:t>APRIL 2,</w:t>
            </w:r>
          </w:p>
        </w:tc>
        <w:tc>
          <w:tcPr>
            <w:tcW w:w="160" w:type="dxa"/>
            <w:vAlign w:val="bottom"/>
          </w:tcPr>
          <w:p>
            <w:pPr>
              <w:spacing w:after="0"/>
              <w:rPr>
                <w:sz w:val="13"/>
                <w:szCs w:val="13"/>
                <w:color w:val="auto"/>
              </w:rPr>
            </w:pPr>
          </w:p>
        </w:tc>
        <w:tc>
          <w:tcPr>
            <w:tcW w:w="1100" w:type="dxa"/>
            <w:vAlign w:val="bottom"/>
            <w:gridSpan w:val="3"/>
          </w:tcPr>
          <w:p>
            <w:pPr>
              <w:jc w:val="right"/>
              <w:ind w:right="200"/>
              <w:spacing w:after="0" w:line="15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jc w:val="right"/>
              <w:ind w:right="313"/>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5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1,119.6</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1,273.6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00" w:type="dxa"/>
            <w:vAlign w:val="bottom"/>
          </w:tcPr>
          <w:p>
            <w:pPr>
              <w:spacing w:after="0"/>
              <w:rPr>
                <w:sz w:val="20"/>
                <w:szCs w:val="20"/>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1,155.5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4"/>
          </w:tcPr>
          <w:p>
            <w:pPr>
              <w:jc w:val="right"/>
              <w:ind w:right="30"/>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1,343.4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1,173.5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1,384.7</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1,359.8</w:t>
            </w:r>
          </w:p>
        </w:tc>
      </w:tr>
      <w:tr>
        <w:trPr>
          <w:trHeight w:val="67"/>
        </w:trPr>
        <w:tc>
          <w:tcPr>
            <w:tcW w:w="56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(loss) from continuing operations 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275.2</w:t>
            </w: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21"/>
                <w:szCs w:val="21"/>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299.0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243.9</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(15.2)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200" w:type="dxa"/>
            <w:vAlign w:val="bottom"/>
          </w:tcPr>
          <w:p>
            <w:pPr>
              <w:spacing w:after="0"/>
              <w:rPr>
                <w:sz w:val="20"/>
                <w:szCs w:val="20"/>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gridSpan w:val="3"/>
          </w:tcPr>
          <w:p>
            <w:pPr>
              <w:jc w:val="right"/>
              <w:ind w:right="30"/>
              <w:spacing w:after="0"/>
              <w:rPr>
                <w:sz w:val="20"/>
                <w:szCs w:val="20"/>
                <w:color w:val="auto"/>
              </w:rPr>
            </w:pPr>
            <w:r>
              <w:rPr>
                <w:rFonts w:ascii="Arial" w:cs="Arial" w:eastAsia="Arial" w:hAnsi="Arial"/>
                <w:sz w:val="18"/>
                <w:szCs w:val="18"/>
                <w:color w:val="auto"/>
                <w:w w:val="88"/>
              </w:rPr>
              <w:t>283.8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224.2</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8"/>
              </w:rPr>
              <w:t>231.8</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w:t>
            </w:r>
          </w:p>
        </w:tc>
      </w:tr>
      <w:tr>
        <w:trPr>
          <w:trHeight w:val="27"/>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484"/>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4"/>
                <w:szCs w:val="14"/>
                <w:b w:val="1"/>
                <w:bCs w:val="1"/>
                <w:color w:val="auto"/>
              </w:rPr>
              <w:t>APRIL 2,</w:t>
            </w:r>
          </w:p>
        </w:tc>
        <w:tc>
          <w:tcPr>
            <w:tcW w:w="100" w:type="dxa"/>
            <w:vAlign w:val="bottom"/>
          </w:tcPr>
          <w:p>
            <w:pPr>
              <w:spacing w:after="0"/>
              <w:rPr>
                <w:sz w:val="24"/>
                <w:szCs w:val="24"/>
                <w:color w:val="auto"/>
              </w:rPr>
            </w:pPr>
          </w:p>
        </w:tc>
        <w:tc>
          <w:tcPr>
            <w:tcW w:w="148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6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200" w:type="dxa"/>
            <w:vAlign w:val="bottom"/>
          </w:tcPr>
          <w:p>
            <w:pPr>
              <w:spacing w:after="0"/>
              <w:rPr>
                <w:sz w:val="21"/>
                <w:szCs w:val="21"/>
                <w:color w:val="auto"/>
              </w:rPr>
            </w:pPr>
          </w:p>
        </w:tc>
        <w:tc>
          <w:tcPr>
            <w:tcW w:w="118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2,629.2</w:t>
            </w:r>
          </w:p>
        </w:tc>
        <w:tc>
          <w:tcPr>
            <w:tcW w:w="5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2,635.1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1,552.4</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315.5</w:t>
            </w: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3,069.7</w:t>
            </w:r>
          </w:p>
        </w:tc>
        <w:tc>
          <w:tcPr>
            <w:tcW w:w="5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6"/>
          <w:szCs w:val="16"/>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The following 100% directly or indirectly owned subsidiaries fully and unconditionally guarantee the Senior Notes on a joint and several basis: EG Systems, Inc., dba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 SMG Brands, Inc. was added as a Guarantor of the Senior Notes on September 28, 2011. Accordingly, SMG Brands, Inc. has been classified as a Guarantor for all periods presented in the condensed consolidating financial information accompanying this Note 16.</w:t>
      </w:r>
    </w:p>
    <w:p>
      <w:pPr>
        <w:spacing w:after="0" w:line="9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following information presents Condensed Consolidating Statements of Operations for the three and six months ended March 31, 2012 and April 2, 2011, Condensed Consolidating Statements of Cash Flows for the six months ended March 31, 2012 and April 2, 2011, and Condensed Consolidating Balance Sheets as of March 31, 2012, April 2, 2011 and September 30, 2011.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2,026.6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1,241.2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1,931.1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1,860.8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2,586.2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3,069.7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in subsidiaries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845.9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sales—product registration and recall matters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April 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Proceeds from sale of business, net of transaction costs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issuance of 6.625% Senior Notes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April 2,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876.8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1,142.3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556.1</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1,991.6</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3,074.6</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2,286.0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2,439.5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323.5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67"/>
        </w:trPr>
        <w:tc>
          <w:tcPr>
            <w:tcW w:w="368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spacing w:after="0"/>
              <w:rPr>
                <w:sz w:val="19"/>
                <w:szCs w:val="19"/>
                <w:color w:val="auto"/>
              </w:rPr>
            </w:pPr>
          </w:p>
        </w:tc>
        <w:tc>
          <w:tcPr>
            <w:tcW w:w="4000" w:type="dxa"/>
            <w:vAlign w:val="bottom"/>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consumers’ outdoor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the second largest lawn care service business in the United States. Our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$270.9 million net proceeds.</w:t>
      </w:r>
    </w:p>
    <w:p>
      <w:pPr>
        <w:spacing w:after="0" w:line="1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Effective in our first quarter of fiscal 2011, we classified Global Pro as discontinued operations. Prior to being reported as discontinued operations, Global Pro was included as part of our former Global Professional business segment. Results for our professional seed business have been classified to Corporate &amp; Other.</w:t>
      </w:r>
    </w:p>
    <w:p>
      <w:pPr>
        <w:spacing w:after="0" w:line="10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Research and development and advertising support are critical components of these efforts and we continually explore new and innovative ways to communicate with consumers. In fiscal 2012, we expect our advertising investment to be approximately 6% of net sales, a significant increase from recent years. We believe that we receive a significant return on these expenditures and anticipate a similar commitment to research and development, advertising and marketing investments in the future, with the continuing objective of driving category growth and increasing market share.</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sales in any one year are susceptible to weather conditions in the markets in which our products are sold. For instance, periods of abnormally wet or dry weather can adversely impact sales of certain products, while increasing demand for other products. We believe that our diversified product line and our broad geographic diversification reduce this risk, although to a lessor extent in a year where unfavorable weather is geographically wide-spread and extends across a significant portion of the lawn and garden season. We also believe that weather conditions in any one year, positive or negative, do not materially alter longer-term category growth trends.</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6"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13335</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500"/>
              <w:spacing w:after="0"/>
              <w:rPr>
                <w:sz w:val="20"/>
                <w:szCs w:val="20"/>
                <w:color w:val="auto"/>
              </w:rPr>
            </w:pPr>
            <w:r>
              <w:rPr>
                <w:rFonts w:ascii="Arial" w:cs="Arial" w:eastAsia="Arial" w:hAnsi="Arial"/>
                <w:sz w:val="14"/>
                <w:szCs w:val="14"/>
                <w:b w:val="1"/>
                <w:bCs w:val="1"/>
                <w:color w:val="auto"/>
                <w:w w:val="89"/>
              </w:rPr>
              <w:t>2011</w:t>
            </w: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2009</w:t>
            </w:r>
          </w:p>
        </w:tc>
      </w:tr>
      <w:tr>
        <w:trPr>
          <w:trHeight w:val="250"/>
        </w:trPr>
        <w:tc>
          <w:tcPr>
            <w:tcW w:w="6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39.9%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36.2%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6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36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product mix and foreign exchange movements), gross profit rate, advertising to net sales ratios, income from operations, income from continuing operations, net income and earnings per share. To the extent applicable, these measures are evaluated with and without impairment, restructuring and other charges as well as product registration and recall matters,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8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Scotts Miracle-Gro Board of Directors has authorized the repurchase of up to $700 million of our Common Shares through September 30, 2014. Further, on August 8, 2011, we announced that the Scotts Miracle-Gro Board of Directors had increased our quarterly dividend from $0.25 to $0.30 per Common Share. The decisions to increase the amount of cash we intend to return to our shareholders reflect our continued confidence in the long-term performance of our business, which should allow us to return cash to shareholders while also investing to sustain and grow our key competitive advantages. From the inception of the share repurchase program in the fourth quarter of fiscal 2010 through the second quarter of fiscal 2012, we have repurchased approximately 7.9 million of our Common Shares in open market transactions for $401.2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DOJ in related civil and criminal investigations into the pesticide product registration issues as well as a state civil investigation into related allegations arising under state pesticide registration laws and regulations.</w:t>
      </w:r>
    </w:p>
    <w:p>
      <w:pPr>
        <w:spacing w:after="0" w:line="9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7"/>
          <w:szCs w:val="17"/>
          <w:color w:val="auto"/>
        </w:rPr>
        <w:t>In late April of 2008, in connection with the U.S. EPA’s investigation, we conducted a consumer-level recall of certain consumer lawn and garden products and a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fiscal 2010 or fiscal 2011 sales and are not expected to materially affect our fiscal 2012 sales.</w:t>
      </w:r>
    </w:p>
    <w:p>
      <w:pPr>
        <w:spacing w:after="0" w:line="11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fiscal 2010 or fiscal 2011 financial condition, results of operations or cash flows and are not expected to affect the Company's fiscal 2012 financial condition, result of operations or cash flows.</w:t>
      </w:r>
    </w:p>
    <w:p>
      <w:pPr>
        <w:spacing w:after="0" w:line="9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 Complaint from the U.S. EPA Region 5 with respect to the alleged FIFRA violations. The Notice, which did not set forth a proposed penalty amount, offered us an opportunity to present any information that we believed the U.S. EPA should consider prior to filing the complaint and indicated that the U.S. EPA was prepared to meet with us to discuss the alleged violations. We made a timely response to the Notice and settlement discussions between us and the U.S. EPA are ongoing.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previously disclosed, we have also been engaged in settlement discussions with the U.S. DOJ regarding its criminal investigation. On January 25, 2012, a Plea Agreement, executed by us and the U.S. DOJ, was filed with the United States District Court for the Southern District of Ohio. Under the terms of the Plea Agreement, we agreed to plead guilty to 11 counts of violating FIFRA and the regulations promulgated thereunder, to pay a $4 million penalty to the United States and to provide $0.1 million to each of the following programs designed to enhance and protect the natural environment, particularly habitats for the bird populations that the U.S. EPA’s regulation of pesticides is designed to protect: (1) Ohio Audubon’s Important Bird Area Program; (2) Ohio Department of Natural Resources’ Urban Forestry Program; (3) Columbus Metro-Parks Bird Habitat Enhancement Program; (4) Cornell University Ornithology Laboratory; and (5) The Nature Conservancy of Ohio. In exchange for our guilty plea and the other promises contained in the Plea Agreement, the U.S. DOJ agreed not to criminally prosecute us for any other federal crimes relating to any potential FIFRA violations known to the government as of the date of the Plea Agreement. On March 13, 2012, the court accepted our guilty plea, but delayed sentencing thereon to an unspecified later date. Our previously established accrual includes the full amount of the proposed criminal penalty and other amounts payable under the Plea Agreement.</w:t>
      </w:r>
    </w:p>
    <w:p>
      <w:pPr>
        <w:spacing w:after="0" w:line="8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U.S. EPA and related state investigations continue and the court has not yet issued its sentence with respect to the Plea Agreement between us and the U.S. DOJ. In addition, the current investigations and proceedings may result in future state, federal or private rights of action as well as judgments, settlements, fines and/or penalties with respect to known or potential additional product registration issues. At this stage of the investigations, we cannot reasonably estimate the total scope or magnitude of all possible liabilities that could result from known or potential product registration issues. Based on the facts and circumstances known to us at this time (including settlement discussions that have taken place to date and the Plea Agreement), we have established what we believe to be an appropriate accrual. It is possible that any fines and/or penalties with respect to the investigations, as well as any judgments, litigation costs or other liabilities relating to such known or potential product registration issues, could exceed the amount of the accrual and could have an adverse effect on our financial condition, results of operations or cash flows.</w:t>
      </w:r>
    </w:p>
    <w:p>
      <w:pPr>
        <w:spacing w:after="0" w:line="9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of these registration and recall matters, we have recorded charges for affected inventory and other registration and recall-related costs. The effects of these adjustments, including the accruals noted above, were pre-tax charges of $3.5 million and $2.5 million for the three-month periods, and $3.8 million and $4.2 million for the six-month periods, ended March 31, 2012 and April 2, 2011, respectively. We expect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accruals as settlement discussions continue or in connection with other actions or potential liabilities arising in connection with the product registration and recall issues.</w:t>
      </w:r>
    </w:p>
    <w:p>
      <w:pPr>
        <w:spacing w:after="0" w:line="8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6" w:right="2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We classified Global Pro as discontinued operations, for all periods presented, beginning in our first quarter of fiscal 2011. As a result, and unless specifically stated, all discussions regarding results for the three and six months ended March 31, 2012 and April 2, 2011 reflect results from our continuing operations.</w:t>
      </w:r>
    </w:p>
    <w:p>
      <w:pPr>
        <w:spacing w:after="0" w:line="10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the components of income and expense as a percentage of net sales for the three and six months ended March 31, 2012 and April 2, 2011: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420" w:type="dxa"/>
            <w:vAlign w:val="bottom"/>
          </w:tcPr>
          <w:p>
            <w:pPr>
              <w:spacing w:after="0"/>
              <w:rPr>
                <w:sz w:val="22"/>
                <w:szCs w:val="22"/>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2012</w:t>
            </w: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2011</w:t>
            </w: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2012</w:t>
            </w:r>
          </w:p>
        </w:tc>
        <w:tc>
          <w:tcPr>
            <w:tcW w:w="1260" w:type="dxa"/>
            <w:vAlign w:val="bottom"/>
          </w:tcPr>
          <w:p>
            <w:pPr>
              <w:jc w:val="right"/>
              <w:ind w:right="91"/>
              <w:spacing w:after="0"/>
              <w:rPr>
                <w:sz w:val="20"/>
                <w:szCs w:val="20"/>
                <w:color w:val="auto"/>
              </w:rPr>
            </w:pPr>
            <w:r>
              <w:rPr>
                <w:rFonts w:ascii="Arial" w:cs="Arial" w:eastAsia="Arial" w:hAnsi="Arial"/>
                <w:sz w:val="14"/>
                <w:szCs w:val="14"/>
                <w:b w:val="1"/>
                <w:bCs w:val="1"/>
                <w:color w:val="auto"/>
              </w:rPr>
              <w:t>APRIL 2, 2011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Net sales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62.2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 of sales – product registration and recall matters</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26.4</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Impairment, restructuring and other charges</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registration and recall matters</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(0.1)</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Income tax expense from continuing operations</w:t>
            </w: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3.4</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13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2.1</w:t>
            </w:r>
          </w:p>
        </w:tc>
      </w:tr>
      <w:tr>
        <w:trPr>
          <w:trHeight w:val="27"/>
        </w:trPr>
        <w:tc>
          <w:tcPr>
            <w:tcW w:w="54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sales for the three months ended March 31, 2012 were $1.17 billion, an increase of 3.9% from net sales of $1.13 billion for the three months ended April 2, 2011. Net sales for the six months ended March 31, 2012 were $1.38 billion, an increase of 1.8% from net sales of $1.36 billion for the six months ended April 2, 2011. The change in net sales was attributable to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40" w:type="dxa"/>
            <w:vAlign w:val="bottom"/>
            <w:shd w:val="clear" w:color="auto" w:fill="CCEEFF"/>
          </w:tcPr>
          <w:p>
            <w:pPr>
              <w:spacing w:after="0"/>
              <w:rPr>
                <w:sz w:val="23"/>
                <w:szCs w:val="23"/>
                <w:color w:val="auto"/>
              </w:rPr>
            </w:pPr>
          </w:p>
        </w:tc>
        <w:tc>
          <w:tcPr>
            <w:tcW w:w="2440" w:type="dxa"/>
            <w:vAlign w:val="bottom"/>
            <w:shd w:val="clear" w:color="auto" w:fill="CCEEFF"/>
          </w:tcPr>
          <w:p>
            <w:pPr>
              <w:jc w:val="center"/>
              <w:ind w:left="48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60" w:type="dxa"/>
            <w:vAlign w:val="bottom"/>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740" w:type="dxa"/>
            <w:vAlign w:val="bottom"/>
            <w:tcBorders>
              <w:bottom w:val="single" w:sz="8" w:color="CCEEFF"/>
            </w:tcBorders>
          </w:tcPr>
          <w:p>
            <w:pPr>
              <w:spacing w:after="0"/>
              <w:rPr>
                <w:sz w:val="22"/>
                <w:szCs w:val="22"/>
                <w:color w:val="auto"/>
              </w:rPr>
            </w:pPr>
          </w:p>
        </w:tc>
        <w:tc>
          <w:tcPr>
            <w:tcW w:w="24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7"/>
              </w:rPr>
              <w:t>MARCH 31, 2012</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5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Pricing</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560" w:type="dxa"/>
            <w:vAlign w:val="bottom"/>
          </w:tcPr>
          <w:p>
            <w:pPr>
              <w:jc w:val="right"/>
              <w:ind w:right="95"/>
              <w:spacing w:after="0"/>
              <w:rPr>
                <w:sz w:val="20"/>
                <w:szCs w:val="20"/>
                <w:color w:val="auto"/>
              </w:rPr>
            </w:pPr>
            <w:r>
              <w:rPr>
                <w:rFonts w:ascii="Arial" w:cs="Arial" w:eastAsia="Arial" w:hAnsi="Arial"/>
                <w:sz w:val="18"/>
                <w:szCs w:val="18"/>
                <w:color w:val="auto"/>
              </w:rPr>
              <w:t>1.3</w:t>
            </w:r>
          </w:p>
        </w:tc>
      </w:tr>
      <w:tr>
        <w:trPr>
          <w:trHeight w:val="27"/>
        </w:trPr>
        <w:tc>
          <w:tcPr>
            <w:tcW w:w="5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r>
      <w:tr>
        <w:trPr>
          <w:trHeight w:val="243"/>
        </w:trPr>
        <w:tc>
          <w:tcPr>
            <w:tcW w:w="8180" w:type="dxa"/>
            <w:vAlign w:val="bottom"/>
            <w:gridSpan w:val="2"/>
          </w:tcPr>
          <w:p>
            <w:pPr>
              <w:ind w:left="40"/>
              <w:spacing w:after="0"/>
              <w:rPr>
                <w:sz w:val="20"/>
                <w:szCs w:val="20"/>
                <w:color w:val="auto"/>
              </w:rPr>
            </w:pPr>
            <w:r>
              <w:rPr>
                <w:rFonts w:ascii="Arial" w:cs="Arial" w:eastAsia="Arial" w:hAnsi="Arial"/>
                <w:sz w:val="18"/>
                <w:szCs w:val="18"/>
                <w:color w:val="auto"/>
              </w:rPr>
              <w:t>Acquisitions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560" w:type="dxa"/>
            <w:vAlign w:val="bottom"/>
          </w:tcPr>
          <w:p>
            <w:pPr>
              <w:jc w:val="right"/>
              <w:ind w:right="95"/>
              <w:spacing w:after="0"/>
              <w:rPr>
                <w:sz w:val="20"/>
                <w:szCs w:val="20"/>
                <w:color w:val="auto"/>
              </w:rPr>
            </w:pPr>
            <w:r>
              <w:rPr>
                <w:rFonts w:ascii="Arial" w:cs="Arial" w:eastAsia="Arial" w:hAnsi="Arial"/>
                <w:sz w:val="18"/>
                <w:szCs w:val="18"/>
                <w:color w:val="auto"/>
              </w:rPr>
              <w:t>0.1</w:t>
            </w:r>
          </w:p>
        </w:tc>
      </w:tr>
      <w:tr>
        <w:trPr>
          <w:trHeight w:val="27"/>
        </w:trPr>
        <w:tc>
          <w:tcPr>
            <w:tcW w:w="574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 increase</w:t>
            </w:r>
          </w:p>
        </w:tc>
        <w:tc>
          <w:tcPr>
            <w:tcW w:w="2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net sales increase attributable to volume for the three months ended March 31, 2012 was driven by several factors, including a shift in sales from our first to our second fiscal quarters as our retailers purchased products closer to the lawn and garden season, favorable year-over-year weather conditions, increased media and marketing in our Global Consumer segment and an increase in net sales within Corporate &amp; Other related to the ICL supply agreements, which were entered into in connection with the sale of Global Pro.</w:t>
      </w:r>
    </w:p>
    <w:p>
      <w:pPr>
        <w:spacing w:after="0" w:line="10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net sales increase attributable to volume for the six months ended March 31, 2012 was driven by an increase in net sales within Corporate &amp; Other related to the ICL supply agreements.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2012</w:t>
            </w:r>
          </w:p>
        </w:tc>
        <w:tc>
          <w:tcPr>
            <w:tcW w:w="200" w:type="dxa"/>
            <w:vAlign w:val="bottom"/>
          </w:tcPr>
          <w:p>
            <w:pPr>
              <w:spacing w:after="0"/>
              <w:rPr>
                <w:sz w:val="22"/>
                <w:szCs w:val="22"/>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APRIL 2, 2011</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2012</w:t>
            </w:r>
          </w:p>
        </w:tc>
        <w:tc>
          <w:tcPr>
            <w:tcW w:w="240" w:type="dxa"/>
            <w:vAlign w:val="bottom"/>
          </w:tcPr>
          <w:p>
            <w:pPr>
              <w:spacing w:after="0"/>
              <w:rPr>
                <w:sz w:val="22"/>
                <w:szCs w:val="22"/>
                <w:color w:val="auto"/>
              </w:rPr>
            </w:pPr>
          </w:p>
        </w:tc>
        <w:tc>
          <w:tcPr>
            <w:tcW w:w="1360" w:type="dxa"/>
            <w:vAlign w:val="bottom"/>
          </w:tcPr>
          <w:p>
            <w:pPr>
              <w:jc w:val="right"/>
              <w:ind w:right="252"/>
              <w:spacing w:after="0"/>
              <w:rPr>
                <w:sz w:val="20"/>
                <w:szCs w:val="20"/>
                <w:color w:val="auto"/>
              </w:rPr>
            </w:pPr>
            <w:r>
              <w:rPr>
                <w:rFonts w:ascii="Arial" w:cs="Arial" w:eastAsia="Arial" w:hAnsi="Arial"/>
                <w:sz w:val="14"/>
                <w:szCs w:val="14"/>
                <w:b w:val="1"/>
                <w:bCs w:val="1"/>
                <w:color w:val="auto"/>
              </w:rPr>
              <w:t>APRIL 2, 2011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Materials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417.3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515.5</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20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143.7</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Roundup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r>
      <w:tr>
        <w:trPr>
          <w:trHeight w:val="237"/>
        </w:trPr>
        <w:tc>
          <w:tcPr>
            <w:tcW w:w="49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845.9</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37"/>
        </w:trPr>
        <w:tc>
          <w:tcPr>
            <w:tcW w:w="49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848.0</w:t>
            </w:r>
          </w:p>
        </w:tc>
      </w:tr>
      <w:tr>
        <w:trPr>
          <w:trHeight w:val="27"/>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 2012</w:t>
            </w:r>
          </w:p>
        </w:tc>
        <w:tc>
          <w:tcPr>
            <w:tcW w:w="220" w:type="dxa"/>
            <w:vAlign w:val="bottom"/>
          </w:tcPr>
          <w:p>
            <w:pPr>
              <w:spacing w:after="0"/>
              <w:rPr>
                <w:sz w:val="22"/>
                <w:szCs w:val="22"/>
                <w:color w:val="auto"/>
              </w:rPr>
            </w:pPr>
          </w:p>
        </w:tc>
        <w:tc>
          <w:tcPr>
            <w:tcW w:w="184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4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4"/>
              <w:spacing w:after="0"/>
              <w:rPr>
                <w:sz w:val="20"/>
                <w:szCs w:val="20"/>
                <w:color w:val="auto"/>
              </w:rPr>
            </w:pPr>
            <w:r>
              <w:rPr>
                <w:rFonts w:ascii="Arial" w:cs="Arial" w:eastAsia="Arial" w:hAnsi="Arial"/>
                <w:sz w:val="18"/>
                <w:szCs w:val="18"/>
                <w:color w:val="auto"/>
              </w:rPr>
              <w:t>38.3</w:t>
            </w: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product mix</w:t>
            </w: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r>
      <w:tr>
        <w:trPr>
          <w:trHeight w:val="270"/>
        </w:trPr>
        <w:tc>
          <w:tcPr>
            <w:tcW w:w="68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w:t>
            </w: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increase in cost of sales, excluding product registration and recall matters, for the three and six months ended March 31, 2012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material costs primarily related to fertilizer inputs, packaging and fuel;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higher sales volume;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higher reimbursements attributable to our marketing agreement with Monsanto;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partially offset by the favorable impact of foreign exchange rates as a result of the strengthening of the U.S. dollar relative to other currencies.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percentage of net sales, our gross profit rate was 39.4% and 41.0% for the three months ended March 31, 2012 and April 2, 2011, respectively. As a percentage of net sales, our gross profit rate was 35.2% and 37.6% for the six months ended March 31, 2012 and April 2, 2011, respectively. Factors contributing to the change in gross profit rate are outlined in the following table: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700" w:type="dxa"/>
            <w:vAlign w:val="bottom"/>
          </w:tcPr>
          <w:p>
            <w:pPr>
              <w:spacing w:after="0"/>
              <w:rPr>
                <w:sz w:val="22"/>
                <w:szCs w:val="2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 2012</w:t>
            </w:r>
          </w:p>
        </w:tc>
        <w:tc>
          <w:tcPr>
            <w:tcW w:w="2260" w:type="dxa"/>
            <w:vAlign w:val="bottom"/>
          </w:tcPr>
          <w:p>
            <w:pPr>
              <w:jc w:val="right"/>
              <w:ind w:right="494"/>
              <w:spacing w:after="0"/>
              <w:rPr>
                <w:sz w:val="20"/>
                <w:szCs w:val="20"/>
                <w:color w:val="auto"/>
              </w:rPr>
            </w:pPr>
            <w:r>
              <w:rPr>
                <w:rFonts w:ascii="Arial" w:cs="Arial" w:eastAsia="Arial" w:hAnsi="Arial"/>
                <w:sz w:val="14"/>
                <w:szCs w:val="14"/>
                <w:b w:val="1"/>
                <w:bCs w:val="1"/>
                <w:color w:val="auto"/>
              </w:rPr>
              <w:t>MARCH 31, 2012</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60" w:type="dxa"/>
            <w:vAlign w:val="bottom"/>
          </w:tcPr>
          <w:p>
            <w:pPr>
              <w:jc w:val="right"/>
              <w:ind w:right="94"/>
              <w:spacing w:after="0"/>
              <w:rPr>
                <w:sz w:val="20"/>
                <w:szCs w:val="20"/>
                <w:color w:val="auto"/>
              </w:rPr>
            </w:pPr>
            <w:r>
              <w:rPr>
                <w:rFonts w:ascii="Arial" w:cs="Arial" w:eastAsia="Arial" w:hAnsi="Arial"/>
                <w:sz w:val="18"/>
                <w:szCs w:val="18"/>
                <w:color w:val="auto"/>
              </w:rPr>
              <w:t>(3.0)</w:t>
            </w:r>
          </w:p>
        </w:tc>
      </w:tr>
      <w:tr>
        <w:trPr>
          <w:trHeight w:val="27"/>
        </w:trPr>
        <w:tc>
          <w:tcPr>
            <w:tcW w:w="6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70"/>
        </w:trPr>
        <w:tc>
          <w:tcPr>
            <w:tcW w:w="6700" w:type="dxa"/>
            <w:vAlign w:val="bottom"/>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60" w:type="dxa"/>
            <w:vAlign w:val="bottom"/>
          </w:tcPr>
          <w:p>
            <w:pPr>
              <w:jc w:val="right"/>
              <w:ind w:right="9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260" w:type="dxa"/>
            <w:vAlign w:val="bottom"/>
          </w:tcPr>
          <w:p>
            <w:pPr>
              <w:jc w:val="right"/>
              <w:ind w:right="94"/>
              <w:spacing w:after="0"/>
              <w:rPr>
                <w:sz w:val="20"/>
                <w:szCs w:val="20"/>
                <w:color w:val="auto"/>
              </w:rPr>
            </w:pPr>
            <w:r>
              <w:rPr>
                <w:rFonts w:ascii="Arial" w:cs="Arial" w:eastAsia="Arial" w:hAnsi="Arial"/>
                <w:sz w:val="18"/>
                <w:szCs w:val="18"/>
                <w:color w:val="auto"/>
              </w:rPr>
              <w:t>(0.2)</w:t>
            </w: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2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(0.5)</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60" w:type="dxa"/>
            <w:vAlign w:val="bottom"/>
          </w:tcPr>
          <w:p>
            <w:pPr>
              <w:jc w:val="right"/>
              <w:ind w:right="154"/>
              <w:spacing w:after="0"/>
              <w:rPr>
                <w:sz w:val="20"/>
                <w:szCs w:val="20"/>
                <w:color w:val="auto"/>
              </w:rPr>
            </w:pPr>
            <w:r>
              <w:rPr>
                <w:rFonts w:ascii="Arial" w:cs="Arial" w:eastAsia="Arial" w:hAnsi="Arial"/>
                <w:sz w:val="18"/>
                <w:szCs w:val="18"/>
                <w:color w:val="auto"/>
              </w:rPr>
              <w:t>0.4</w:t>
            </w:r>
          </w:p>
        </w:tc>
      </w:tr>
      <w:tr>
        <w:trPr>
          <w:trHeight w:val="27"/>
        </w:trPr>
        <w:tc>
          <w:tcPr>
            <w:tcW w:w="67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mix and volume</w:t>
            </w:r>
          </w:p>
        </w:tc>
        <w:tc>
          <w:tcPr>
            <w:tcW w:w="2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360" w:type="dxa"/>
            <w:vAlign w:val="bottom"/>
          </w:tcPr>
          <w:p>
            <w:pPr>
              <w:jc w:val="right"/>
              <w:ind w:right="15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60" w:type="dxa"/>
            <w:vAlign w:val="bottom"/>
          </w:tcPr>
          <w:p>
            <w:pPr>
              <w:jc w:val="right"/>
              <w:ind w:right="154"/>
              <w:spacing w:after="0"/>
              <w:rPr>
                <w:sz w:val="20"/>
                <w:szCs w:val="20"/>
                <w:color w:val="auto"/>
              </w:rPr>
            </w:pPr>
            <w:r>
              <w:rPr>
                <w:rFonts w:ascii="Arial" w:cs="Arial" w:eastAsia="Arial" w:hAnsi="Arial"/>
                <w:sz w:val="18"/>
                <w:szCs w:val="18"/>
                <w:color w:val="auto"/>
              </w:rPr>
              <w:t>0.1</w:t>
            </w:r>
          </w:p>
        </w:tc>
      </w:tr>
      <w:tr>
        <w:trPr>
          <w:trHeight w:val="27"/>
        </w:trPr>
        <w:tc>
          <w:tcPr>
            <w:tcW w:w="67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decrease in the gross profit rate, excluding product registration and recall matters, for the three and six months ended March 31, 2012 was primarily driven by:</w:t>
      </w:r>
    </w:p>
    <w:p>
      <w:pPr>
        <w:spacing w:after="0" w:line="7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material costs attributable primarily to fertilizer inputs, packaging and fuel;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product mix driven primarily by the sales associated with our supply agreements with ICL, which commenced with the sale of Global Pro in February 2011 and do not generate a profit;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partially offset by increased net pricing primarily associated with our Global Consumer segment.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r>
      <w:tr>
        <w:trPr>
          <w:trHeight w:val="263"/>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 2011</w:t>
            </w:r>
          </w:p>
        </w:tc>
        <w:tc>
          <w:tcPr>
            <w:tcW w:w="18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2012</w:t>
            </w:r>
          </w:p>
        </w:tc>
        <w:tc>
          <w:tcPr>
            <w:tcW w:w="180" w:type="dxa"/>
            <w:vAlign w:val="bottom"/>
          </w:tcPr>
          <w:p>
            <w:pPr>
              <w:spacing w:after="0"/>
              <w:rPr>
                <w:sz w:val="22"/>
                <w:szCs w:val="22"/>
                <w:color w:val="auto"/>
              </w:rPr>
            </w:pPr>
          </w:p>
        </w:tc>
        <w:tc>
          <w:tcPr>
            <w:tcW w:w="118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APRIL 2, 2011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Advertising</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252.9</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(“SG&amp;A”) expenses increased $20.8 million, or 9.6%, to $237.0 million for the second quarter and $0.6 million to $360.0 million for the first six months of fiscal 2012 compared to the same periods of fiscal 2011. Our planned increase in media and marketing initiatives resulted in higher advertising expenses of $19.6 million and $17.6 million for the three and six months ended March 31, 2012, respectively. The decrease in other SG&amp;A for the first six months of fiscal 2012 was driven by an $11.9 million reduction in compensation, including benefits of the fiscal 2011 restructuring plan and $6.5 million in decreased severance expenses, both of which were partially offset by a variety of individually insignificant items.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recorded $3.3 million and $3.6 million of SG&amp;A-related product registration and recall costs during the three and six months ended March 31, 2012, respectively. These costs primarily related to additional accruals made in the second quarter of fiscal 2012 for potential fines and penalties in connection with the U.S. EPA investigation, as well as legal and consulting fees. For the three and six months ended April 2, 2011, we recorded $1.2 million and $2.1 million of SG&amp;A-related product registration and recall costs,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Charges</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the three and six months ended March 31, 2012, we incurred $5.6 million and $8.2 million, respectively, of impairment, restructuring and other charges. In continuation of the restructuring plan we initiated in fiscal 2011, we incurred $2.1 million in restructuring costs in the first six months of fiscal 2012. These costs consisted primarily of $1.3 million of termination benefits provided to employees who accepted voluntary retirement, $0.5 million of special termination benefits to be provided to certain employees upon future separation and $0.2 million related to curtailment charges for our U.S. defined benefit pension and U.S retiree medical plans. Further, for the three months ended March 31, 2012, we recognized a $5.3 million asset impairment charge as a result of issues with commercialization of products including the active ingredient MAT28 for the Global Consumer segment. Also included is a $0.5 million impairment charge related to our investment in Turf-Seed (Europe) Limited.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4"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7"/>
          <w:szCs w:val="17"/>
          <w:color w:val="auto"/>
        </w:rPr>
        <w:t>Other income was $1.3 million and $2.2 million for the three and six months ended March 31, 2012, respectively, compared to $0.3 million and $0.8 million for the three and six months ended April 2, 2011, respectively. Other income/expense is comprised of activities outside our normal business operations, such as royalty income from the licensing of certain of our brand names, franchise fee income from our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foreign exchange gains/losses and gains/losses from the sale of non-inventory assets. The respective changes from fiscal 2011 were not significant.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$17.9 million and $33.2 million for the three and six months ended March 31, 2012, respectively, compared to $13.8 million and $23.3 million for the three and six months ended April 2, 2011, respectively. The increase in interest expense was attributable to an increase in average borrowings and the impact of higher rates associated with the Company’s new financing structure. Excluding the impact of foreign exchange rates, average borrowings increased by approximately $170.5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and $160.5 million during the first three and six months of fiscal 2012, respectively, as compared to the same prior year periods. The increase was primarily due to higher debt levels entering the year as compared to the prior year. Weighted average interest rates increased by approximately 43 basis points and 74 basis points during the first three and six months of fiscal 2012, respectively, as compared to the same prior year periods. The increase in the second quarter was primarily attributable to our new credit facility, with margin rates in excess of our previous credit facility. The year-to-date increase was driven by the higher margin rates in our new credit facility and the full impact of the 6.625% Senior Notes issued on December 16, 2010.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six months ended March 31, 2012 was 37.1%, compared to 35.9% for the six months ended April 2, 2011. The effective tax rate used for interim purposes was based on management’s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reported income from continuing operations of $127.2 million, or $2.05 per diluted share, for the second quarter of fiscal 2012 compared to $148.6 million, or $2.20 per diluted share, for the second quarter of fiscal 2011. Income from continuing operations for the first six months of fiscal 2012 was $53.3 million, or $0.86 per diluted share, versus $81.9 million, or $1.21 per diluted share, for the same period of fiscal 2011. The decrease in income from continuing operations for the first three and six months of fiscal 2012 was driven primarily by higher material costs, planned incremental investment in media and marketing and interest expense, partially offset by increases in volume and pricing and reduced income tax expense. Diluted average common shares used in the diluted net income per common share calculation were 62.0 million for the second quarter of fiscal 2012 compared to 67.6 million for the same period a year ago. Diluted average common shares used in the diluted net income per common share calculation were 61.7 million for the six months ended March 31, 2012 versus 67.7 million for the six months ended April 2, 2011. Diluted average common shares included 1.1 million equivalent shares for both the second quarter and first six months of fiscal 2012 to reflect the effect of the assumed conversion of dilutive stock options, restricted stock and restricted stock unit awards. For the second quarter and first six months of fiscal 2011, diluted average common shares included 1.8 million and 1.6 million equivalent shares, respectively. The decrease in diluted average common shares was primarily driven by common share repurchases, partially offset by common shares issued as a result of stock option exercises.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reported income from discontinued operations, net of tax, of $29.0 million and $27.8 million for the three and six months ended April 2, 2011, respectively, primarily due to the net gain on the sale of Global Pro.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8"/>
          <w:szCs w:val="18"/>
          <w:color w:val="auto"/>
        </w:rPr>
        <w:t>Our continuing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 Corporate &amp; Other consists of our professional seed business, revenues and expenses associated with our supply agreements with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from continuing operations before amortization, product registration and recall costs, and impairment, restructuring and other charges, which is not a measure recognized under GAAP. Senior management uses this measure of operating profit to gauge segment performance because we believe this measure is the most indicative of performance trends and the overall earnings potential of each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1,119.6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1,273.6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69.8</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Pr>
          <w:p>
            <w:pPr>
              <w:spacing w:after="0"/>
              <w:rPr>
                <w:sz w:val="20"/>
                <w:szCs w:val="20"/>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1,117.5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1,342.2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1,343.4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16.4</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1,173.5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1,129.6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1,359.8</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040" w:type="dxa"/>
            <w:vAlign w:val="bottom"/>
          </w:tcPr>
          <w:p>
            <w:pPr>
              <w:jc w:val="right"/>
              <w:ind w:right="273"/>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Global Consumer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299.0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243.9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Segment total</w:t>
            </w:r>
          </w:p>
        </w:tc>
        <w:tc>
          <w:tcPr>
            <w:tcW w:w="2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224.2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&amp;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registration and recall matters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127.8</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Global Consumer segment net sales were $1.12 billion in the second quarter of fiscal 2012, an increase of 3.2% from the second quarter of fiscal 2011 and were $1.27 billion for the first six months of fiscal 2012, which is roughly flat as compared to the same period of fiscal 2011. For the three months ended March 31, 2012, foreign exchange rates unfavorably impacted net sales by 0.5% and increased net pricing favorably impacted net sales by 1.4%. For the six months ended March 31, 2012, foreign exchange rates unfavorably impacted net sales by 0.5% and increased net pricing favorably impacted net sales by 1.3%.</w:t>
      </w:r>
    </w:p>
    <w:p>
      <w:pPr>
        <w:spacing w:after="0" w:line="10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Net sales in the United States increased $24.6 million, or 2.8%, for the second quarter of fiscal 2012 and decreased $10.1 million, or 1.0%, for the first six months of fiscal 2012 as compared to the same periods in fiscal 2011. The increase in United States net sales for the second quarter was driven by an increase in pricing, an anticipated delay of shipments until closer to peak consumer seasonal demand resulting in a shift in net sales from the first quarter to the second quarter of fiscal 2012, favorable year-over-year weather and increased media and marketing. The decrease in net sales for the first six months of fiscal 2012 was primarily driven by declines in wild bird food, plant foods and lawn fertilizers, partially offset by higher sales of controls, growing media and the benefits of the national launch of our new Scotts Snap® spreader system.</w:t>
      </w:r>
    </w:p>
    <w:p>
      <w:pPr>
        <w:spacing w:after="0" w:line="9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Excluding the impact of changes in foreign exchange rates, net sales internationally increased by $15.8 million, or 8.1%, and $11.4 million, or 4.6%, for the second quarter and first six months of fiscal 2012, respectively. The increase in sales internationally were primarily driven by an increase in pricing and higher net sales of $11.8 million in Canada during the second quarter of fiscal 2012 primarily due to new product launches.</w:t>
      </w:r>
    </w:p>
    <w:p>
      <w:pPr>
        <w:spacing w:after="0" w:line="8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Global Consumer segment operating income decreased by $23.8 million, or 8.0%, and $38.1 million, or 15.6%, in the second quarter and first six months of fiscal 2012, respectively, as compared to the same periods of fiscal 2011. Excluding the impact of changes in foreign exchange rates, the decrease was 7.6% and 15.1% for the second quarter and first six months of fiscal 2012, respectively. The decrease was primarily driven by increased material costs and our planned incremental investment in media and marketing. The increased material costs drove gross profit declines of 170 and 210 basis points for the second quarter and first six months of fiscal 2012, respectively. The increased advertising expense was $20.1 million and $18.1 million during the second quarter and first six months of fiscal 2012, respectively. These increases in costs were partially offset by a reduction in compensation, including benefits of the fiscal 2011 restructuring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$3.2 million, or 9.8%, and $3.7 million, or 5.3%, in the second quarter and first six months of fiscal 2012, respectively, as compared to the same periods of fiscal 2011. The increase in net sales was driven by</w:t>
      </w:r>
    </w:p>
    <w:p>
      <w:pPr>
        <w:sectPr>
          <w:pgSz w:w="11900" w:h="16838" w:orient="portrait"/>
          <w:cols w:equalWidth="0" w:num="1">
            <w:col w:w="11420"/>
          </w:cols>
          <w:pgMar w:left="240" w:top="126"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6" w:right="2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favorable weather in March 2012 that resulted in spring treatments being applied earlier than in fiscal 2011.</w:t>
      </w:r>
    </w:p>
    <w:p>
      <w:pPr>
        <w:spacing w:after="0" w:line="144"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The operating loss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decreased by $2.3 million, or 15.1%, and $2.2 million, or 11.2%, in the second quarter and first six months of fiscal 2012, respectively, as compared to the same periods of fiscal 2011. For the second quarter of fiscal 2012, the decrease was attributable to higher net sales, an improved gross margin rate and lower SG&amp;A spending. For the first six months of fiscal 2012, the decrease was driven by higher net sales and lower SG&amp;A spending, partially offset by a lower gross margin rate.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net operating loss for Corporate &amp; Other was $32.9 million and $53.7 million for the three and six months ended March 31, 2012, respectively, compared to $33.0 million and $63.9 million for the three and six months ended April 2, 2011, respectively. The decrease for the six months ended March 31, 2012 was primarily related to lower severance and compensation including benefits realized from the fiscal 2011 restructuring plan.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OUTLOOK</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believe the long-term fundamentals of our business are strong, and our broad strategies for value accretion remain substantially unchanged. However, in light of the challenges and overall disappointing results of fiscal 2011, we re-examined our strategies and tactics and determined certain adjustments were required to give us greater confidence in our ability to increase consumer participation, category growth and our market share. As we are focused on long-term value creation, we do not expect all of our actions in fiscal 2012 to have short-term benefits.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general themes that help shape our financial expectations for 2012:</w:t>
      </w:r>
    </w:p>
    <w:p>
      <w:pPr>
        <w:spacing w:after="0" w:line="171" w:lineRule="exact"/>
        <w:rPr>
          <w:sz w:val="20"/>
          <w:szCs w:val="20"/>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top line growth of 6 to 8 percent on the basis of modest category growth supported by more normal weather relative to fiscal 2011, increased commitment to marketing and media, innovation and modest net pricing.</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commodity inflation of approximately $70 million to contribute to an overall increase in product costs of approximately $85 million, with only a portion recovered through pricing and adjustments to trade programs.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more aggressively using advertising to support our products and plan to increase our year-over-year spending up to $40 million to support this strategy. We plan on reinstating some form of variable compensation for over 1,800 associates who participate in incentive programs globally, the majority of whom received no payout in fiscal 2011. We typically budget $30 to $35 million for this expenditure. Partially offsetting these increases will be benefits accruing from the fiscal 2011 restructuring programs of about $17 million, as well as savings from other long-term indirect purchasing initiatives.</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expect interest expense to increase about $10 million based on the combined full year effect of our new credit facility and the bonds issued last December, as well as a projected increase in average debt.</w:t>
      </w:r>
    </w:p>
    <w:p>
      <w:pPr>
        <w:jc w:val="both"/>
        <w:ind w:left="660" w:hanging="328"/>
        <w:spacing w:after="0" w:line="27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a benefit from shares repurchased during fiscal 2011. While shares repurchased in fiscal 2011 were influenced by proceeds from the divestiture of Global Pro, we expect to significantly moderate our share repurchase activity in fiscal 2012 in the context of our broader capital deployment strategy. Over the longer-term, we plan to target one-third of our operating cash flow for return to shareholders, including our dividend, with the remaining two-thirds targeted to fund capital expenditures for organic as well as acquisitive growth. Absent appropriate acquisition opportunities, we intend to return excess cash to shareholders, though we will balance this with our objective of maintaining debt leverage of 2.0 to 2.5 times. We expect our fiscal 2012 fully diluted share count to be approximately 62.0 million.</w:t>
      </w:r>
    </w:p>
    <w:p>
      <w:pPr>
        <w:spacing w:after="0" w:line="9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certain information concerning our risk factors, see “PART II. OTHER INFORMATION: ITEM 1A. RISK FACTORS”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Cash used in operating activities totaled $620.4 million and $604.0 million for the six months ended March 31, 2012 and April 2, 2011, respectively. Excluding the impact of discontinued operations, cash used in operating activities increased approximately $86.6 million. The increase in cash outflows was primarily the result of lower net income from continuing operations of $28.6 million and an increase in cash used for working capital purposes of $68.2 million. The increase in working capital was primarily due to higher accounts receivable of $21.8 million, additional cash used for inventory of $16.7 million, cash payments of $11.1 million associated with the fiscal 2011 restructuring plan and an increase in taxes paid of $11.2 million. Accounts receivable was higher due to the higher concentration of net sales later in the second quarter of fiscal 2012 as compared to the same period in fiscal 2011. Inventory has increased due to higher commodity costs and a planned build in anticipation of substantially higher demand in fiscal 2012.</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investing activities totaled $25.2 million for the six months ended March 31, 2012, compared to cash provided by investing activities of $205.5 million for the comparable period in fiscal 2011. The first six months of fiscal 2011 included net cash of $249.8 million provided by the sale of Global Pro. Cash used for investments in property, plant and equipment during the first six months of fiscal 2012 primarily related to increasing efficiencies at existing production facilities and capital spending associated with product innovation projects.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Financing activities provided cash of $635.7 million and $437.5 million for the six months ended March 31, 2012 and April 2, 2011, respectively. The increase in cash provided by financing activities was primarily due to higher net borrowings under our credit facility of $330.8 million and a $76.2 million decrease in repurchases of our common shares, partially offset by $200 million in proceeds received from the issuance of the 6.625% Senior Notes that occurred in the first quarter of fiscal 2011 and an increase in dividends paid of $3.9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$122.4 million as of March 31, 2012, compared to $128.7 million as of April 2, 2011. The cash and cash equivalents balance at March 31, 2012 included $103.5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 The credit facility replaced our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1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Under our credit facility, we have the ability to issue letter of credit commitments up to $75 million. At March 31, 2012, we had letters of credit in the aggregate face amount of $25.5 million outstanding and $0.8 billion of availability under our credit facility.</w:t>
      </w:r>
    </w:p>
    <w:p>
      <w:pPr>
        <w:spacing w:after="0" w:line="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September 21, 2011, we entered into a new Master Accounts Receivable Purchase Agreement (the “MARP Agreement”), with an initial stated termination date of September 21, 2012, or such later date as may be mutually agreed by us and the banks party thereto. The MARP Agreement, which is uncommitted, provides for the discretionary sale by us,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us at a discount (from the agreed base value thereof) effectively equal to the greater of 7-day or 3-month LIBOR plus 1.05%. The MARP Agreement replaced our previous Master Accounts Receivable Purchase Agreement, which provided for the discounted sale, on an uncommitted, revolving basis, of accounts receivable generated by a single specified account debtor, with aggregate limits not to exceed $80 million and an interest rate that approximated the 7-day LIBOR rate plus 1.25%.</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account for the sale of receivables under the MARP Agreement as short-term debt and continue to carry the receivables on our Consolidated Balance Sheet, primarily as a result of our right to repurchase receivables sold. There were $222.5 million in borrowings under the MARP Agreement as of March 31, 2012.</w:t>
      </w:r>
    </w:p>
    <w:p>
      <w:pPr>
        <w:spacing w:after="0" w:line="10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2012,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March 31, 2012. Our leverage ratio was 2.51 at March 31, 2012. Our credit facility also includes an affirmative covenant regarding our interest coverage. Under the terms of the credit facility, the minimum interest coverage ratio was 3.50 for the twelve months ended March 31, 2012. Our interest coverage ratio was 5.80 for the twelve months ended March 31, 2012.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2012.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opinion, cash flows from operations and capital resources will be sufficient to meet debt service and working capital needs during fiscal 2012, and thereafter for the foreseeable future. However, we cannot ensure that our business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2011, under “ITEM 1. BUSINESS — Regulatory Considerations” and “ITEM 3. LEGAL PROCEEDINGS.”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2011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March 31, 2012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Other than as discussed in “NOTE 3. PRODUCT REGISTRATION AND RECALL MATTERS” and “NOTE 12. CONTINGENCIES” of the Notes to Condensed Consolidated Financial Statements, pending material legal proceedings have not changed significantly since those disclosed in Scotts Miracle-Gro's Annual Report on Form 10-K for the fiscal year ended September 30, 2011.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 Company's risk factors as of March 31, 2012 have not changed materially from those described in “ITEM IA. RISK FACTORS” in Scotts Miracle-Gro's Annual Report on Form 10-K for the fiscal year ended September 30, 2011.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2011. All forward-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attributable to us or persons working on our behalf are expressly qualified in their entirety by such risk factors.</w:t>
      </w:r>
    </w:p>
    <w:p>
      <w:pPr>
        <w:spacing w:after="0" w:line="22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3.50. Our leverage ratio was 2.51 at March 31, 2012.</w:t>
      </w:r>
    </w:p>
    <w:p>
      <w:pPr>
        <w:spacing w:after="0" w:line="188"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March 31,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7"/>
              </w:rPr>
              <w:t>per Common Share(2)</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Plans or Programs(3)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through January 28,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252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47.47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January 29 through February 25, 2012</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February 26 through March 31, 2012</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2,313</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50.29</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298,816,786</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2,665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2"/>
                <w:szCs w:val="22"/>
                <w:color w:val="auto"/>
              </w:rPr>
            </w:pPr>
          </w:p>
        </w:tc>
        <w:tc>
          <w:tcPr>
            <w:tcW w:w="1800" w:type="dxa"/>
            <w:vAlign w:val="bottom"/>
            <w:tcBorders>
              <w:top w:val="single" w:sz="8" w:color="auto"/>
              <w:bottom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right="2580" w:hanging="405"/>
        <w:spacing w:after="0" w:line="285"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 this column represent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97" w:lineRule="exact"/>
        <w:rPr>
          <w:rFonts w:ascii="Arial" w:cs="Arial" w:eastAsia="Arial" w:hAnsi="Arial"/>
          <w:sz w:val="16"/>
          <w:szCs w:val="16"/>
          <w:color w:val="auto"/>
        </w:rPr>
      </w:pPr>
    </w:p>
    <w:p>
      <w:pPr>
        <w:ind w:left="440" w:hanging="405"/>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440" w:right="2560" w:hanging="405"/>
        <w:spacing w:after="0" w:line="297" w:lineRule="auto"/>
        <w:tabs>
          <w:tab w:leader="none" w:pos="4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6"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Index to Exhibits at page 48 for a list of the exhibits included herewith.</w:t>
      </w: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126" w:right="1440" w:bottom="1440" w:gutter="0" w:footer="0" w:header="0"/>
        </w:sectPr>
      </w:pPr>
    </w:p>
    <w:bookmarkStart w:id="46" w:name="page47"/>
    <w:bookmarkEnd w:id="46"/>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THE SCOTTS MIRACLE-GRO COMPANY</w:t>
            </w:r>
          </w:p>
        </w:tc>
      </w:tr>
      <w:tr>
        <w:trPr>
          <w:trHeight w:val="594"/>
        </w:trPr>
        <w:tc>
          <w:tcPr>
            <w:tcW w:w="3460" w:type="dxa"/>
            <w:vAlign w:val="bottom"/>
          </w:tcPr>
          <w:p>
            <w:pPr>
              <w:spacing w:after="0"/>
              <w:rPr>
                <w:sz w:val="20"/>
                <w:szCs w:val="20"/>
                <w:color w:val="auto"/>
              </w:rPr>
            </w:pPr>
            <w:r>
              <w:rPr>
                <w:rFonts w:ascii="Arial" w:cs="Arial" w:eastAsia="Arial" w:hAnsi="Arial"/>
                <w:sz w:val="18"/>
                <w:szCs w:val="18"/>
                <w:color w:val="auto"/>
              </w:rPr>
              <w:t>Date: May 8, 2012</w:t>
            </w:r>
          </w:p>
        </w:tc>
        <w:tc>
          <w:tcPr>
            <w:tcW w:w="23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 DAVID C. EVANS</w:t>
            </w:r>
          </w:p>
        </w:tc>
      </w:tr>
      <w:tr>
        <w:trPr>
          <w:trHeight w:val="27"/>
        </w:trPr>
        <w:tc>
          <w:tcPr>
            <w:tcW w:w="3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David C. Evans</w:t>
            </w:r>
          </w:p>
        </w:tc>
      </w:tr>
      <w:tr>
        <w:trPr>
          <w:trHeight w:val="270"/>
        </w:trPr>
        <w:tc>
          <w:tcPr>
            <w:tcW w:w="3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3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Strategy and Business Development</w:t>
            </w:r>
          </w:p>
        </w:tc>
      </w:tr>
      <w:tr>
        <w:trPr>
          <w:trHeight w:val="270"/>
        </w:trPr>
        <w:tc>
          <w:tcPr>
            <w:tcW w:w="3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Financial and Principal Accounting Officer)</w:t>
            </w:r>
          </w:p>
        </w:tc>
      </w:tr>
      <w:tr>
        <w:trPr>
          <w:trHeight w:val="270"/>
        </w:trPr>
        <w:tc>
          <w:tcPr>
            <w:tcW w:w="34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702"/>
        </w:trPr>
        <w:tc>
          <w:tcPr>
            <w:tcW w:w="346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tcPr>
          <w:p>
            <w:pPr>
              <w:jc w:val="center"/>
              <w:ind w:left="1732"/>
              <w:spacing w:after="0"/>
              <w:rPr>
                <w:sz w:val="20"/>
                <w:szCs w:val="20"/>
                <w:color w:val="auto"/>
              </w:rPr>
            </w:pPr>
            <w:r>
              <w:rPr>
                <w:rFonts w:ascii="Arial" w:cs="Arial" w:eastAsia="Arial" w:hAnsi="Arial"/>
                <w:sz w:val="18"/>
                <w:szCs w:val="18"/>
                <w:color w:val="auto"/>
                <w:w w:val="96"/>
              </w:rPr>
              <w:t>THE SCOTTS MIRACLE-GRO COMPANY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tcPr>
          <w:p>
            <w:pPr>
              <w:jc w:val="center"/>
              <w:ind w:left="1732"/>
              <w:spacing w:after="0"/>
              <w:rPr>
                <w:sz w:val="20"/>
                <w:szCs w:val="20"/>
                <w:color w:val="auto"/>
              </w:rPr>
            </w:pPr>
            <w:r>
              <w:rPr>
                <w:rFonts w:ascii="Arial" w:cs="Arial" w:eastAsia="Arial" w:hAnsi="Arial"/>
                <w:sz w:val="18"/>
                <w:szCs w:val="18"/>
                <w:color w:val="auto"/>
                <w:w w:val="94"/>
              </w:rPr>
              <w:t>QUARTERLY REPORT ON FORM 10-Q</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80" w:type="dxa"/>
            <w:vAlign w:val="bottom"/>
          </w:tcPr>
          <w:p>
            <w:pPr>
              <w:jc w:val="center"/>
              <w:ind w:left="1732"/>
              <w:spacing w:after="0"/>
              <w:rPr>
                <w:sz w:val="20"/>
                <w:szCs w:val="20"/>
                <w:color w:val="auto"/>
              </w:rPr>
            </w:pPr>
            <w:r>
              <w:rPr>
                <w:rFonts w:ascii="Arial" w:cs="Arial" w:eastAsia="Arial" w:hAnsi="Arial"/>
                <w:sz w:val="18"/>
                <w:szCs w:val="18"/>
                <w:color w:val="auto"/>
                <w:w w:val="94"/>
              </w:rPr>
              <w:t>FOR THE QUARTERLY PERIOD ENDED MARCH 31, 2012</w:t>
            </w: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80" w:type="dxa"/>
            <w:vAlign w:val="bottom"/>
          </w:tcPr>
          <w:p>
            <w:pPr>
              <w:jc w:val="center"/>
              <w:ind w:left="1732"/>
              <w:spacing w:after="0"/>
              <w:rPr>
                <w:sz w:val="20"/>
                <w:szCs w:val="20"/>
                <w:color w:val="auto"/>
              </w:rPr>
            </w:pPr>
            <w:r>
              <w:rPr>
                <w:rFonts w:ascii="Arial" w:cs="Arial" w:eastAsia="Arial" w:hAnsi="Arial"/>
                <w:sz w:val="18"/>
                <w:szCs w:val="18"/>
                <w:color w:val="auto"/>
                <w:w w:val="98"/>
              </w:rPr>
              <w:t>INDEX TO EXHIBITS</w:t>
            </w:r>
          </w:p>
        </w:tc>
        <w:tc>
          <w:tcPr>
            <w:tcW w:w="0" w:type="dxa"/>
            <w:vAlign w:val="bottom"/>
          </w:tcPr>
          <w:p>
            <w:pPr>
              <w:spacing w:after="0"/>
              <w:rPr>
                <w:sz w:val="1"/>
                <w:szCs w:val="1"/>
                <w:color w:val="auto"/>
              </w:rPr>
            </w:pPr>
          </w:p>
        </w:tc>
      </w:tr>
      <w:tr>
        <w:trPr>
          <w:trHeight w:val="450"/>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728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7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7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Specimen form of Performance Unit Award Agreement for Employees (with Related Dividend</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w w:val="93"/>
              </w:rPr>
              <w:t>Equivalents) used to evidence grants of Performance Units which may be made under The Scotts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w w:val="93"/>
              </w:rPr>
              <w:t>Miracle-Gro Company Amended and Restated 2006 Long-Term Incentive Plan (post-January 19,</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80" w:type="dxa"/>
            <w:vAlign w:val="bottom"/>
          </w:tcPr>
          <w:p>
            <w:pPr>
              <w:ind w:left="20"/>
              <w:spacing w:after="0"/>
              <w:rPr>
                <w:sz w:val="20"/>
                <w:szCs w:val="20"/>
                <w:color w:val="auto"/>
              </w:rPr>
            </w:pPr>
            <w:r>
              <w:rPr>
                <w:rFonts w:ascii="Arial" w:cs="Arial" w:eastAsia="Arial" w:hAnsi="Arial"/>
                <w:sz w:val="18"/>
                <w:szCs w:val="18"/>
                <w:color w:val="auto"/>
              </w:rPr>
              <w:t>2012 version)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80" w:right="160" w:hanging="825"/>
        <w:spacing w:after="0" w:line="259" w:lineRule="auto"/>
        <w:tabs>
          <w:tab w:leader="none" w:pos="11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Specimen form of Restricted Stock Unit Award Agreement for Employees (with Related Dividend Equivalents) used to evidence grants of Restricted Stock Units which may be made under The Scotts Miracle-Gro Company Amended and Restated 2006 Long-Term Incentive Plan (post-January 19, 2012 version)</w:t>
      </w:r>
    </w:p>
    <w:p>
      <w:pPr>
        <w:spacing w:after="0" w:line="200" w:lineRule="exact"/>
        <w:rPr>
          <w:sz w:val="20"/>
          <w:szCs w:val="20"/>
          <w:color w:val="auto"/>
        </w:rPr>
      </w:pPr>
    </w:p>
    <w:p>
      <w:pPr>
        <w:spacing w:after="0" w:line="271" w:lineRule="exact"/>
        <w:rPr>
          <w:sz w:val="20"/>
          <w:szCs w:val="20"/>
          <w:color w:val="auto"/>
        </w:rPr>
      </w:pPr>
    </w:p>
    <w:p>
      <w:pPr>
        <w:ind w:left="1180" w:right="120" w:hanging="825"/>
        <w:spacing w:after="0" w:line="312" w:lineRule="auto"/>
        <w:tabs>
          <w:tab w:leader="none" w:pos="11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Specimen form of Nonqualified Stock Option Award Agreement for Employees used to evidence grants of Nonqualified Stock Options which may be made under The Scotts Miracle-Gro Company Amended and Restated 2006 Long-Term Incentive Plan (post-January 19, 2012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80" w:right="40" w:hanging="825"/>
        <w:spacing w:after="0" w:line="259" w:lineRule="auto"/>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Specimen form of Deferred Stock Unit Award Agreement for Nonemployee Directors (with Related Dividend Equivalents) used to evidence grants of Deferred Stock Units which may be made under The Scotts Miracle-Gro Company Amended and Restated 2006 Long-Term Incentive Plan (post-January 19, 2012 version)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80" w:right="40" w:hanging="825"/>
        <w:spacing w:after="0" w:line="259" w:lineRule="auto"/>
        <w:tabs>
          <w:tab w:leader="none" w:pos="11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Specimen form of Deferred Stock Unit Award Agreement for Nonemployee Directors (with Related Dividend Equivalents) used to evidence grants of Deferred Stock Units made on January 20, 2012 to Adam Hanft and William G. Jurgensen under The Scotts Miracle-Gro Company Amended and Restated Long-Term Incentive Plan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80" w:right="40" w:hanging="825"/>
        <w:spacing w:after="0" w:line="259" w:lineRule="auto"/>
        <w:tabs>
          <w:tab w:leader="none" w:pos="11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Specimen form of Deferred Stock Unit Award Agreement for Nonemployee Directors (with Related Dividend Equivalents) used to evidence grants of Deferred Stock Units which may be made under The Scotts Miracle-Gro Company Amended and Restated 2006 Long-Term Incentive Plan (Deferral of Cash Retainer – post-January 19, 2012 version)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spacing w:after="0"/>
        <w:tabs>
          <w:tab w:leader="none" w:pos="11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Scotts Miracle-Gro Company Code of Business Conduct &amp; Ethics (as revised effective January</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18, 2012)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23495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4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Incorporated herein by reference to the Quarterly Report on Form 10-Q of The Scotts Miracle-Gro Company (the "Registrant") for the quarterly period ended December 31, 2011 (File No. 1-11593) [Exhibit 10.1]</w:t>
      </w:r>
    </w:p>
    <w:p>
      <w:pPr>
        <w:spacing w:after="0" w:line="200" w:lineRule="exact"/>
        <w:rPr>
          <w:sz w:val="20"/>
          <w:szCs w:val="20"/>
          <w:color w:val="auto"/>
        </w:rPr>
      </w:pPr>
    </w:p>
    <w:p>
      <w:pPr>
        <w:spacing w:after="0" w:line="2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 No. 1-11593) [Exhibit 10.2]</w:t>
      </w:r>
    </w:p>
    <w:p>
      <w:pPr>
        <w:spacing w:after="0" w:line="24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 No. 1-11593) [Exhibit 10.3]</w:t>
      </w:r>
    </w:p>
    <w:p>
      <w:pPr>
        <w:spacing w:after="0" w:line="200" w:lineRule="exact"/>
        <w:rPr>
          <w:sz w:val="20"/>
          <w:szCs w:val="20"/>
          <w:color w:val="auto"/>
        </w:rPr>
      </w:pP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 No. 1-11593) [Exhibit 10.4]</w:t>
      </w:r>
    </w:p>
    <w:p>
      <w:pPr>
        <w:spacing w:after="0" w:line="200" w:lineRule="exact"/>
        <w:rPr>
          <w:sz w:val="20"/>
          <w:szCs w:val="20"/>
          <w:color w:val="auto"/>
        </w:rPr>
      </w:pP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 No. 1-11593) [Exhibit 10.5]</w:t>
      </w:r>
    </w:p>
    <w:p>
      <w:pPr>
        <w:spacing w:after="0" w:line="200" w:lineRule="exact"/>
        <w:rPr>
          <w:sz w:val="20"/>
          <w:szCs w:val="20"/>
          <w:color w:val="auto"/>
        </w:rPr>
      </w:pP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Incorporated herein by reference to the Registrant's Quarterly Report on Form 10-Q for the quarterly period ended December 31, 2011 (File No. 1-11593) [Exhibit 10.6]</w:t>
      </w:r>
    </w:p>
    <w:p>
      <w:pPr>
        <w:spacing w:after="0" w:line="200" w:lineRule="exact"/>
        <w:rPr>
          <w:sz w:val="20"/>
          <w:szCs w:val="20"/>
          <w:color w:val="auto"/>
        </w:rPr>
      </w:pPr>
    </w:p>
    <w:p>
      <w:pPr>
        <w:spacing w:after="0" w:line="25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Incorporated herein by reference to the Registrant’s Current Report on Form 8-K filed January 24, 2012 (File No. 1-11593) [Exhibit 14.1]</w:t>
      </w:r>
    </w:p>
    <w:p>
      <w:pPr>
        <w:spacing w:after="0" w:line="200" w:lineRule="exact"/>
        <w:rPr>
          <w:sz w:val="20"/>
          <w:szCs w:val="20"/>
          <w:color w:val="auto"/>
        </w:rPr>
      </w:pPr>
    </w:p>
    <w:p>
      <w:pPr>
        <w:sectPr>
          <w:pgSz w:w="11900" w:h="16838" w:orient="portrait"/>
          <w:cols w:equalWidth="0" w:num="2">
            <w:col w:w="8440" w:space="160"/>
            <w:col w:w="2780"/>
          </w:cols>
          <w:pgMar w:left="240" w:top="126" w:right="279" w:bottom="1440" w:gutter="0" w:footer="0" w:header="0"/>
        </w:sectPr>
      </w:pPr>
    </w:p>
    <w:p>
      <w:pPr>
        <w:spacing w:after="0" w:line="22" w:lineRule="exact"/>
        <w:rPr>
          <w:sz w:val="20"/>
          <w:szCs w:val="20"/>
          <w:color w:val="auto"/>
        </w:rPr>
      </w:pPr>
    </w:p>
    <w:p>
      <w:pPr>
        <w:ind w:left="360"/>
        <w:spacing w:after="0"/>
        <w:tabs>
          <w:tab w:leader="none" w:pos="1160" w:val="left"/>
          <w:tab w:leader="none" w:pos="9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Rule 13a-14(a)/15d-14(a) Certifications (Principal Executive Officer)</w:t>
      </w:r>
      <w:r>
        <w:rPr>
          <w:sz w:val="20"/>
          <w:szCs w:val="20"/>
          <w:color w:val="auto"/>
        </w:rPr>
        <w:tab/>
      </w:r>
      <w:r>
        <w:rPr>
          <w:rFonts w:ascii="Arial" w:cs="Arial" w:eastAsia="Arial" w:hAnsi="Arial"/>
          <w:sz w:val="18"/>
          <w:szCs w:val="18"/>
          <w:color w:val="auto"/>
        </w:rPr>
        <w:t>*</w:t>
      </w:r>
    </w:p>
    <w:p>
      <w:pPr>
        <w:sectPr>
          <w:pgSz w:w="11900" w:h="16838" w:orient="portrait"/>
          <w:cols w:equalWidth="0" w:num="1">
            <w:col w:w="11380"/>
          </w:cols>
          <w:pgMar w:left="240" w:top="126" w:right="279" w:bottom="1440" w:gutter="0" w:footer="0" w:header="0"/>
          <w:type w:val="continuous"/>
        </w:sect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26" w:right="27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8120" w:type="dxa"/>
            <w:vAlign w:val="bottom"/>
            <w:vMerge w:val="restart"/>
          </w:tcPr>
          <w:p>
            <w:pPr>
              <w:ind w:left="3560"/>
              <w:spacing w:after="0"/>
              <w:rPr>
                <w:sz w:val="20"/>
                <w:szCs w:val="20"/>
                <w:color w:val="auto"/>
              </w:rPr>
            </w:pPr>
            <w:r>
              <w:rPr>
                <w:rFonts w:ascii="Arial" w:cs="Arial" w:eastAsia="Arial" w:hAnsi="Arial"/>
                <w:sz w:val="14"/>
                <w:szCs w:val="14"/>
                <w:b w:val="1"/>
                <w:bCs w:val="1"/>
                <w:color w:val="auto"/>
              </w:rPr>
              <w:t>DESCRIPTION</w:t>
            </w:r>
          </w:p>
        </w:tc>
        <w:tc>
          <w:tcPr>
            <w:tcW w:w="140" w:type="dxa"/>
            <w:vAlign w:val="bottom"/>
            <w:vMerge w:val="restart"/>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81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40" w:type="dxa"/>
            <w:vAlign w:val="bottom"/>
          </w:tcPr>
          <w:p>
            <w:pPr>
              <w:jc w:val="right"/>
              <w:ind w:right="374"/>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240" w:type="dxa"/>
            <w:vAlign w:val="bottom"/>
          </w:tcPr>
          <w:p>
            <w:pPr>
              <w:jc w:val="right"/>
              <w:ind w:right="43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13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826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16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720" w:hanging="685"/>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Included herewith</w:t>
      </w:r>
    </w:p>
    <w:p>
      <w:pPr>
        <w:spacing w:after="0" w:line="360" w:lineRule="exact"/>
        <w:rPr>
          <w:sz w:val="20"/>
          <w:szCs w:val="20"/>
          <w:color w:val="auto"/>
        </w:rPr>
      </w:pPr>
    </w:p>
    <w:p>
      <w:pPr>
        <w:jc w:val="both"/>
        <w:ind w:left="720" w:hanging="685"/>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6" w:right="2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31, 2012;</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291" w:lineRule="auto"/>
        <w:tabs>
          <w:tab w:leader="none" w:pos="11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279"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March 31, 2012;</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291" w:lineRule="auto"/>
        <w:tabs>
          <w:tab w:leader="none" w:pos="11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right="480" w:hanging="484"/>
        <w:spacing w:after="0" w:line="261" w:lineRule="auto"/>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May 8,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David C. Evans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Title: Chief Financial Officer and Executive Vice President, Strategy and</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Business Development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March 31, 2012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DAVID C. EVANS</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David C. Evans</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Chief Executive Officer</w:t>
            </w:r>
          </w:p>
        </w:tc>
        <w:tc>
          <w:tcPr>
            <w:tcW w:w="5580" w:type="dxa"/>
            <w:vAlign w:val="bottom"/>
          </w:tcPr>
          <w:p>
            <w:pPr>
              <w:ind w:left="360"/>
              <w:spacing w:after="0"/>
              <w:rPr>
                <w:sz w:val="20"/>
                <w:szCs w:val="20"/>
                <w:color w:val="auto"/>
              </w:rPr>
            </w:pPr>
            <w:r>
              <w:rPr>
                <w:rFonts w:ascii="Arial" w:cs="Arial" w:eastAsia="Arial" w:hAnsi="Arial"/>
                <w:sz w:val="18"/>
                <w:szCs w:val="18"/>
                <w:color w:val="auto"/>
              </w:rPr>
              <w:t>Chief Financial Officer and Executive Vice President,</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Strategy and Business Development</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May 8, 2012</w:t>
            </w:r>
          </w:p>
        </w:tc>
        <w:tc>
          <w:tcPr>
            <w:tcW w:w="5580" w:type="dxa"/>
            <w:vAlign w:val="bottom"/>
          </w:tcPr>
          <w:p>
            <w:pPr>
              <w:ind w:left="360"/>
              <w:spacing w:after="0"/>
              <w:rPr>
                <w:sz w:val="20"/>
                <w:szCs w:val="20"/>
                <w:color w:val="auto"/>
              </w:rPr>
            </w:pPr>
            <w:r>
              <w:rPr>
                <w:rFonts w:ascii="Arial" w:cs="Arial" w:eastAsia="Arial" w:hAnsi="Arial"/>
                <w:sz w:val="18"/>
                <w:szCs w:val="18"/>
                <w:color w:val="auto"/>
              </w:rPr>
              <w:t>May 8, 2012</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2019-12-09T10:15:29Z</dcterms:created>
  <dcterms:modified xsi:type="dcterms:W3CDTF">2019-12-09T10:15:29Z</dcterms:modified>
</cp:coreProperties>
</file>