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May 21, 1997</w:t>
      </w:r>
    </w:p>
    <w:p>
      <w:pPr>
        <w:spacing w:after="0" w:line="207"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No. 333-________________</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00"/>
        <w:spacing w:after="0" w:line="238" w:lineRule="auto"/>
        <w:rPr>
          <w:sz w:val="20"/>
          <w:szCs w:val="20"/>
          <w:color w:val="auto"/>
        </w:rPr>
      </w:pPr>
      <w:r>
        <w:rPr>
          <w:rFonts w:ascii="Courier New" w:cs="Courier New" w:eastAsia="Courier New" w:hAnsi="Courier New"/>
          <w:sz w:val="18"/>
          <w:szCs w:val="18"/>
          <w:color w:val="auto"/>
        </w:rPr>
        <w:t>Washington, D.C. 20549</w:t>
      </w:r>
    </w:p>
    <w:p>
      <w:pPr>
        <w:ind w:left="1060"/>
        <w:spacing w:after="0"/>
        <w:rPr>
          <w:sz w:val="20"/>
          <w:szCs w:val="20"/>
          <w:color w:val="auto"/>
        </w:rPr>
      </w:pPr>
      <w:r>
        <w:rPr>
          <w:rFonts w:ascii="Courier New" w:cs="Courier New" w:eastAsia="Courier New" w:hAnsi="Courier New"/>
          <w:sz w:val="18"/>
          <w:szCs w:val="18"/>
          <w:color w:val="auto"/>
        </w:rPr>
        <w:t>___________________________________________________________</w:t>
      </w:r>
    </w:p>
    <w:p>
      <w:pPr>
        <w:spacing w:after="0" w:line="200"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spacing w:after="0" w:line="202"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THE SCOTTS COMPANY</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1160"/>
        <w:spacing w:after="0"/>
        <w:rPr>
          <w:sz w:val="20"/>
          <w:szCs w:val="20"/>
          <w:color w:val="auto"/>
        </w:rPr>
      </w:pPr>
      <w:r>
        <w:rPr>
          <w:rFonts w:ascii="Courier New" w:cs="Courier New" w:eastAsia="Courier New" w:hAnsi="Courier New"/>
          <w:sz w:val="18"/>
          <w:szCs w:val="18"/>
          <w:color w:val="auto"/>
        </w:rPr>
        <w:t>(Exact name of the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Ohio</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__________________________</w:t>
            </w:r>
          </w:p>
        </w:tc>
      </w:tr>
      <w:tr>
        <w:trPr>
          <w:trHeight w:val="203"/>
        </w:trPr>
        <w:tc>
          <w:tcPr>
            <w:tcW w:w="44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4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4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14111 Scottslawn Road, Marysville, Ohio</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rPr>
              <w:t>43041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w:t>
            </w: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4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The Scotts Company</w:t>
      </w:r>
    </w:p>
    <w:p>
      <w:pPr>
        <w:jc w:val="center"/>
        <w:ind w:right="1900"/>
        <w:spacing w:after="0" w:line="238" w:lineRule="auto"/>
        <w:rPr>
          <w:sz w:val="20"/>
          <w:szCs w:val="20"/>
          <w:color w:val="auto"/>
        </w:rPr>
      </w:pPr>
      <w:r>
        <w:rPr>
          <w:rFonts w:ascii="Courier New" w:cs="Courier New" w:eastAsia="Courier New" w:hAnsi="Courier New"/>
          <w:sz w:val="18"/>
          <w:szCs w:val="18"/>
          <w:color w:val="auto"/>
        </w:rPr>
        <w:t>1996 Stock Option Plan</w:t>
      </w:r>
    </w:p>
    <w:p>
      <w:pPr>
        <w:jc w:val="center"/>
        <w:ind w:right="190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ectPr>
          <w:pgSz w:w="11900" w:h="16838" w:orient="portrait"/>
          <w:cols w:equalWidth="0" w:num="1">
            <w:col w:w="10340"/>
          </w:cols>
          <w:pgMar w:left="240" w:top="447" w:right="1319"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G. Robert Lucas II, Esq.</w:t>
      </w:r>
    </w:p>
    <w:p>
      <w:pPr>
        <w:spacing w:after="0"/>
        <w:rPr>
          <w:sz w:val="20"/>
          <w:szCs w:val="20"/>
          <w:color w:val="auto"/>
        </w:rPr>
      </w:pPr>
      <w:r>
        <w:rPr>
          <w:rFonts w:ascii="Courier New" w:cs="Courier New" w:eastAsia="Courier New" w:hAnsi="Courier New"/>
          <w:sz w:val="18"/>
          <w:szCs w:val="18"/>
          <w:color w:val="auto"/>
        </w:rPr>
        <w:t>The Scotts Company</w:t>
      </w:r>
    </w:p>
    <w:p>
      <w:pPr>
        <w:spacing w:after="0" w:line="237" w:lineRule="auto"/>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 East Gay Street</w:t>
      </w:r>
    </w:p>
    <w:p>
      <w:pPr>
        <w:spacing w:after="0" w:line="238" w:lineRule="auto"/>
        <w:rPr>
          <w:sz w:val="20"/>
          <w:szCs w:val="20"/>
          <w:color w:val="auto"/>
        </w:rPr>
      </w:pPr>
      <w:r>
        <w:rPr>
          <w:rFonts w:ascii="Courier New" w:cs="Courier New" w:eastAsia="Courier New" w:hAnsi="Courier New"/>
          <w:sz w:val="18"/>
          <w:szCs w:val="18"/>
          <w:color w:val="auto"/>
        </w:rPr>
        <w:t>P.O. Box 1008</w:t>
      </w:r>
    </w:p>
    <w:p>
      <w:pPr>
        <w:ind w:left="220"/>
        <w:spacing w:after="0"/>
        <w:tabs>
          <w:tab w:leader="none" w:pos="1880" w:val="left"/>
        </w:tabs>
        <w:rPr>
          <w:sz w:val="20"/>
          <w:szCs w:val="20"/>
          <w:color w:val="auto"/>
        </w:rPr>
      </w:pPr>
      <w:r>
        <w:rPr>
          <w:rFonts w:ascii="Courier New" w:cs="Courier New" w:eastAsia="Courier New" w:hAnsi="Courier New"/>
          <w:sz w:val="18"/>
          <w:szCs w:val="18"/>
          <w:color w:val="auto"/>
        </w:rPr>
        <w:t>Columbus, Ohio</w:t>
      </w:r>
      <w:r>
        <w:rPr>
          <w:sz w:val="20"/>
          <w:szCs w:val="20"/>
          <w:color w:val="auto"/>
        </w:rPr>
        <w:tab/>
      </w:r>
      <w:r>
        <w:rPr>
          <w:rFonts w:ascii="Courier New" w:cs="Courier New" w:eastAsia="Courier New" w:hAnsi="Courier New"/>
          <w:sz w:val="16"/>
          <w:szCs w:val="16"/>
          <w:color w:val="auto"/>
        </w:rPr>
        <w:t>43216-1008</w:t>
      </w:r>
    </w:p>
    <w:p>
      <w:pPr>
        <w:spacing w:after="0" w:line="1" w:lineRule="exact"/>
        <w:rPr>
          <w:sz w:val="24"/>
          <w:szCs w:val="24"/>
          <w:color w:val="auto"/>
        </w:rPr>
      </w:pPr>
    </w:p>
    <w:p>
      <w:pPr>
        <w:sectPr>
          <w:pgSz w:w="11900" w:h="16838" w:orient="portrait"/>
          <w:cols w:equalWidth="0" w:num="2">
            <w:col w:w="4740" w:space="320"/>
            <w:col w:w="5280"/>
          </w:cols>
          <w:pgMar w:left="240" w:top="447" w:right="1319" w:bottom="0" w:gutter="0" w:footer="0" w:header="0"/>
          <w:type w:val="continuous"/>
        </w:sectPr>
      </w:pPr>
    </w:p>
    <w:p>
      <w:pPr>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(513) 644-0011</w:t>
      </w:r>
    </w:p>
    <w:p>
      <w:pPr>
        <w:sectPr>
          <w:pgSz w:w="11900" w:h="16838" w:orient="portrait"/>
          <w:cols w:equalWidth="0" w:num="1">
            <w:col w:w="10340"/>
          </w:cols>
          <w:pgMar w:left="240" w:top="447" w:right="1319" w:bottom="0" w:gutter="0" w:footer="0" w:header="0"/>
          <w:type w:val="continuous"/>
        </w:sectPr>
      </w:pP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jc w:val="center"/>
        <w:ind w:right="1800"/>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8"/>
          <w:szCs w:val="18"/>
          <w:color w:val="auto"/>
        </w:rPr>
        <w:t>Page 1 of 33 Pages.</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Index to Exhibits begins at Page II-14 (Page 16 as sequentially numbered).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4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Calculation of Registration Fee</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810"/>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Proposed</w:t>
            </w:r>
          </w:p>
        </w:tc>
        <w:tc>
          <w:tcPr>
            <w:tcW w:w="168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220" w:type="dxa"/>
            <w:vAlign w:val="bottom"/>
          </w:tcPr>
          <w:p>
            <w:pPr>
              <w:spacing w:after="0"/>
              <w:rPr>
                <w:sz w:val="17"/>
                <w:szCs w:val="17"/>
                <w:color w:val="auto"/>
              </w:rPr>
            </w:pPr>
          </w:p>
        </w:tc>
        <w:tc>
          <w:tcPr>
            <w:tcW w:w="2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maximum</w:t>
            </w:r>
          </w:p>
        </w:tc>
        <w:tc>
          <w:tcPr>
            <w:tcW w:w="1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Amount</w:t>
            </w:r>
          </w:p>
        </w:tc>
        <w:tc>
          <w:tcPr>
            <w:tcW w:w="2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offering</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aggregate</w:t>
            </w:r>
          </w:p>
        </w:tc>
        <w:tc>
          <w:tcPr>
            <w:tcW w:w="1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 be</w:t>
            </w:r>
          </w:p>
        </w:tc>
        <w:tc>
          <w:tcPr>
            <w:tcW w:w="22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price</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0"/>
        </w:trPr>
        <w:tc>
          <w:tcPr>
            <w:tcW w:w="1800" w:type="dxa"/>
            <w:vAlign w:val="bottom"/>
          </w:tcPr>
          <w:p>
            <w:pPr>
              <w:spacing w:after="0"/>
              <w:rPr>
                <w:sz w:val="20"/>
                <w:szCs w:val="20"/>
                <w:color w:val="auto"/>
              </w:rPr>
            </w:pPr>
            <w:r>
              <w:rPr>
                <w:rFonts w:ascii="Courier New" w:cs="Courier New" w:eastAsia="Courier New" w:hAnsi="Courier New"/>
                <w:sz w:val="18"/>
                <w:szCs w:val="18"/>
                <w:color w:val="auto"/>
              </w:rPr>
              <w:t>registered</w:t>
            </w:r>
          </w:p>
        </w:tc>
        <w:tc>
          <w:tcPr>
            <w:tcW w:w="2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registered</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per unit (1)</w:t>
            </w: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price (1)</w:t>
            </w:r>
          </w:p>
        </w:tc>
        <w:tc>
          <w:tcPr>
            <w:tcW w:w="168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fee</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18" w:lineRule="exact"/>
        <w:rPr>
          <w:sz w:val="24"/>
          <w:szCs w:val="24"/>
          <w:color w:val="auto"/>
        </w:rPr>
      </w:pPr>
    </w:p>
    <w:p>
      <w:pPr>
        <w:spacing w:after="0"/>
        <w:tabs>
          <w:tab w:leader="none" w:pos="2620" w:val="left"/>
          <w:tab w:leader="none" w:pos="4520" w:val="left"/>
          <w:tab w:leader="none" w:pos="6520" w:val="left"/>
          <w:tab w:leader="none" w:pos="8740" w:val="left"/>
        </w:tabs>
        <w:rPr>
          <w:sz w:val="20"/>
          <w:szCs w:val="20"/>
          <w:color w:val="auto"/>
        </w:rPr>
      </w:pPr>
      <w:r>
        <w:rPr>
          <w:rFonts w:ascii="Courier New" w:cs="Courier New" w:eastAsia="Courier New" w:hAnsi="Courier New"/>
          <w:sz w:val="18"/>
          <w:szCs w:val="18"/>
          <w:color w:val="auto"/>
        </w:rPr>
        <w:t>Common Shares,</w:t>
      </w:r>
      <w:r>
        <w:rPr>
          <w:sz w:val="20"/>
          <w:szCs w:val="20"/>
          <w:color w:val="auto"/>
        </w:rPr>
        <w:tab/>
      </w:r>
      <w:r>
        <w:rPr>
          <w:rFonts w:ascii="Courier New" w:cs="Courier New" w:eastAsia="Courier New" w:hAnsi="Courier New"/>
          <w:sz w:val="18"/>
          <w:szCs w:val="18"/>
          <w:color w:val="auto"/>
        </w:rPr>
        <w:t>1,500,000</w:t>
      </w:r>
      <w:r>
        <w:rPr>
          <w:sz w:val="20"/>
          <w:szCs w:val="20"/>
          <w:color w:val="auto"/>
        </w:rPr>
        <w:tab/>
      </w:r>
      <w:r>
        <w:rPr>
          <w:rFonts w:ascii="Courier New" w:cs="Courier New" w:eastAsia="Courier New" w:hAnsi="Courier New"/>
          <w:sz w:val="18"/>
          <w:szCs w:val="18"/>
          <w:color w:val="auto"/>
        </w:rPr>
        <w:t>$25.63 for</w:t>
      </w:r>
      <w:r>
        <w:rPr>
          <w:sz w:val="20"/>
          <w:szCs w:val="20"/>
          <w:color w:val="auto"/>
        </w:rPr>
        <w:tab/>
      </w:r>
      <w:r>
        <w:rPr>
          <w:rFonts w:ascii="Courier New" w:cs="Courier New" w:eastAsia="Courier New" w:hAnsi="Courier New"/>
          <w:sz w:val="18"/>
          <w:szCs w:val="18"/>
          <w:color w:val="auto"/>
        </w:rPr>
        <w:t>$38,445,000</w:t>
      </w:r>
      <w:r>
        <w:rPr>
          <w:sz w:val="20"/>
          <w:szCs w:val="20"/>
          <w:color w:val="auto"/>
        </w:rPr>
        <w:tab/>
      </w:r>
      <w:r>
        <w:rPr>
          <w:rFonts w:ascii="Courier New" w:cs="Courier New" w:eastAsia="Courier New" w:hAnsi="Courier New"/>
          <w:sz w:val="16"/>
          <w:szCs w:val="16"/>
          <w:color w:val="auto"/>
        </w:rPr>
        <w:t>$11,650</w:t>
      </w:r>
    </w:p>
    <w:p>
      <w:pPr>
        <w:spacing w:after="0"/>
        <w:tabs>
          <w:tab w:leader="none" w:pos="4200" w:val="left"/>
        </w:tabs>
        <w:rPr>
          <w:sz w:val="20"/>
          <w:szCs w:val="20"/>
          <w:color w:val="auto"/>
        </w:rPr>
      </w:pPr>
      <w:r>
        <w:rPr>
          <w:rFonts w:ascii="Courier New" w:cs="Courier New" w:eastAsia="Courier New" w:hAnsi="Courier New"/>
          <w:sz w:val="18"/>
          <w:szCs w:val="18"/>
          <w:color w:val="auto"/>
        </w:rPr>
        <w:t>without par value</w:t>
      </w:r>
      <w:r>
        <w:rPr>
          <w:sz w:val="20"/>
          <w:szCs w:val="20"/>
          <w:color w:val="auto"/>
        </w:rPr>
        <w:tab/>
      </w:r>
      <w:r>
        <w:rPr>
          <w:rFonts w:ascii="Courier New" w:cs="Courier New" w:eastAsia="Courier New" w:hAnsi="Courier New"/>
          <w:sz w:val="16"/>
          <w:szCs w:val="16"/>
          <w:color w:val="auto"/>
        </w:rPr>
        <w:t>1,500,000 common</w:t>
      </w:r>
    </w:p>
    <w:p>
      <w:pPr>
        <w:ind w:left="4740"/>
        <w:spacing w:after="0"/>
        <w:rPr>
          <w:sz w:val="20"/>
          <w:szCs w:val="20"/>
          <w:color w:val="auto"/>
        </w:rPr>
      </w:pPr>
      <w:r>
        <w:rPr>
          <w:rFonts w:ascii="Courier New" w:cs="Courier New" w:eastAsia="Courier New" w:hAnsi="Courier New"/>
          <w:sz w:val="18"/>
          <w:szCs w:val="18"/>
          <w:color w:val="auto"/>
        </w:rPr>
        <w:t>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00" w:lineRule="exact"/>
        <w:rPr>
          <w:sz w:val="24"/>
          <w:szCs w:val="24"/>
          <w:color w:val="auto"/>
        </w:rPr>
      </w:pPr>
    </w:p>
    <w:p>
      <w:pPr>
        <w:spacing w:after="0" w:line="226" w:lineRule="exact"/>
        <w:rPr>
          <w:sz w:val="24"/>
          <w:szCs w:val="24"/>
          <w:color w:val="auto"/>
        </w:rPr>
      </w:pPr>
    </w:p>
    <w:p>
      <w:pPr>
        <w:jc w:val="both"/>
        <w:ind w:left="540" w:right="190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aggregate offering price and the registration fee pursuant to Rules 457(c) and 457(h) promulgated under the Securities Act of 1933, as amended, and computed on the basis of $25.63 per share for 1,500,000 common shares, which is the average of the high and low sales prices of the Common Shares as reported on the New York Stock Exchange on May 16, 1997.</w:t>
      </w:r>
    </w:p>
    <w:p>
      <w:pPr>
        <w:sectPr>
          <w:pgSz w:w="11900" w:h="16838" w:orient="portrait"/>
          <w:cols w:equalWidth="0" w:num="1">
            <w:col w:w="10340"/>
          </w:cols>
          <w:pgMar w:left="240" w:top="447" w:right="1319" w:bottom="0" w:gutter="0" w:footer="0" w:header="0"/>
          <w:type w:val="continuous"/>
        </w:sectPr>
      </w:pPr>
    </w:p>
    <w:bookmarkStart w:id="1" w:name="page2"/>
    <w:bookmarkEnd w:id="1"/>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II-14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The following reports of The Scotts Company (the "Registrant") filed with the Securities and Exchange Commission (the "Commission") pursuant to the requirements of Section 13(a) of the Securities Exchange Act of 1934, as amended (the "Exchange Act"), are incorporated herein by this reference:</w:t>
      </w:r>
    </w:p>
    <w:p>
      <w:pPr>
        <w:spacing w:after="0" w:line="207" w:lineRule="exact"/>
        <w:rPr>
          <w:sz w:val="20"/>
          <w:szCs w:val="20"/>
          <w:color w:val="auto"/>
        </w:rPr>
      </w:pPr>
    </w:p>
    <w:p>
      <w:pPr>
        <w:ind w:left="1580" w:right="17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fiscal year ended September 30, 1996;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fiscal quarter ended December 28, 1996;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 on Form 8-K, dated January 27, 1997 and filed January 28, 1997;</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 on Form 8-K, dated and filed February 4, 1997; and</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fiscal quarter ended March 30, 1997.</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The description of the Registrant's Common Shares contained in the Registrant's Registration Statement on Form 8-A (File No. 1-11593) filed with the Commission on December 21, 1995, which incorporates by reference the description of such Common Shares contained in the Registrant's Proxy Statement/Prospectus dated March 15, 1995, contained in the Registrant's Registration Statement on Form S-4 (Registration No. 33-57575), or contained in any subsequent amendment or report filed for the purpose of updating such description, is hereby incorporated by reference.</w:t>
      </w:r>
    </w:p>
    <w:p>
      <w:pPr>
        <w:spacing w:after="0" w:line="212"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Any definitive Proxy Statement or Information Statement filed pursuant to Section 14 of the Exchange Act and all documents which may be filed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 provided, however, that no report of the Compensation and Organization Committee of the Board of Directors of the Registrant on executive compensation and no performance graph included in any Proxy Statement or Information Statement filed pursuant to Section 14 of the Exchange Act shall be deemed to be incorporated herein by reference.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Section 10.5 of The Scotts Company 1996 Stock Option Plan, as amended (the "Plan"), provides for indemnification of the Registrant's Board of Directors (the "Board") and the Compensation and Organization Committee of the Board (the "Committee") which administers the Plan as follows:</w:t>
      </w:r>
    </w:p>
    <w:p>
      <w:pPr>
        <w:spacing w:after="0" w:line="207" w:lineRule="exact"/>
        <w:rPr>
          <w:sz w:val="20"/>
          <w:szCs w:val="20"/>
          <w:color w:val="auto"/>
        </w:rPr>
      </w:pPr>
    </w:p>
    <w:p>
      <w:pPr>
        <w:jc w:val="both"/>
        <w:ind w:left="860" w:right="1779" w:firstLine="737"/>
        <w:spacing w:after="0" w:line="269"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397"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ARTICLE FIVE of the Regulations of the Registrant governs the indemnification of officers and directors of the Registrant. ARTICLE FIVE provides:</w:t>
      </w:r>
    </w:p>
    <w:p>
      <w:pPr>
        <w:spacing w:after="0" w:line="209" w:lineRule="exact"/>
        <w:rPr>
          <w:sz w:val="20"/>
          <w:szCs w:val="20"/>
          <w:color w:val="auto"/>
        </w:rPr>
      </w:pPr>
    </w:p>
    <w:p>
      <w:pPr>
        <w:jc w:val="both"/>
        <w:ind w:left="860" w:right="1779" w:firstLine="737"/>
        <w:spacing w:after="0" w:line="270"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919" w:right="1440" w:bottom="1440" w:gutter="0" w:footer="0" w:header="0"/>
        </w:sectPr>
      </w:pPr>
    </w:p>
    <w:bookmarkStart w:id="4" w:name="page5"/>
    <w:bookmarkEnd w:id="4"/>
    <w:p>
      <w:pPr>
        <w:jc w:val="both"/>
        <w:ind w:right="1779"/>
        <w:spacing w:after="0" w:line="238" w:lineRule="auto"/>
        <w:rPr>
          <w:sz w:val="20"/>
          <w:szCs w:val="20"/>
          <w:color w:val="auto"/>
        </w:rPr>
      </w:pPr>
      <w:r>
        <w:rPr>
          <w:rFonts w:ascii="Courier New" w:cs="Courier New" w:eastAsia="Courier New" w:hAnsi="Courier New"/>
          <w:sz w:val="18"/>
          <w:szCs w:val="18"/>
          <w:color w:val="auto"/>
        </w:rPr>
        <w:t>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8" w:lineRule="exact"/>
        <w:rPr>
          <w:sz w:val="20"/>
          <w:szCs w:val="20"/>
          <w:color w:val="auto"/>
        </w:rPr>
      </w:pPr>
    </w:p>
    <w:p>
      <w:pPr>
        <w:jc w:val="both"/>
        <w:ind w:right="1779" w:firstLine="737"/>
        <w:spacing w:after="0" w:line="290" w:lineRule="auto"/>
        <w:rPr>
          <w:sz w:val="20"/>
          <w:szCs w:val="20"/>
          <w:color w:val="auto"/>
        </w:rPr>
      </w:pPr>
      <w:r>
        <w:rPr>
          <w:rFonts w:ascii="Courier New" w:cs="Courier New" w:eastAsia="Courier New" w:hAnsi="Courier New"/>
          <w:sz w:val="16"/>
          <w:szCs w:val="16"/>
          <w:color w:val="auto"/>
        </w:rPr>
        <w:t>Section 5.02. Court-Approved Indemnification. Anything contained in the Regulations or elsewhere to the contrary notwithstanding:</w:t>
      </w:r>
    </w:p>
    <w:p>
      <w:pPr>
        <w:spacing w:after="0" w:line="170" w:lineRule="exact"/>
        <w:rPr>
          <w:sz w:val="20"/>
          <w:szCs w:val="20"/>
          <w:color w:val="auto"/>
        </w:rPr>
      </w:pPr>
    </w:p>
    <w:p>
      <w:pPr>
        <w:jc w:val="both"/>
        <w:ind w:right="1779" w:firstLine="728"/>
        <w:spacing w:after="0" w:line="238" w:lineRule="auto"/>
        <w:tabs>
          <w:tab w:leader="none" w:pos="115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09" w:lineRule="exact"/>
        <w:rPr>
          <w:rFonts w:ascii="Courier New" w:cs="Courier New" w:eastAsia="Courier New" w:hAnsi="Courier New"/>
          <w:sz w:val="18"/>
          <w:szCs w:val="18"/>
          <w:color w:val="auto"/>
        </w:rPr>
      </w:pPr>
    </w:p>
    <w:p>
      <w:pPr>
        <w:jc w:val="both"/>
        <w:ind w:right="1779" w:firstLine="728"/>
        <w:spacing w:after="0" w:line="236"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9" w:lineRule="exact"/>
        <w:rPr>
          <w:sz w:val="20"/>
          <w:szCs w:val="20"/>
          <w:color w:val="auto"/>
        </w:rPr>
      </w:pPr>
    </w:p>
    <w:p>
      <w:pPr>
        <w:jc w:val="both"/>
        <w:ind w:right="1779" w:firstLine="737"/>
        <w:spacing w:after="0" w:line="271"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38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359"/>
          </w:cols>
          <w:pgMar w:left="1100" w:top="925" w:right="1440" w:bottom="1440" w:gutter="0" w:footer="0" w:header="0"/>
        </w:sectPr>
      </w:pPr>
    </w:p>
    <w:bookmarkStart w:id="5" w:name="page6"/>
    <w:bookmarkEnd w:id="5"/>
    <w:p>
      <w:pPr>
        <w:jc w:val="both"/>
        <w:ind w:left="9" w:right="1779" w:firstLine="737"/>
        <w:spacing w:after="0" w:line="270"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w:t>
      </w:r>
    </w:p>
    <w:p>
      <w:pPr>
        <w:spacing w:after="0" w:line="185" w:lineRule="exact"/>
        <w:rPr>
          <w:sz w:val="20"/>
          <w:szCs w:val="20"/>
          <w:color w:val="auto"/>
        </w:rPr>
      </w:pPr>
    </w:p>
    <w:p>
      <w:pPr>
        <w:jc w:val="both"/>
        <w:ind w:left="9" w:right="1779" w:hanging="9"/>
        <w:spacing w:after="0" w:line="269" w:lineRule="auto"/>
        <w:tabs>
          <w:tab w:leader="none" w:pos="43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395" w:lineRule="exact"/>
        <w:rPr>
          <w:sz w:val="20"/>
          <w:szCs w:val="20"/>
          <w:color w:val="auto"/>
        </w:rPr>
      </w:pPr>
    </w:p>
    <w:p>
      <w:pPr>
        <w:jc w:val="both"/>
        <w:ind w:left="9" w:right="1779" w:firstLine="737"/>
        <w:spacing w:after="0" w:line="270"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84" w:lineRule="exact"/>
        <w:rPr>
          <w:sz w:val="20"/>
          <w:szCs w:val="20"/>
          <w:color w:val="auto"/>
        </w:rPr>
      </w:pPr>
    </w:p>
    <w:p>
      <w:pPr>
        <w:ind w:left="316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368"/>
          </w:cols>
          <w:pgMar w:left="1091" w:top="925" w:right="1440" w:bottom="1440" w:gutter="0" w:footer="0" w:header="0"/>
        </w:sectPr>
      </w:pPr>
    </w:p>
    <w:bookmarkStart w:id="6" w:name="page7"/>
    <w:bookmarkEnd w:id="6"/>
    <w:p>
      <w:pPr>
        <w:jc w:val="both"/>
        <w:ind w:firstLine="728"/>
        <w:spacing w:after="0" w:line="279" w:lineRule="auto"/>
        <w:tabs>
          <w:tab w:leader="none" w:pos="11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5.04 that he is not entitled to be provided under Section 5.01; or</w:t>
      </w:r>
    </w:p>
    <w:p>
      <w:pPr>
        <w:spacing w:after="0" w:line="20" w:lineRule="exact"/>
        <w:rPr>
          <w:sz w:val="20"/>
          <w:szCs w:val="20"/>
          <w:color w:val="auto"/>
        </w:rPr>
      </w:pPr>
      <w:r>
        <w:rPr>
          <w:sz w:val="20"/>
          <w:szCs w:val="20"/>
          <w:color w:val="auto"/>
        </w:rPr>
        <w:br w:type="column"/>
      </w:r>
    </w:p>
    <w:p>
      <w:pPr>
        <w:ind w:right="1779"/>
        <w:spacing w:after="0" w:line="290" w:lineRule="auto"/>
        <w:rPr>
          <w:sz w:val="20"/>
          <w:szCs w:val="20"/>
          <w:color w:val="auto"/>
        </w:rPr>
      </w:pPr>
      <w:r>
        <w:rPr>
          <w:rFonts w:ascii="Courier New" w:cs="Courier New" w:eastAsia="Courier New" w:hAnsi="Courier New"/>
          <w:sz w:val="16"/>
          <w:szCs w:val="16"/>
          <w:color w:val="auto"/>
        </w:rPr>
        <w:t>be determined as provided in Section indemnified by the corporation as</w:t>
      </w:r>
    </w:p>
    <w:p>
      <w:pPr>
        <w:spacing w:after="0" w:line="372" w:lineRule="exact"/>
        <w:rPr>
          <w:sz w:val="20"/>
          <w:szCs w:val="20"/>
          <w:color w:val="auto"/>
        </w:rPr>
      </w:pPr>
    </w:p>
    <w:p>
      <w:pPr>
        <w:sectPr>
          <w:pgSz w:w="11900" w:h="16838" w:orient="portrait"/>
          <w:cols w:equalWidth="0" w:num="2">
            <w:col w:w="3580" w:space="200"/>
            <w:col w:w="5579"/>
          </w:cols>
          <w:pgMar w:left="1100" w:top="723" w:right="1440" w:bottom="1440" w:gutter="0" w:footer="0" w:header="0"/>
        </w:sectPr>
      </w:pPr>
    </w:p>
    <w:p>
      <w:pPr>
        <w:jc w:val="both"/>
        <w:ind w:right="1779" w:firstLine="728"/>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5"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15" w:lineRule="exact"/>
        <w:rPr>
          <w:sz w:val="20"/>
          <w:szCs w:val="20"/>
          <w:color w:val="auto"/>
        </w:rPr>
      </w:pPr>
    </w:p>
    <w:p>
      <w:pPr>
        <w:jc w:val="both"/>
        <w:ind w:right="1779" w:firstLine="737"/>
        <w:spacing w:after="0" w:line="238" w:lineRule="auto"/>
        <w:rPr>
          <w:sz w:val="20"/>
          <w:szCs w:val="20"/>
          <w:color w:val="auto"/>
        </w:rPr>
      </w:pPr>
      <w:r>
        <w:rPr>
          <w:rFonts w:ascii="Courier New" w:cs="Courier New" w:eastAsia="Courier New" w:hAnsi="Courier New"/>
          <w:sz w:val="18"/>
          <w:szCs w:val="18"/>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8" w:lineRule="exact"/>
        <w:rPr>
          <w:sz w:val="20"/>
          <w:szCs w:val="20"/>
          <w:color w:val="auto"/>
        </w:rPr>
      </w:pPr>
    </w:p>
    <w:p>
      <w:pPr>
        <w:jc w:val="both"/>
        <w:ind w:right="1779" w:firstLine="737"/>
        <w:spacing w:after="0" w:line="235" w:lineRule="auto"/>
        <w:rPr>
          <w:sz w:val="20"/>
          <w:szCs w:val="20"/>
          <w:color w:val="auto"/>
        </w:rPr>
      </w:pPr>
      <w:r>
        <w:rPr>
          <w:rFonts w:ascii="Courier New" w:cs="Courier New" w:eastAsia="Courier New" w:hAnsi="Courier New"/>
          <w:sz w:val="18"/>
          <w:szCs w:val="18"/>
          <w:color w:val="auto"/>
        </w:rPr>
        <w:t>Section 5.08. Certain Definitions. For purposes of this Article FIVE, and as examples and not by way of limitation:</w:t>
      </w:r>
    </w:p>
    <w:p>
      <w:pPr>
        <w:spacing w:after="0" w:line="208" w:lineRule="exact"/>
        <w:rPr>
          <w:sz w:val="20"/>
          <w:szCs w:val="20"/>
          <w:color w:val="auto"/>
        </w:rPr>
      </w:pPr>
    </w:p>
    <w:p>
      <w:pPr>
        <w:jc w:val="both"/>
        <w:ind w:right="1779" w:firstLine="728"/>
        <w:spacing w:after="0" w:line="237"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9359"/>
          </w:cols>
          <w:pgMar w:left="1100" w:top="723" w:right="1440" w:bottom="1440" w:gutter="0" w:footer="0" w:header="0"/>
          <w:type w:val="continuous"/>
        </w:sectPr>
      </w:pPr>
    </w:p>
    <w:bookmarkStart w:id="7" w:name="page8"/>
    <w:bookmarkEnd w:id="7"/>
    <w:p>
      <w:pPr>
        <w:jc w:val="both"/>
        <w:ind w:left="860" w:right="1779"/>
        <w:spacing w:after="0" w:line="237" w:lineRule="auto"/>
        <w:rPr>
          <w:sz w:val="20"/>
          <w:szCs w:val="20"/>
          <w:color w:val="auto"/>
        </w:rPr>
      </w:pPr>
      <w:r>
        <w:rPr>
          <w:rFonts w:ascii="Courier New" w:cs="Courier New" w:eastAsia="Courier New" w:hAnsi="Courier New"/>
          <w:sz w:val="18"/>
          <w:szCs w:val="18"/>
          <w:color w:val="auto"/>
        </w:rPr>
        <w:t>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11" w:lineRule="exact"/>
        <w:rPr>
          <w:sz w:val="20"/>
          <w:szCs w:val="20"/>
          <w:color w:val="auto"/>
        </w:rPr>
      </w:pPr>
    </w:p>
    <w:p>
      <w:pPr>
        <w:jc w:val="both"/>
        <w:ind w:left="860" w:right="1779" w:firstLine="728"/>
        <w:spacing w:after="0" w:line="238" w:lineRule="auto"/>
        <w:tabs>
          <w:tab w:leader="none" w:pos="20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7" w:lineRule="exact"/>
        <w:rPr>
          <w:sz w:val="20"/>
          <w:szCs w:val="20"/>
          <w:color w:val="auto"/>
        </w:rPr>
      </w:pPr>
    </w:p>
    <w:p>
      <w:pPr>
        <w:jc w:val="both"/>
        <w:ind w:left="860" w:right="1779" w:firstLine="737"/>
        <w:spacing w:after="0" w:line="271"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8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Division (E) of Section 1701.13 of the Ohio Revised Code addresses indemnification by an Ohio corporation and provides as follows:</w:t>
      </w:r>
    </w:p>
    <w:p>
      <w:pPr>
        <w:spacing w:after="0" w:line="208" w:lineRule="exact"/>
        <w:rPr>
          <w:sz w:val="20"/>
          <w:szCs w:val="20"/>
          <w:color w:val="auto"/>
        </w:rPr>
      </w:pPr>
    </w:p>
    <w:p>
      <w:pPr>
        <w:jc w:val="both"/>
        <w:ind w:left="860" w:right="1779" w:firstLine="737"/>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925" w:right="1440" w:bottom="1440" w:gutter="0" w:footer="0" w:header="0"/>
        </w:sectPr>
      </w:pPr>
    </w:p>
    <w:bookmarkStart w:id="8" w:name="page9"/>
    <w:bookmarkEnd w:id="8"/>
    <w:p>
      <w:pPr>
        <w:jc w:val="both"/>
        <w:ind w:right="1779"/>
        <w:spacing w:after="0" w:line="271" w:lineRule="auto"/>
        <w:rPr>
          <w:sz w:val="20"/>
          <w:szCs w:val="20"/>
          <w:color w:val="auto"/>
        </w:rPr>
      </w:pPr>
      <w:r>
        <w:rPr>
          <w:rFonts w:ascii="Courier New" w:cs="Courier New" w:eastAsia="Courier New" w:hAnsi="Courier New"/>
          <w:sz w:val="16"/>
          <w:szCs w:val="16"/>
          <w:color w:val="auto"/>
        </w:rPr>
        <w:t>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88" w:lineRule="exact"/>
        <w:rPr>
          <w:sz w:val="20"/>
          <w:szCs w:val="20"/>
          <w:color w:val="auto"/>
        </w:rPr>
      </w:pPr>
    </w:p>
    <w:p>
      <w:pPr>
        <w:jc w:val="both"/>
        <w:ind w:right="1779" w:firstLine="728"/>
        <w:spacing w:after="0" w:line="270" w:lineRule="auto"/>
        <w:tabs>
          <w:tab w:leader="none" w:pos="11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387" w:lineRule="exact"/>
        <w:rPr>
          <w:sz w:val="20"/>
          <w:szCs w:val="20"/>
          <w:color w:val="auto"/>
        </w:rPr>
      </w:pPr>
    </w:p>
    <w:p>
      <w:pPr>
        <w:jc w:val="both"/>
        <w:ind w:right="1779" w:firstLine="728"/>
        <w:spacing w:after="0" w:line="271" w:lineRule="auto"/>
        <w:tabs>
          <w:tab w:leader="none" w:pos="115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5" w:lineRule="exact"/>
        <w:rPr>
          <w:rFonts w:ascii="Courier New" w:cs="Courier New" w:eastAsia="Courier New" w:hAnsi="Courier New"/>
          <w:sz w:val="16"/>
          <w:szCs w:val="16"/>
          <w:color w:val="auto"/>
        </w:rPr>
      </w:pPr>
    </w:p>
    <w:p>
      <w:pPr>
        <w:ind w:right="1779" w:firstLine="728"/>
        <w:spacing w:after="0" w:line="235"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8" w:lineRule="exact"/>
        <w:rPr>
          <w:sz w:val="20"/>
          <w:szCs w:val="20"/>
          <w:color w:val="auto"/>
        </w:rPr>
      </w:pPr>
    </w:p>
    <w:p>
      <w:pPr>
        <w:jc w:val="both"/>
        <w:ind w:right="1779" w:firstLine="728"/>
        <w:spacing w:after="0" w:line="237"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11" w:lineRule="exact"/>
        <w:rPr>
          <w:rFonts w:ascii="Courier New" w:cs="Courier New" w:eastAsia="Courier New" w:hAnsi="Courier New"/>
          <w:sz w:val="18"/>
          <w:szCs w:val="18"/>
          <w:color w:val="auto"/>
        </w:rPr>
      </w:pPr>
    </w:p>
    <w:p>
      <w:pPr>
        <w:jc w:val="both"/>
        <w:ind w:right="1779" w:firstLine="728"/>
        <w:spacing w:after="0" w:line="237"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9359"/>
          </w:cols>
          <w:pgMar w:left="1100" w:top="520" w:right="1440" w:bottom="1440" w:gutter="0" w:footer="0" w:header="0"/>
        </w:sectPr>
      </w:pPr>
    </w:p>
    <w:bookmarkStart w:id="9" w:name="page10"/>
    <w:bookmarkEnd w:id="9"/>
    <w:p>
      <w:pPr>
        <w:jc w:val="both"/>
        <w:ind w:right="1779" w:firstLine="728"/>
        <w:spacing w:after="0" w:line="237" w:lineRule="auto"/>
        <w:tabs>
          <w:tab w:leader="none" w:pos="11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7" w:lineRule="exact"/>
        <w:rPr>
          <w:rFonts w:ascii="Courier New" w:cs="Courier New" w:eastAsia="Courier New" w:hAnsi="Courier New"/>
          <w:sz w:val="18"/>
          <w:szCs w:val="18"/>
          <w:color w:val="auto"/>
        </w:rPr>
      </w:pPr>
    </w:p>
    <w:p>
      <w:pPr>
        <w:jc w:val="both"/>
        <w:ind w:right="1779" w:firstLine="728"/>
        <w:spacing w:after="0" w:line="272" w:lineRule="auto"/>
        <w:tabs>
          <w:tab w:leader="none" w:pos="115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79" w:lineRule="exact"/>
        <w:rPr>
          <w:rFonts w:ascii="Courier New" w:cs="Courier New" w:eastAsia="Courier New" w:hAnsi="Courier New"/>
          <w:sz w:val="16"/>
          <w:szCs w:val="16"/>
          <w:color w:val="auto"/>
        </w:rPr>
      </w:pPr>
    </w:p>
    <w:p>
      <w:pPr>
        <w:ind w:left="1460" w:hanging="732"/>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ectPr>
          <w:pgSz w:w="11900" w:h="16838" w:orient="portrait"/>
          <w:cols w:equalWidth="0" w:num="1">
            <w:col w:w="9359"/>
          </w:cols>
          <w:pgMar w:left="1100" w:top="925" w:right="1440" w:bottom="1440" w:gutter="0" w:footer="0" w:header="0"/>
        </w:sectPr>
      </w:pPr>
    </w:p>
    <w:p>
      <w:pPr>
        <w:spacing w:after="0" w:line="207" w:lineRule="exact"/>
        <w:rPr>
          <w:sz w:val="20"/>
          <w:szCs w:val="20"/>
          <w:color w:val="auto"/>
        </w:rPr>
      </w:pPr>
    </w:p>
    <w:p>
      <w:pPr>
        <w:ind w:firstLine="728"/>
        <w:spacing w:after="0" w:line="236" w:lineRule="auto"/>
        <w:tabs>
          <w:tab w:leader="none" w:pos="11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action, suit, or proceeding this section was brought.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common  pleas or the  court  in which  the referred to in division  (E)(1) or (2) of</w:t>
      </w:r>
    </w:p>
    <w:p>
      <w:pPr>
        <w:spacing w:after="0" w:line="363" w:lineRule="exact"/>
        <w:rPr>
          <w:sz w:val="20"/>
          <w:szCs w:val="20"/>
          <w:color w:val="auto"/>
        </w:rPr>
      </w:pPr>
    </w:p>
    <w:p>
      <w:pPr>
        <w:sectPr>
          <w:pgSz w:w="11900" w:h="16838" w:orient="portrait"/>
          <w:cols w:equalWidth="0" w:num="2">
            <w:col w:w="3040" w:space="120"/>
            <w:col w:w="6199"/>
          </w:cols>
          <w:pgMar w:left="1100" w:top="925" w:right="1440" w:bottom="1440" w:gutter="0" w:footer="0" w:header="0"/>
          <w:type w:val="continuous"/>
        </w:sectPr>
      </w:pPr>
    </w:p>
    <w:p>
      <w:pPr>
        <w:spacing w:after="0" w:line="9" w:lineRule="exact"/>
        <w:rPr>
          <w:sz w:val="20"/>
          <w:szCs w:val="20"/>
          <w:color w:val="auto"/>
        </w:rPr>
      </w:pPr>
    </w:p>
    <w:p>
      <w:pPr>
        <w:jc w:val="both"/>
        <w:ind w:right="1779" w:firstLine="737"/>
        <w:spacing w:after="0" w:line="271"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86" w:lineRule="exact"/>
        <w:rPr>
          <w:sz w:val="20"/>
          <w:szCs w:val="20"/>
          <w:color w:val="auto"/>
        </w:rPr>
      </w:pPr>
    </w:p>
    <w:p>
      <w:pPr>
        <w:jc w:val="both"/>
        <w:ind w:right="1779" w:firstLine="737"/>
        <w:spacing w:after="0" w:line="270"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389" w:lineRule="exact"/>
        <w:rPr>
          <w:sz w:val="20"/>
          <w:szCs w:val="20"/>
          <w:color w:val="auto"/>
        </w:rPr>
      </w:pPr>
    </w:p>
    <w:p>
      <w:pPr>
        <w:jc w:val="both"/>
        <w:ind w:right="1779" w:firstLine="728"/>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208" w:lineRule="exact"/>
        <w:rPr>
          <w:rFonts w:ascii="Courier New" w:cs="Courier New" w:eastAsia="Courier New" w:hAnsi="Courier New"/>
          <w:sz w:val="18"/>
          <w:szCs w:val="18"/>
          <w:color w:val="auto"/>
        </w:rPr>
      </w:pPr>
    </w:p>
    <w:p>
      <w:pPr>
        <w:ind w:right="1779" w:firstLine="728"/>
        <w:spacing w:after="0" w:line="235"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 the action, suit, or proceeding.</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359"/>
          </w:cols>
          <w:pgMar w:left="1100" w:top="925" w:right="1440" w:bottom="1440" w:gutter="0" w:footer="0" w:header="0"/>
          <w:type w:val="continuous"/>
        </w:sectPr>
      </w:pPr>
    </w:p>
    <w:bookmarkStart w:id="10" w:name="page11"/>
    <w:bookmarkEnd w:id="10"/>
    <w:p>
      <w:pPr>
        <w:jc w:val="both"/>
        <w:ind w:left="9" w:right="1779" w:firstLine="728"/>
        <w:spacing w:after="0" w:line="271" w:lineRule="auto"/>
        <w:tabs>
          <w:tab w:leader="none" w:pos="116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4" w:lineRule="exact"/>
        <w:rPr>
          <w:sz w:val="20"/>
          <w:szCs w:val="20"/>
          <w:color w:val="auto"/>
        </w:rPr>
      </w:pPr>
    </w:p>
    <w:p>
      <w:pPr>
        <w:jc w:val="both"/>
        <w:ind w:left="9" w:right="1779" w:firstLine="728"/>
        <w:spacing w:after="0" w:line="271" w:lineRule="auto"/>
        <w:tabs>
          <w:tab w:leader="none" w:pos="11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3" w:lineRule="exact"/>
        <w:rPr>
          <w:rFonts w:ascii="Courier New" w:cs="Courier New" w:eastAsia="Courier New" w:hAnsi="Courier New"/>
          <w:sz w:val="16"/>
          <w:szCs w:val="16"/>
          <w:color w:val="auto"/>
        </w:rPr>
      </w:pPr>
    </w:p>
    <w:p>
      <w:pPr>
        <w:jc w:val="both"/>
        <w:ind w:left="9" w:right="1779" w:firstLine="728"/>
        <w:spacing w:after="0" w:line="270" w:lineRule="auto"/>
        <w:tabs>
          <w:tab w:leader="none" w:pos="11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89" w:lineRule="exact"/>
        <w:rPr>
          <w:rFonts w:ascii="Courier New" w:cs="Courier New" w:eastAsia="Courier New" w:hAnsi="Courier New"/>
          <w:sz w:val="16"/>
          <w:szCs w:val="16"/>
          <w:color w:val="auto"/>
        </w:rPr>
      </w:pPr>
    </w:p>
    <w:p>
      <w:pPr>
        <w:jc w:val="both"/>
        <w:ind w:left="9" w:right="1779" w:firstLine="728"/>
        <w:spacing w:after="0" w:line="268" w:lineRule="auto"/>
        <w:tabs>
          <w:tab w:leader="none" w:pos="11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w:t>
      </w:r>
    </w:p>
    <w:p>
      <w:pPr>
        <w:jc w:val="both"/>
        <w:ind w:left="9" w:right="1779" w:hanging="9"/>
        <w:spacing w:after="0" w:line="236" w:lineRule="auto"/>
        <w:tabs>
          <w:tab w:leader="none" w:pos="43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Divisions (E)(1) and (2) of this section do not create any obligation to repay or return payments made by the corporation pursuant to division (E)(5), (6), or (7).</w:t>
      </w:r>
    </w:p>
    <w:p>
      <w:pPr>
        <w:spacing w:after="0" w:line="208" w:lineRule="exact"/>
        <w:rPr>
          <w:rFonts w:ascii="Courier New" w:cs="Courier New" w:eastAsia="Courier New" w:hAnsi="Courier New"/>
          <w:sz w:val="18"/>
          <w:szCs w:val="18"/>
          <w:color w:val="auto"/>
        </w:rPr>
      </w:pPr>
    </w:p>
    <w:p>
      <w:pPr>
        <w:jc w:val="both"/>
        <w:ind w:left="9" w:right="1779" w:firstLine="728"/>
        <w:spacing w:after="0" w:line="238" w:lineRule="auto"/>
        <w:tabs>
          <w:tab w:leader="none" w:pos="116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1" w:lineRule="exact"/>
        <w:rPr>
          <w:sz w:val="20"/>
          <w:szCs w:val="20"/>
          <w:color w:val="auto"/>
        </w:rPr>
      </w:pPr>
    </w:p>
    <w:p>
      <w:pPr>
        <w:ind w:left="3049"/>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368"/>
          </w:cols>
          <w:pgMar w:left="1091" w:top="723" w:right="1440" w:bottom="1440" w:gutter="0" w:footer="0" w:header="0"/>
        </w:sectPr>
      </w:pPr>
    </w:p>
    <w:bookmarkStart w:id="11" w:name="page12"/>
    <w:bookmarkEnd w:id="11"/>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The Registrant has purchased insurance coverage under a policy which insures directors and officers against certain liabilities which might be incurred by them in such capacity.</w:t>
      </w:r>
    </w:p>
    <w:p>
      <w:pPr>
        <w:spacing w:after="0" w:line="203" w:lineRule="exact"/>
        <w:rPr>
          <w:sz w:val="20"/>
          <w:szCs w:val="20"/>
          <w:color w:val="auto"/>
        </w:rPr>
      </w:pPr>
    </w:p>
    <w:p>
      <w:pPr>
        <w:jc w:val="center"/>
        <w:ind w:right="547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See the Index to Exhibits attached hereto and beginning at page II-14 (page 16 as sequentially numbered).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hanging="729"/>
        <w:spacing w:after="0" w:line="290" w:lineRule="auto"/>
        <w:tabs>
          <w:tab w:leader="none" w:pos="15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2120" w:right="1779" w:hanging="532"/>
        <w:spacing w:after="0" w:line="235" w:lineRule="auto"/>
        <w:tabs>
          <w:tab w:leader="none" w:pos="212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left="2120" w:right="1779" w:hanging="532"/>
        <w:spacing w:after="0" w:line="237" w:lineRule="auto"/>
        <w:tabs>
          <w:tab w:leader="none" w:pos="212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10" w:lineRule="exact"/>
        <w:rPr>
          <w:sz w:val="20"/>
          <w:szCs w:val="20"/>
          <w:color w:val="auto"/>
        </w:rPr>
      </w:pPr>
    </w:p>
    <w:p>
      <w:pPr>
        <w:jc w:val="both"/>
        <w:ind w:left="2120" w:right="1779" w:hanging="526"/>
        <w:spacing w:after="0" w:line="237" w:lineRule="auto"/>
        <w:rPr>
          <w:sz w:val="20"/>
          <w:szCs w:val="20"/>
          <w:color w:val="auto"/>
        </w:rPr>
      </w:pPr>
      <w:r>
        <w:rPr>
          <w:rFonts w:ascii="Courier New" w:cs="Courier New" w:eastAsia="Courier New" w:hAnsi="Courier New"/>
          <w:sz w:val="18"/>
          <w:szCs w:val="18"/>
          <w:color w:val="auto"/>
        </w:rPr>
        <w:t>(iii)To include</w:t>
      </w:r>
      <w:r>
        <w:rPr>
          <w:sz w:val="20"/>
          <w:szCs w:val="20"/>
          <w:color w:val="auto"/>
        </w:rPr>
        <w:t xml:space="preserve"> </w:t>
      </w:r>
      <w:r>
        <w:rPr>
          <w:rFonts w:ascii="Courier New" w:cs="Courier New" w:eastAsia="Courier New" w:hAnsi="Courier New"/>
          <w:sz w:val="18"/>
          <w:szCs w:val="18"/>
          <w:color w:val="auto"/>
        </w:rPr>
        <w:t>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jc w:val="both"/>
        <w:ind w:left="1580" w:right="1779" w:hanging="729"/>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10219"/>
          </w:cols>
          <w:pgMar w:left="240" w:top="723" w:right="1440" w:bottom="1440" w:gutter="0" w:footer="0" w:header="0"/>
        </w:sectPr>
      </w:pPr>
    </w:p>
    <w:bookmarkStart w:id="12" w:name="page13"/>
    <w:bookmarkEnd w:id="12"/>
    <w:p>
      <w:pPr>
        <w:jc w:val="both"/>
        <w:ind w:left="1572" w:right="1779" w:hanging="729"/>
        <w:spacing w:after="0" w:line="236" w:lineRule="auto"/>
        <w:tabs>
          <w:tab w:leader="none" w:pos="157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jc w:val="both"/>
        <w:ind w:left="532" w:right="1779" w:hanging="532"/>
        <w:spacing w:after="0" w:line="269" w:lineRule="auto"/>
        <w:tabs>
          <w:tab w:leader="none" w:pos="53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1"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1"/>
          </w:cols>
          <w:pgMar w:left="248" w:top="723"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8th day of May, 1997.</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Charles M. Berger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Charles M. Berger, Chairman, President</w:t>
      </w:r>
    </w:p>
    <w:p>
      <w:pPr>
        <w:ind w:left="422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May 8, 1997.</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080" w:space="720"/>
            <w:col w:w="441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B. Beard*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ectPr>
          <w:pgSz w:w="11900" w:h="16838" w:orient="portrait"/>
          <w:cols w:equalWidth="0" w:num="2">
            <w:col w:w="5080" w:space="720"/>
            <w:col w:w="4419"/>
          </w:cols>
          <w:pgMar w:left="240" w:top="919" w:right="1440" w:bottom="1440" w:gutter="0" w:footer="0" w:header="0"/>
          <w:type w:val="continuous"/>
        </w:sect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Beard</w:t>
      </w:r>
    </w:p>
    <w:p>
      <w:pPr>
        <w:spacing w:after="0" w:line="202"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John S. Chamberlin*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S. Chamberlin</w:t>
      </w:r>
    </w:p>
    <w:p>
      <w:pPr>
        <w:spacing w:after="0" w:line="202"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Joseph P. Flannery*</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P. Flannery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James Hagedorn*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Hagedorn</w:t>
      </w:r>
    </w:p>
    <w:p>
      <w:pPr>
        <w:spacing w:after="0" w:line="202"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John Kenlon*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Kenlon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M. Berger</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Charles M. Berger (Attorney-in-Fact)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919"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Karen Gordon Mills*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Gordon Mills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5080" w:space="720"/>
            <w:col w:w="4419"/>
          </w:cols>
          <w:pgMar w:left="240" w:top="717"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Tadd C. Seitz*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Tadd C. Seitz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A. Sherman*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A. Sherman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 H. Mordo*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 H. Mordo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Principal Accounting</w:t>
      </w:r>
    </w:p>
    <w:p>
      <w:pPr>
        <w:spacing w:after="0" w:line="238"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M. Berger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Charles M. Berger</w:t>
      </w:r>
    </w:p>
    <w:p>
      <w:pPr>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717"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58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4(a)</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Amended Articles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as filed with the Ohio</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Secretary of State on</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20, 1994</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4(b)</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by</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to the Articles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as filed with the Ohio</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Secretary of State on May 4, 1995</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4(c)</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Regulations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(reflecting amendments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adopted by the shareholders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Scotts Company on April 6,</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4(d)</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The Scotts Company 1996 Stock</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 Plan (reflecting</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amendment adopted by the</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on March 12, 1997)</w:t>
            </w:r>
          </w:p>
        </w:tc>
      </w:tr>
    </w:tbl>
    <w:p>
      <w:pPr>
        <w:spacing w:after="0" w:line="200" w:lineRule="exact"/>
        <w:rPr>
          <w:sz w:val="20"/>
          <w:szCs w:val="20"/>
          <w:color w:val="auto"/>
        </w:rPr>
      </w:pPr>
    </w:p>
    <w:p>
      <w:pPr>
        <w:spacing w:after="0" w:line="209" w:lineRule="exact"/>
        <w:rPr>
          <w:sz w:val="20"/>
          <w:szCs w:val="20"/>
          <w:color w:val="auto"/>
        </w:rPr>
      </w:pPr>
    </w:p>
    <w:p>
      <w:pPr>
        <w:ind w:left="1380" w:right="120" w:hanging="845"/>
        <w:spacing w:after="0" w:line="290" w:lineRule="auto"/>
        <w:tabs>
          <w:tab w:leader="none" w:pos="1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as to legality</w:t>
      </w:r>
    </w:p>
    <w:p>
      <w:pPr>
        <w:spacing w:after="0" w:line="164"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of Coopers &amp; Lybrand</w:t>
      </w:r>
    </w:p>
    <w:p>
      <w:pPr>
        <w:ind w:left="1380"/>
        <w:spacing w:after="0" w:line="238" w:lineRule="auto"/>
        <w:rPr>
          <w:sz w:val="20"/>
          <w:szCs w:val="20"/>
          <w:color w:val="auto"/>
        </w:rPr>
      </w:pPr>
      <w:r>
        <w:rPr>
          <w:rFonts w:ascii="Courier New" w:cs="Courier New" w:eastAsia="Courier New" w:hAnsi="Courier New"/>
          <w:sz w:val="18"/>
          <w:szCs w:val="18"/>
          <w:color w:val="auto"/>
        </w:rPr>
        <w:t>L.L.P.</w:t>
      </w: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23(b)</w:t>
      </w:r>
      <w:r>
        <w:rPr>
          <w:sz w:val="20"/>
          <w:szCs w:val="20"/>
          <w:color w:val="auto"/>
        </w:rPr>
        <w:tab/>
      </w:r>
      <w:r>
        <w:rPr>
          <w:rFonts w:ascii="Courier New" w:cs="Courier New" w:eastAsia="Courier New" w:hAnsi="Courier New"/>
          <w:sz w:val="18"/>
          <w:szCs w:val="18"/>
          <w:color w:val="auto"/>
        </w:rPr>
        <w:t>Consent of Vorys, Sater, Seymour</w:t>
      </w:r>
    </w:p>
    <w:p>
      <w:pPr>
        <w:ind w:left="1380"/>
        <w:spacing w:after="0" w:line="237" w:lineRule="auto"/>
        <w:rPr>
          <w:sz w:val="20"/>
          <w:szCs w:val="20"/>
          <w:color w:val="auto"/>
        </w:rPr>
      </w:pPr>
      <w:r>
        <w:rPr>
          <w:rFonts w:ascii="Courier New" w:cs="Courier New" w:eastAsia="Courier New" w:hAnsi="Courier New"/>
          <w:sz w:val="18"/>
          <w:szCs w:val="18"/>
          <w:color w:val="auto"/>
        </w:rPr>
        <w:t>and Pease</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II-14</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Courier New" w:cs="Courier New" w:eastAsia="Courier New" w:hAnsi="Courier New"/>
          <w:sz w:val="18"/>
          <w:szCs w:val="18"/>
          <w:color w:val="auto"/>
        </w:rPr>
        <w:t>Page No.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3(a) of the Registrant's Annual Report on Form 10-K for the fiscal year ended September 30, 1994 (File No. 0-19768)</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Incorporated herein by reference to Exhibit 4(b) of the Registrant's Quarterly Report on Form 10-Q for the fiscal quarter ended April 1, 1995 (File No. 0-19768)</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Incorporated herein by reference to Exhibit 4(c) of the Registrant's Quarterly Report on Form 10-Q for the fiscal quarter ended April 1, 1995 (File No. 0-19768)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10(a) of the Registrant's Quarterly Report on Form 10-Q for the fiscal quarter ended March 30, 1997 (File No. 1-11593)</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17 through 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20 and 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as part of Exhibit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22 through 33</w:t>
      </w:r>
    </w:p>
    <w:p>
      <w:pPr>
        <w:sectPr>
          <w:pgSz w:w="11900" w:h="16838" w:orient="portrait"/>
          <w:cols w:equalWidth="0" w:num="2">
            <w:col w:w="4860" w:space="300"/>
            <w:col w:w="5059"/>
          </w:cols>
          <w:pgMar w:left="240" w:top="919" w:right="1440" w:bottom="1440" w:gutter="0" w:footer="0" w:header="0"/>
        </w:sectPr>
      </w:pPr>
    </w:p>
    <w:bookmarkStart w:id="16" w:name="page17"/>
    <w:bookmarkEnd w:id="16"/>
    <w:p>
      <w:pPr>
        <w:ind w:left="3800"/>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OPINION OF VORYS, SATER, SEYMOUR</w:t>
      </w:r>
    </w:p>
    <w:p>
      <w:pPr>
        <w:ind w:left="3480"/>
        <w:spacing w:after="0" w:line="238" w:lineRule="auto"/>
        <w:rPr>
          <w:sz w:val="20"/>
          <w:szCs w:val="20"/>
          <w:color w:val="auto"/>
        </w:rPr>
      </w:pPr>
      <w:r>
        <w:rPr>
          <w:rFonts w:ascii="Courier New" w:cs="Courier New" w:eastAsia="Courier New" w:hAnsi="Courier New"/>
          <w:sz w:val="18"/>
          <w:szCs w:val="18"/>
          <w:color w:val="auto"/>
        </w:rPr>
        <w:t>AND PEASE AS TO</w:t>
      </w:r>
    </w:p>
    <w:p>
      <w:pPr>
        <w:ind w:left="3800"/>
        <w:spacing w:after="0"/>
        <w:rPr>
          <w:sz w:val="20"/>
          <w:szCs w:val="20"/>
          <w:color w:val="auto"/>
        </w:rPr>
      </w:pPr>
      <w:r>
        <w:rPr>
          <w:rFonts w:ascii="Courier New" w:cs="Courier New" w:eastAsia="Courier New" w:hAnsi="Courier New"/>
          <w:sz w:val="18"/>
          <w:szCs w:val="18"/>
          <w:color w:val="auto"/>
        </w:rPr>
        <w:t>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(614) 464-6400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21,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843"/>
        <w:spacing w:after="0" w:line="270" w:lineRule="auto"/>
        <w:rPr>
          <w:sz w:val="20"/>
          <w:szCs w:val="20"/>
          <w:color w:val="auto"/>
        </w:rPr>
      </w:pPr>
      <w:r>
        <w:rPr>
          <w:rFonts w:ascii="Courier New" w:cs="Courier New" w:eastAsia="Courier New" w:hAnsi="Courier New"/>
          <w:sz w:val="16"/>
          <w:szCs w:val="16"/>
          <w:color w:val="auto"/>
        </w:rPr>
        <w:t>We are familiar with the proceedings taken and proposed to be taken by The Scotts Company, an Ohio corporation (the "Company"), in connection with the adoption of an amendment to The Scotts Company 1996 Stock Option Plan, as amended (the "Plan"), to make an additional 1,500,000 common shares, without par value (the "Common Shares"), of the Company available pursuant to the Plan, the granting of options to purchase Common Shares of the Company pursuant to the Plan, and the issuance and sale of Common Shares of the Company upon exercise of options to be granted under the Plan, as described in the Registration Statement on Form S-8 (the "Registration Statement") to be filed with the Securities and Exchange Commission on May 21, 1997. The purpose of the Registration Statement is to register the additional 1,500,000 Common Shares reserved for issuance under the Plan pursuant to the provisions of the Securities Act of 1933, as amended, and the rules and regulations promulgated thereunder.</w:t>
      </w:r>
    </w:p>
    <w:p>
      <w:pPr>
        <w:spacing w:after="0" w:line="38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an original or copy of, and have relied upon the accuracy of, without independent verification or investigation: (a) the Registration Statement; (b) the Plan; (c) the Company's Amended Articles of Incorporation, as amended; (d) the Company's Regulations, as amended; and (e) certain proceedings of the directors and of the shareholders of the Company. We have also relied upon such representations of the Company and officers of the Company and such authorities of law as we have deemed relevant as a basis for this opinion.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4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May 21, 1997</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We have relied solely upon the examinations and inquiries recited herein, and we have not undertaken any independent investigation to determine the existence or absence of any facts, and no inference as to our knowledge concerning such facts should be drawn.</w:t>
      </w:r>
    </w:p>
    <w:p>
      <w:pPr>
        <w:spacing w:after="0" w:line="207" w:lineRule="exact"/>
        <w:rPr>
          <w:sz w:val="20"/>
          <w:szCs w:val="20"/>
          <w:color w:val="auto"/>
        </w:rPr>
      </w:pPr>
    </w:p>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Based upon and subject to the foregoing and the further qualifications and limitations set forth below, as of the date hereof, we are of the opinion that after the additional 1,500,000 Common Shares of the Company to be registered under the Registration Statement have been issued and delivered by the Company, upon the exercise of options granted under the Plan, against payment of the purchase price therefor, in accordance with the terms of the Plan, said Common Shares will be validly issued, fully paid and non-assessable, assuming compliance with applicable federal and state securities laws.</w:t>
      </w:r>
    </w:p>
    <w:p>
      <w:pPr>
        <w:spacing w:after="0" w:line="186"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Our opinion is limited to the General Corporation Law of Ohio in effect as of the date hereof. This opinion is furnished by us solely for the benefit of the Company in connection with the offering of the Common Shares pursuant to the Plan and the filing of the Registration Statement and any amendments thereto. This opinion may not be relied upon by any other person or assigned, quoted or otherwise used without our specific written consent.</w:t>
      </w:r>
    </w:p>
    <w:p>
      <w:pPr>
        <w:spacing w:after="0" w:line="210" w:lineRule="exact"/>
        <w:rPr>
          <w:sz w:val="20"/>
          <w:szCs w:val="20"/>
          <w:color w:val="auto"/>
        </w:rPr>
      </w:pPr>
    </w:p>
    <w:p>
      <w:pPr>
        <w:jc w:val="both"/>
        <w:ind w:right="1779" w:firstLine="843"/>
        <w:spacing w:after="0" w:line="290" w:lineRule="auto"/>
        <w:rPr>
          <w:sz w:val="20"/>
          <w:szCs w:val="20"/>
          <w:color w:val="auto"/>
        </w:rPr>
      </w:pPr>
      <w:r>
        <w:rPr>
          <w:rFonts w:ascii="Courier New" w:cs="Courier New" w:eastAsia="Courier New" w:hAnsi="Courier New"/>
          <w:sz w:val="16"/>
          <w:szCs w:val="16"/>
          <w:color w:val="auto"/>
        </w:rPr>
        <w:t>Notwithstanding the foregoing, we consent to the filing of this opinion as an exhibit to the Registration Statement and to the reference to us therein.</w:t>
      </w:r>
    </w:p>
    <w:p>
      <w:pPr>
        <w:spacing w:after="0" w:line="16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Vorys, Sater, Seymour and Pease</w:t>
      </w:r>
    </w:p>
    <w:p>
      <w:pPr>
        <w:spacing w:after="0" w:line="238" w:lineRule="auto"/>
        <w:rPr>
          <w:sz w:val="20"/>
          <w:szCs w:val="20"/>
          <w:color w:val="auto"/>
        </w:rPr>
      </w:pPr>
      <w:r>
        <w:rPr>
          <w:rFonts w:ascii="Courier New" w:cs="Courier New" w:eastAsia="Courier New" w:hAnsi="Courier New"/>
          <w:sz w:val="18"/>
          <w:szCs w:val="18"/>
          <w:color w:val="auto"/>
        </w:rPr>
        <w:t>ETF/jkf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18" w:name="page19"/>
    <w:bookmarkEnd w:id="18"/>
    <w:p>
      <w:pPr>
        <w:ind w:left="3580"/>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The Scotts Company on Form S-8 of our report dated November 15, 1996, on our audits of the consolidated financial statements and financial statement schedules of The Scotts Company and subsidiaries as of September 30, 1996 and 1995 and for the three years ended September 30, 1996, 1995, and 1994, which report is incorporated by reference from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May 20,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39" w:right="1440" w:bottom="1440" w:gutter="0" w:footer="0" w:header="0"/>
        </w:sectPr>
      </w:pPr>
    </w:p>
    <w:bookmarkStart w:id="19" w:name="page20"/>
    <w:bookmarkEnd w:id="19"/>
    <w:p>
      <w:pPr>
        <w:ind w:left="370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B. Beard</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B. Beard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44" w:right="1440" w:bottom="1440" w:gutter="0" w:footer="0" w:header="0"/>
        </w:sectPr>
      </w:pPr>
    </w:p>
    <w:bookmarkStart w:id="20" w:name="page21"/>
    <w:bookmarkEnd w:id="2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John S. Chamberlin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S. Chamberlin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21" w:name="page22"/>
    <w:bookmarkEnd w:id="2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Joseph P. Flannery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Joseph P. Flannery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19" w:right="1440" w:bottom="1440" w:gutter="0" w:footer="0" w:header="0"/>
        </w:sectPr>
      </w:pPr>
    </w:p>
    <w:bookmarkStart w:id="22" w:name="page23"/>
    <w:bookmarkEnd w:id="2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Hagedorn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19" w:right="1440" w:bottom="1440" w:gutter="0" w:footer="0" w:header="0"/>
        </w:sectPr>
      </w:pPr>
    </w:p>
    <w:bookmarkStart w:id="23" w:name="page24"/>
    <w:bookmarkEnd w:id="2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John Kenlon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John Kenlon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24" w:name="page25"/>
    <w:bookmarkEnd w:id="2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Karen Gordon Mills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Karen Gordon Mills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25" w:name="page26"/>
    <w:bookmarkEnd w:id="2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Tadd C. Seitz</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Tadd C. Seitz</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19" w:right="1440" w:bottom="1440" w:gutter="0" w:footer="0" w:header="0"/>
        </w:sectPr>
      </w:pPr>
    </w:p>
    <w:bookmarkStart w:id="26" w:name="page27"/>
    <w:bookmarkEnd w:id="26"/>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Donald A. Sherman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Donald A. Sherman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19" w:right="1440" w:bottom="1440" w:gutter="0" w:footer="0" w:header="0"/>
        </w:sectPr>
      </w:pPr>
    </w:p>
    <w:bookmarkStart w:id="27" w:name="page28"/>
    <w:bookmarkEnd w:id="27"/>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John M. Sullivan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M. Sullivan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19" w:right="1440" w:bottom="1440" w:gutter="0" w:footer="0" w:header="0"/>
        </w:sectPr>
      </w:pPr>
    </w:p>
    <w:bookmarkStart w:id="28" w:name="page29"/>
    <w:bookmarkEnd w:id="2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L. Jack Van Fossen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L. Jack Van Fossen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19" w:right="1440" w:bottom="1440" w:gutter="0" w:footer="0" w:header="0"/>
        </w:sectPr>
      </w:pPr>
    </w:p>
    <w:bookmarkStart w:id="29" w:name="page30"/>
    <w:bookmarkEnd w:id="29"/>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as amended, hereby constitutes and appoints Charles M. Berger and G. Robert Lucas II,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May,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Jean H. Mordo</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Jean H. Mordo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19" w:right="1440"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2"/>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4"/>
    </w:lvl>
  </w:abstractNum>
  <w:abstractNum w:abstractNumId="4">
    <w:nsid w:val="4E6AFB66"/>
    <w:multiLevelType w:val="hybridMultilevel"/>
    <w:lvl w:ilvl="0">
      <w:lvlJc w:val="left"/>
      <w:lvlText w:val="(%1)"/>
      <w:numFmt w:val="upperLetter"/>
      <w:start w:val="1"/>
    </w:lvl>
  </w:abstractNum>
  <w:abstractNum w:abstractNumId="5">
    <w:nsid w:val="25E45D32"/>
    <w:multiLevelType w:val="hybridMultilevel"/>
    <w:lvl w:ilvl="0">
      <w:lvlJc w:val="left"/>
      <w:lvlText w:val="(%1)"/>
      <w:numFmt w:val="upperLetter"/>
      <w:start w:val="2"/>
    </w:lvl>
  </w:abstractNum>
  <w:abstractNum w:abstractNumId="6">
    <w:nsid w:val="519B500D"/>
    <w:multiLevelType w:val="hybridMultilevel"/>
    <w:lvl w:ilvl="0">
      <w:lvlJc w:val="left"/>
      <w:lvlText w:val="(%1)"/>
      <w:numFmt w:val="upperLetter"/>
      <w:start w:val="1"/>
    </w:lvl>
  </w:abstractNum>
  <w:abstractNum w:abstractNumId="7">
    <w:nsid w:val="431BD7B7"/>
    <w:multiLevelType w:val="hybridMultilevel"/>
    <w:lvl w:ilvl="0">
      <w:lvlJc w:val="left"/>
      <w:lvlText w:val="(%1)"/>
      <w:numFmt w:val="upperLetter"/>
      <w:start w:val="2"/>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4"/>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decimal"/>
      <w:start w:val="1"/>
    </w:lvl>
    <w:lvl w:ilvl="1">
      <w:lvlJc w:val="left"/>
      <w:lvlText w:val="(%2)"/>
      <w:numFmt w:val="decimal"/>
      <w:start w:val="6"/>
    </w:lvl>
  </w:abstractNum>
  <w:abstractNum w:abstractNumId="16">
    <w:nsid w:val="2443A858"/>
    <w:multiLevelType w:val="hybridMultilevel"/>
    <w:lvl w:ilvl="0">
      <w:lvlJc w:val="left"/>
      <w:lvlText w:val="(%1)"/>
      <w:numFmt w:val="decimal"/>
      <w:start w:val="7"/>
    </w:lvl>
    <w:lvl w:ilvl="1">
      <w:lvlJc w:val="left"/>
      <w:lvlText w:val="(%2)"/>
      <w:numFmt w:val="decimal"/>
      <w:start w:val="9"/>
    </w:lvl>
  </w:abstractNum>
  <w:abstractNum w:abstractNumId="17">
    <w:nsid w:val="2D1D5AE9"/>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8">
    <w:nsid w:val="6763845E"/>
    <w:multiLevelType w:val="hybridMultilevel"/>
    <w:lvl w:ilvl="0">
      <w:lvlJc w:val="left"/>
      <w:lvlText w:val="(%1)"/>
      <w:numFmt w:val="decimal"/>
      <w:start w:val="2"/>
    </w:lvl>
  </w:abstractNum>
  <w:abstractNum w:abstractNumId="19">
    <w:nsid w:val="75A2A8D4"/>
    <w:multiLevelType w:val="hybridMultilevel"/>
    <w:lvl w:ilvl="0">
      <w:lvlJc w:val="left"/>
      <w:lvlText w:val="%1"/>
      <w:numFmt w:val="upperLetter"/>
      <w:start w:val="1"/>
    </w:lvl>
    <w:lvl w:ilvl="1">
      <w:lvlJc w:val="left"/>
      <w:lvlText w:val="(%2)"/>
      <w:numFmt w:val="decimal"/>
      <w:start w:val="3"/>
    </w:lvl>
  </w:abstractNum>
  <w:abstractNum w:abstractNumId="20">
    <w:nsid w:val="8EDBDAB"/>
    <w:multiLevelType w:val="hybridMultilevel"/>
    <w:lvl w:ilvl="0">
      <w:lvlJc w:val="left"/>
      <w:lvlText w:val="%1."/>
      <w:numFmt w:val="upperLetter"/>
      <w:start w:val="2"/>
    </w:lvl>
    <w:lvl w:ilvl="1">
      <w:lvlJc w:val="left"/>
      <w:lvlText w:val="%2"/>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2019-12-19T23:58:42Z</dcterms:created>
  <dcterms:modified xsi:type="dcterms:W3CDTF">2019-12-19T23:58:42Z</dcterms:modified>
</cp:coreProperties>
</file>