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810186106</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2001</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810186106</w:t>
      </w:r>
      <w:r>
        <w:rPr>
          <w:sz w:val="20"/>
          <w:szCs w:val="20"/>
          <w:color w:val="auto"/>
        </w:rPr>
        <w:tab/>
      </w:r>
      <w:r>
        <w:rPr>
          <w:rFonts w:ascii="Courier New" w:cs="Courier New" w:eastAsia="Courier New" w:hAnsi="Courier New"/>
          <w:sz w:val="16"/>
          <w:szCs w:val="16"/>
          <w:color w:val="auto"/>
        </w:rPr>
        <w:t>Page 1 of 7</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Group International, Inc.</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95-4154357</w:t>
      </w:r>
    </w:p>
    <w:p>
      <w:pPr>
        <w:spacing w:after="0" w:line="202"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4"/>
          <w:szCs w:val="24"/>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ectPr>
          <w:pgSz w:w="11900" w:h="16855" w:orient="portrait"/>
          <w:cols w:equalWidth="0" w:num="1">
            <w:col w:w="10219"/>
          </w:cols>
          <w:pgMar w:left="240" w:top="244" w:right="1440" w:bottom="0" w:gutter="0" w:footer="0" w:header="0"/>
        </w:sectPr>
      </w:pPr>
    </w:p>
    <w:bookmarkStart w:id="1" w:name="page2"/>
    <w:bookmarkEnd w:id="1"/>
    <w:p>
      <w:pPr>
        <w:ind w:left="540" w:right="5899" w:hanging="427"/>
        <w:spacing w:after="0" w:line="470"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214" w:lineRule="exact"/>
        <w:rPr>
          <w:sz w:val="20"/>
          <w:szCs w:val="20"/>
          <w:color w:val="auto"/>
        </w:rPr>
      </w:pPr>
    </w:p>
    <w:p>
      <w:pPr>
        <w:ind w:left="1900" w:right="6519" w:hanging="417"/>
        <w:spacing w:after="0" w:line="470"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1,213,000</w:t>
      </w:r>
    </w:p>
    <w:p>
      <w:pPr>
        <w:spacing w:after="0" w:line="20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1900"/>
        <w:spacing w:after="0"/>
        <w:rPr>
          <w:sz w:val="20"/>
          <w:szCs w:val="20"/>
          <w:color w:val="auto"/>
        </w:rPr>
      </w:pPr>
      <w:r>
        <w:rPr>
          <w:rFonts w:ascii="Courier New" w:cs="Courier New" w:eastAsia="Courier New" w:hAnsi="Courier New"/>
          <w:sz w:val="18"/>
          <w:szCs w:val="18"/>
          <w:color w:val="auto"/>
        </w:rPr>
        <w:t>NONE</w:t>
      </w:r>
    </w:p>
    <w:p>
      <w:pPr>
        <w:ind w:left="320"/>
        <w:spacing w:after="0" w:line="237" w:lineRule="auto"/>
        <w:rPr>
          <w:sz w:val="20"/>
          <w:szCs w:val="20"/>
          <w:color w:val="auto"/>
        </w:rPr>
      </w:pPr>
      <w:r>
        <w:rPr>
          <w:rFonts w:ascii="Courier New" w:cs="Courier New" w:eastAsia="Courier New" w:hAnsi="Courier New"/>
          <w:sz w:val="18"/>
          <w:szCs w:val="18"/>
          <w:color w:val="auto"/>
        </w:rPr>
        <w:t>SHARES</w:t>
      </w:r>
    </w:p>
    <w:p>
      <w:pPr>
        <w:spacing w:after="0" w:line="238" w:lineRule="auto"/>
        <w:rPr>
          <w:sz w:val="20"/>
          <w:szCs w:val="20"/>
          <w:color w:val="auto"/>
        </w:rPr>
      </w:pPr>
      <w:r>
        <w:rPr>
          <w:rFonts w:ascii="Courier New" w:cs="Courier New" w:eastAsia="Courier New" w:hAnsi="Courier New"/>
          <w:sz w:val="18"/>
          <w:szCs w:val="18"/>
          <w:color w:val="auto"/>
        </w:rPr>
        <w:t>BENEFICIALL</w:t>
      </w:r>
    </w:p>
    <w:p>
      <w:pPr>
        <w:ind w:left="120"/>
        <w:spacing w:after="0"/>
        <w:rPr>
          <w:sz w:val="20"/>
          <w:szCs w:val="20"/>
          <w:color w:val="auto"/>
        </w:rPr>
      </w:pPr>
      <w:r>
        <w:rPr>
          <w:rFonts w:ascii="Courier New" w:cs="Courier New" w:eastAsia="Courier New" w:hAnsi="Courier New"/>
          <w:sz w:val="18"/>
          <w:szCs w:val="18"/>
          <w:color w:val="auto"/>
        </w:rPr>
        <w:t>Y OWNED BY</w:t>
      </w:r>
    </w:p>
    <w:p>
      <w:pPr>
        <w:ind w:left="1480"/>
        <w:spacing w:after="0" w:line="237"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rPr>
          <w:sz w:val="20"/>
          <w:szCs w:val="20"/>
          <w:color w:val="auto"/>
        </w:rPr>
      </w:pPr>
      <w:r>
        <w:rPr>
          <w:rFonts w:ascii="Courier New" w:cs="Courier New" w:eastAsia="Courier New" w:hAnsi="Courier New"/>
          <w:sz w:val="18"/>
          <w:szCs w:val="18"/>
          <w:color w:val="auto"/>
        </w:rPr>
        <w:t>1,551,900</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line="238" w:lineRule="auto"/>
        <w:rPr>
          <w:sz w:val="20"/>
          <w:szCs w:val="20"/>
          <w:color w:val="auto"/>
        </w:rPr>
      </w:pPr>
      <w:r>
        <w:rPr>
          <w:rFonts w:ascii="Courier New" w:cs="Courier New" w:eastAsia="Courier New" w:hAnsi="Courier New"/>
          <w:sz w:val="18"/>
          <w:szCs w:val="18"/>
          <w:color w:val="auto"/>
        </w:rPr>
        <w:t>WITH:</w:t>
      </w:r>
    </w:p>
    <w:p>
      <w:pPr>
        <w:spacing w:after="0" w:line="208" w:lineRule="exact"/>
        <w:rPr>
          <w:sz w:val="20"/>
          <w:szCs w:val="20"/>
          <w:color w:val="auto"/>
        </w:rPr>
      </w:pPr>
    </w:p>
    <w:p>
      <w:pPr>
        <w:ind w:left="1900" w:right="5779" w:hanging="417"/>
        <w:spacing w:after="0" w:line="235" w:lineRule="auto"/>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40" w:right="2739" w:hanging="427"/>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1,551,900 Beneficial ownership disclaimed pursuant to Rule 13d-4</w:t>
      </w:r>
    </w:p>
    <w:p>
      <w:pPr>
        <w:spacing w:after="0" w:line="214" w:lineRule="exact"/>
        <w:rPr>
          <w:sz w:val="20"/>
          <w:szCs w:val="20"/>
          <w:color w:val="auto"/>
        </w:rPr>
      </w:pPr>
    </w:p>
    <w:p>
      <w:pPr>
        <w:ind w:left="540" w:right="2519" w:hanging="427"/>
        <w:spacing w:after="0" w:line="23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5.4%</w:t>
      </w:r>
    </w:p>
    <w:p>
      <w:pPr>
        <w:spacing w:after="0" w:line="214"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810186106</w:t>
      </w:r>
      <w:r>
        <w:rPr>
          <w:sz w:val="20"/>
          <w:szCs w:val="20"/>
          <w:color w:val="auto"/>
        </w:rPr>
        <w:tab/>
      </w:r>
      <w:r>
        <w:rPr>
          <w:rFonts w:ascii="Courier New" w:cs="Courier New" w:eastAsia="Courier New" w:hAnsi="Courier New"/>
          <w:sz w:val="16"/>
          <w:szCs w:val="16"/>
          <w:color w:val="auto"/>
        </w:rPr>
        <w:t>Page 2 of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40" w:hanging="427"/>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Guardian Trust Company</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95-2553868</w:t>
      </w:r>
    </w:p>
    <w:p>
      <w:pPr>
        <w:spacing w:after="0" w:line="202" w:lineRule="exact"/>
        <w:rPr>
          <w:sz w:val="20"/>
          <w:szCs w:val="20"/>
          <w:color w:val="auto"/>
        </w:rPr>
      </w:pPr>
    </w:p>
    <w:p>
      <w:pPr>
        <w:ind w:left="540" w:hanging="427"/>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40" w:hanging="427"/>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ectPr>
          <w:pgSz w:w="11900" w:h="16838" w:orient="portrait"/>
          <w:cols w:equalWidth="0" w:num="1">
            <w:col w:w="10219"/>
          </w:cols>
          <w:pgMar w:left="240" w:top="952" w:right="1440" w:bottom="0" w:gutter="0" w:footer="0" w:header="0"/>
        </w:sectPr>
      </w:pPr>
    </w:p>
    <w:bookmarkStart w:id="2" w:name="page3"/>
    <w:bookmarkEnd w:id="2"/>
    <w:p>
      <w:pPr>
        <w:ind w:left="540"/>
        <w:spacing w:after="0"/>
        <w:rPr>
          <w:sz w:val="20"/>
          <w:szCs w:val="20"/>
          <w:color w:val="auto"/>
        </w:rPr>
      </w:pPr>
      <w:r>
        <w:rPr>
          <w:rFonts w:ascii="Courier New" w:cs="Courier New" w:eastAsia="Courier New" w:hAnsi="Courier New"/>
          <w:sz w:val="18"/>
          <w:szCs w:val="18"/>
          <w:color w:val="auto"/>
        </w:rPr>
        <w:t>California</w:t>
      </w:r>
    </w:p>
    <w:p>
      <w:pPr>
        <w:spacing w:after="0" w:line="200" w:lineRule="exact"/>
        <w:rPr>
          <w:sz w:val="20"/>
          <w:szCs w:val="20"/>
          <w:color w:val="auto"/>
        </w:rPr>
      </w:pPr>
    </w:p>
    <w:p>
      <w:pPr>
        <w:spacing w:after="0" w:line="209" w:lineRule="exact"/>
        <w:rPr>
          <w:sz w:val="20"/>
          <w:szCs w:val="20"/>
          <w:color w:val="auto"/>
        </w:rPr>
      </w:pPr>
    </w:p>
    <w:p>
      <w:pPr>
        <w:ind w:left="1900" w:right="6519" w:hanging="417"/>
        <w:spacing w:after="0" w:line="470" w:lineRule="auto"/>
        <w:tabs>
          <w:tab w:leader="none" w:pos="19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1,121,600</w:t>
      </w:r>
    </w:p>
    <w:p>
      <w:pPr>
        <w:spacing w:after="0" w:line="20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1,460,500</w:t>
      </w:r>
    </w:p>
    <w:p>
      <w:pPr>
        <w:ind w:left="320"/>
        <w:spacing w:after="0"/>
        <w:rPr>
          <w:sz w:val="20"/>
          <w:szCs w:val="20"/>
          <w:color w:val="auto"/>
        </w:rPr>
      </w:pPr>
      <w:r>
        <w:rPr>
          <w:rFonts w:ascii="Courier New" w:cs="Courier New" w:eastAsia="Courier New" w:hAnsi="Courier New"/>
          <w:sz w:val="18"/>
          <w:szCs w:val="18"/>
          <w:color w:val="auto"/>
        </w:rPr>
        <w:t>PERSON</w:t>
      </w:r>
    </w:p>
    <w:p>
      <w:pPr>
        <w:ind w:left="320"/>
        <w:spacing w:after="0" w:line="237" w:lineRule="auto"/>
        <w:rPr>
          <w:sz w:val="20"/>
          <w:szCs w:val="20"/>
          <w:color w:val="auto"/>
        </w:rPr>
      </w:pPr>
      <w:r>
        <w:rPr>
          <w:rFonts w:ascii="Courier New" w:cs="Courier New" w:eastAsia="Courier New" w:hAnsi="Courier New"/>
          <w:sz w:val="18"/>
          <w:szCs w:val="18"/>
          <w:color w:val="auto"/>
        </w:rPr>
        <w:t>WITH:</w:t>
      </w:r>
    </w:p>
    <w:p>
      <w:pPr>
        <w:spacing w:after="0" w:line="207" w:lineRule="exact"/>
        <w:rPr>
          <w:sz w:val="20"/>
          <w:szCs w:val="20"/>
          <w:color w:val="auto"/>
        </w:rPr>
      </w:pPr>
    </w:p>
    <w:p>
      <w:pPr>
        <w:ind w:left="1900" w:right="5779" w:hanging="417"/>
        <w:spacing w:after="0" w:line="470" w:lineRule="auto"/>
        <w:tabs>
          <w:tab w:leader="none" w:pos="19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40" w:right="2739" w:hanging="427"/>
        <w:spacing w:after="0" w:line="470"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1,460,500 Beneficial ownership disclaimed pursuant to Rule 13d-4</w:t>
      </w:r>
    </w:p>
    <w:p>
      <w:pPr>
        <w:spacing w:after="0" w:line="214" w:lineRule="exact"/>
        <w:rPr>
          <w:sz w:val="20"/>
          <w:szCs w:val="20"/>
          <w:color w:val="auto"/>
        </w:rPr>
      </w:pPr>
    </w:p>
    <w:p>
      <w:pPr>
        <w:ind w:left="540" w:right="2519" w:hanging="427"/>
        <w:spacing w:after="0" w:line="235"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5.0%</w:t>
      </w:r>
    </w:p>
    <w:p>
      <w:pPr>
        <w:spacing w:after="0" w:line="214"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BK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810186106</w:t>
      </w:r>
      <w:r>
        <w:rPr>
          <w:sz w:val="20"/>
          <w:szCs w:val="20"/>
          <w:color w:val="auto"/>
        </w:rPr>
        <w:tab/>
      </w:r>
      <w:r>
        <w:rPr>
          <w:rFonts w:ascii="Courier New" w:cs="Courier New" w:eastAsia="Courier New" w:hAnsi="Courier New"/>
          <w:sz w:val="16"/>
          <w:szCs w:val="16"/>
          <w:color w:val="auto"/>
        </w:rPr>
        <w:t>Page 3 of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The Scotts Company</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14111 Scottslawn Road</w:t>
      </w:r>
    </w:p>
    <w:p>
      <w:pPr>
        <w:ind w:left="740"/>
        <w:spacing w:after="0"/>
        <w:rPr>
          <w:sz w:val="20"/>
          <w:szCs w:val="20"/>
          <w:color w:val="auto"/>
        </w:rPr>
      </w:pPr>
      <w:r>
        <w:rPr>
          <w:rFonts w:ascii="Courier New" w:cs="Courier New" w:eastAsia="Courier New" w:hAnsi="Courier New"/>
          <w:sz w:val="18"/>
          <w:szCs w:val="18"/>
          <w:color w:val="auto"/>
        </w:rPr>
        <w:t>Marysville, OH 43041</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4" w:lineRule="exact"/>
        <w:rPr>
          <w:sz w:val="20"/>
          <w:szCs w:val="20"/>
          <w:color w:val="auto"/>
        </w:rPr>
      </w:pPr>
    </w:p>
    <w:p>
      <w:pPr>
        <w:ind w:left="740" w:right="3159"/>
        <w:spacing w:after="0" w:line="235" w:lineRule="auto"/>
        <w:rPr>
          <w:sz w:val="20"/>
          <w:szCs w:val="20"/>
          <w:color w:val="auto"/>
        </w:rPr>
      </w:pPr>
      <w:r>
        <w:rPr>
          <w:rFonts w:ascii="Courier New" w:cs="Courier New" w:eastAsia="Courier New" w:hAnsi="Courier New"/>
          <w:sz w:val="18"/>
          <w:szCs w:val="18"/>
          <w:color w:val="auto"/>
        </w:rPr>
        <w:t>Capital Group International, Inc. and Capital Guardian Trust Company</w:t>
      </w:r>
    </w:p>
    <w:p>
      <w:pPr>
        <w:spacing w:after="0" w:line="208" w:lineRule="exact"/>
        <w:rPr>
          <w:sz w:val="20"/>
          <w:szCs w:val="20"/>
          <w:color w:val="auto"/>
        </w:rPr>
      </w:pPr>
    </w:p>
    <w:p>
      <w:pPr>
        <w:ind w:left="740" w:right="3779" w:hanging="736"/>
        <w:spacing w:after="0" w:line="235" w:lineRule="auto"/>
        <w:rPr>
          <w:sz w:val="20"/>
          <w:szCs w:val="20"/>
          <w:color w:val="auto"/>
        </w:rPr>
      </w:pPr>
      <w:r>
        <w:rPr>
          <w:rFonts w:ascii="Courier New" w:cs="Courier New" w:eastAsia="Courier New" w:hAnsi="Courier New"/>
          <w:sz w:val="18"/>
          <w:szCs w:val="18"/>
          <w:color w:val="auto"/>
        </w:rPr>
        <w:t>Item 2(b)</w:t>
      </w:r>
      <w:r>
        <w:rPr>
          <w:sz w:val="20"/>
          <w:szCs w:val="20"/>
          <w:color w:val="auto"/>
        </w:rPr>
        <w:t xml:space="preserve"> </w:t>
      </w:r>
      <w:r>
        <w:rPr>
          <w:rFonts w:ascii="Courier New" w:cs="Courier New" w:eastAsia="Courier New" w:hAnsi="Courier New"/>
          <w:sz w:val="18"/>
          <w:szCs w:val="18"/>
          <w:color w:val="auto"/>
        </w:rPr>
        <w:t>Address or principal business office or, if none, residence:</w:t>
      </w:r>
    </w:p>
    <w:p>
      <w:pPr>
        <w:ind w:left="740"/>
        <w:spacing w:after="0"/>
        <w:rPr>
          <w:sz w:val="20"/>
          <w:szCs w:val="20"/>
          <w:color w:val="auto"/>
        </w:rPr>
      </w:pPr>
      <w:r>
        <w:rPr>
          <w:rFonts w:ascii="Courier New" w:cs="Courier New" w:eastAsia="Courier New" w:hAnsi="Courier New"/>
          <w:sz w:val="18"/>
          <w:szCs w:val="18"/>
          <w:color w:val="auto"/>
        </w:rPr>
        <w:t>11100 Santa Monica Blvd.</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90025</w:t>
      </w:r>
    </w:p>
    <w:p>
      <w:pPr>
        <w:sectPr>
          <w:pgSz w:w="11900" w:h="16838" w:orient="portrait"/>
          <w:cols w:equalWidth="0" w:num="1">
            <w:col w:w="10219"/>
          </w:cols>
          <w:pgMar w:left="240" w:top="136" w:right="1440" w:bottom="0" w:gutter="0" w:footer="0" w:header="0"/>
        </w:sectPr>
      </w:pPr>
    </w:p>
    <w:bookmarkStart w:id="3" w:name="page4"/>
    <w:bookmarkEnd w:id="3"/>
    <w:p>
      <w:pPr>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No.:</w:t>
      </w:r>
    </w:p>
    <w:p>
      <w:pPr>
        <w:ind w:left="740"/>
        <w:spacing w:after="0" w:line="238" w:lineRule="auto"/>
        <w:rPr>
          <w:sz w:val="20"/>
          <w:szCs w:val="20"/>
          <w:color w:val="auto"/>
        </w:rPr>
      </w:pPr>
      <w:r>
        <w:rPr>
          <w:rFonts w:ascii="Courier New" w:cs="Courier New" w:eastAsia="Courier New" w:hAnsi="Courier New"/>
          <w:sz w:val="18"/>
          <w:szCs w:val="18"/>
          <w:color w:val="auto"/>
        </w:rPr>
        <w:t>810186106</w:t>
      </w:r>
    </w:p>
    <w:p>
      <w:pPr>
        <w:spacing w:after="0" w:line="207" w:lineRule="exact"/>
        <w:rPr>
          <w:sz w:val="20"/>
          <w:szCs w:val="20"/>
          <w:color w:val="auto"/>
        </w:rPr>
      </w:pPr>
    </w:p>
    <w:p>
      <w:pPr>
        <w:jc w:val="right"/>
        <w:ind w:right="2939"/>
        <w:spacing w:after="0" w:line="235" w:lineRule="auto"/>
        <w:rPr>
          <w:sz w:val="20"/>
          <w:szCs w:val="20"/>
          <w:color w:val="auto"/>
        </w:rPr>
      </w:pPr>
      <w:r>
        <w:rPr>
          <w:rFonts w:ascii="Courier New" w:cs="Courier New" w:eastAsia="Courier New" w:hAnsi="Courier New"/>
          <w:sz w:val="18"/>
          <w:szCs w:val="18"/>
          <w:color w:val="auto"/>
        </w:rPr>
        <w:t>Item 3   If this statement is filed pursuant to sections 240.13d-1(b) or 240.13d-2(b) or (c), check whether the person filings is a:</w:t>
      </w:r>
    </w:p>
    <w:p>
      <w:pPr>
        <w:spacing w:after="0" w:line="6" w:lineRule="exact"/>
        <w:rPr>
          <w:sz w:val="20"/>
          <w:szCs w:val="20"/>
          <w:color w:val="auto"/>
        </w:rPr>
      </w:pPr>
    </w:p>
    <w:p>
      <w:pPr>
        <w:ind w:left="1280" w:right="3039" w:hanging="535"/>
        <w:spacing w:after="0" w:line="235" w:lineRule="auto"/>
        <w:tabs>
          <w:tab w:leader="none" w:pos="1385"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3(a)(6) of the Act (15 U.S.C. 78c).</w:t>
      </w:r>
    </w:p>
    <w:p>
      <w:pPr>
        <w:spacing w:after="0" w:line="6" w:lineRule="exact"/>
        <w:rPr>
          <w:sz w:val="20"/>
          <w:szCs w:val="20"/>
          <w:color w:val="auto"/>
        </w:rPr>
      </w:pPr>
    </w:p>
    <w:p>
      <w:pPr>
        <w:ind w:left="1280" w:right="3479" w:hanging="535"/>
        <w:spacing w:after="0" w:line="235" w:lineRule="auto"/>
        <w:tabs>
          <w:tab w:leader="none" w:pos="1385"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pages 2 and 3</w:t>
      </w:r>
    </w:p>
    <w:p>
      <w:pPr>
        <w:spacing w:after="0" w:line="201" w:lineRule="exact"/>
        <w:rPr>
          <w:sz w:val="20"/>
          <w:szCs w:val="20"/>
          <w:color w:val="auto"/>
        </w:rPr>
      </w:pPr>
    </w:p>
    <w:p>
      <w:pPr>
        <w:ind w:left="1480" w:hanging="735"/>
        <w:spacing w:after="0"/>
        <w:tabs>
          <w:tab w:leader="none" w:pos="14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810186106</w:t>
      </w:r>
      <w:r>
        <w:rPr>
          <w:sz w:val="20"/>
          <w:szCs w:val="20"/>
          <w:color w:val="auto"/>
        </w:rPr>
        <w:tab/>
      </w:r>
      <w:r>
        <w:rPr>
          <w:rFonts w:ascii="Courier New" w:cs="Courier New" w:eastAsia="Courier New" w:hAnsi="Courier New"/>
          <w:sz w:val="16"/>
          <w:szCs w:val="16"/>
          <w:color w:val="auto"/>
        </w:rPr>
        <w:t>Page 4 of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40" w:right="2839"/>
        <w:spacing w:after="0" w:line="270" w:lineRule="auto"/>
        <w:rPr>
          <w:sz w:val="20"/>
          <w:szCs w:val="20"/>
          <w:color w:val="auto"/>
        </w:rPr>
      </w:pPr>
      <w:r>
        <w:rPr>
          <w:rFonts w:ascii="Courier New" w:cs="Courier New" w:eastAsia="Courier New" w:hAnsi="Courier New"/>
          <w:sz w:val="16"/>
          <w:szCs w:val="16"/>
          <w:color w:val="auto"/>
        </w:rPr>
        <w:t>Capital Group International, Inc. is the parent holding company of a group of investment management companies that hold investment power and, in some cases, voting power over the securities reported in this Schedule 13G. The investment management companies, which include a "bank" as defined in Section 3(a)6 of the Securities Exchange Act of 1934 (the "Act") and several investment advisers registered under Section 203 of the Investment Advisers Act of 1940, provide investment advisory and management services for their respective clients which include registered investment companies and institutional accounts. Capital Group International, Inc. does not have investment power or voting power over any of the securities reported herein; however, Capital Group International, Inc. may be deemed to "beneficially own" such securities by virtue of Rule 13d-3 under the Act.</w:t>
      </w:r>
    </w:p>
    <w:p>
      <w:pPr>
        <w:spacing w:after="0" w:line="387" w:lineRule="exact"/>
        <w:rPr>
          <w:sz w:val="20"/>
          <w:szCs w:val="20"/>
          <w:color w:val="auto"/>
        </w:rPr>
      </w:pPr>
    </w:p>
    <w:p>
      <w:pPr>
        <w:ind w:left="740" w:right="2939"/>
        <w:spacing w:after="0" w:line="237" w:lineRule="auto"/>
        <w:rPr>
          <w:sz w:val="20"/>
          <w:szCs w:val="20"/>
          <w:color w:val="auto"/>
        </w:rPr>
      </w:pPr>
      <w:r>
        <w:rPr>
          <w:rFonts w:ascii="Courier New" w:cs="Courier New" w:eastAsia="Courier New" w:hAnsi="Courier New"/>
          <w:sz w:val="18"/>
          <w:szCs w:val="18"/>
          <w:color w:val="auto"/>
        </w:rPr>
        <w:t>Capital Guardian Trust Company, a bank as defined in Section 3(a)6 of the Act is deemed to be the beneficial owner of 1,460,500 shares or 5.0% of the 28,999,727 shares of Common Stock believed to be outstanding as a result of its serving as the investment manager of various institutional accounts.</w:t>
      </w:r>
    </w:p>
    <w:p>
      <w:pPr>
        <w:spacing w:after="0" w:line="209"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pacing w:after="0" w:line="207" w:lineRule="exact"/>
        <w:rPr>
          <w:sz w:val="20"/>
          <w:szCs w:val="20"/>
          <w:color w:val="auto"/>
        </w:rPr>
      </w:pPr>
    </w:p>
    <w:p>
      <w:pPr>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0"/>
          <w:szCs w:val="20"/>
          <w:color w:val="auto"/>
        </w:rPr>
      </w:pPr>
    </w:p>
    <w:p>
      <w:pPr>
        <w:ind w:left="1060" w:right="2939"/>
        <w:spacing w:after="0" w:line="236" w:lineRule="auto"/>
        <w:rPr>
          <w:sz w:val="20"/>
          <w:szCs w:val="20"/>
          <w:color w:val="auto"/>
        </w:rPr>
      </w:pPr>
      <w:r>
        <w:rPr>
          <w:rFonts w:ascii="Courier New" w:cs="Courier New" w:eastAsia="Courier New" w:hAnsi="Courier New"/>
          <w:sz w:val="18"/>
          <w:szCs w:val="18"/>
          <w:color w:val="auto"/>
        </w:rPr>
        <w:t>Capital Guardian Trust Company is a bank as defined in Section 3(a)(6) of the Act and a wholly owned subsidiary of Capital Group International, Inc.</w:t>
      </w:r>
    </w:p>
    <w:p>
      <w:pPr>
        <w:sectPr>
          <w:pgSz w:w="11900" w:h="16838" w:orient="portrait"/>
          <w:cols w:equalWidth="0" w:num="1">
            <w:col w:w="10219"/>
          </w:cols>
          <w:pgMar w:left="240" w:top="339" w:right="1440" w:bottom="0" w:gutter="0" w:footer="0" w:header="0"/>
        </w:sectPr>
      </w:pPr>
    </w:p>
    <w:bookmarkStart w:id="4" w:name="page5"/>
    <w:bookmarkEnd w:id="4"/>
    <w:p>
      <w:pPr>
        <w:ind w:left="74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left="1060" w:right="2939"/>
        <w:spacing w:after="0" w:line="237" w:lineRule="auto"/>
        <w:rPr>
          <w:sz w:val="20"/>
          <w:szCs w:val="20"/>
          <w:color w:val="auto"/>
        </w:rPr>
      </w:pPr>
      <w:r>
        <w:rPr>
          <w:rFonts w:ascii="Courier New" w:cs="Courier New" w:eastAsia="Courier New" w:hAnsi="Courier New"/>
          <w:sz w:val="18"/>
          <w:szCs w:val="18"/>
          <w:color w:val="auto"/>
        </w:rPr>
        <w:t>Capital International Research and Management, Inc. dba Capital International, Inc. is an investment adviser registered under Section 203 of the Investment Advisers Act of 1940 and is a wholly owned subsidiary of Capital Group International, Inc.</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940" w:val="left"/>
          <w:tab w:leader="none" w:pos="44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810186106</w:t>
      </w:r>
      <w:r>
        <w:rPr>
          <w:sz w:val="20"/>
          <w:szCs w:val="20"/>
          <w:color w:val="auto"/>
        </w:rPr>
        <w:tab/>
      </w:r>
      <w:r>
        <w:rPr>
          <w:rFonts w:ascii="Courier New" w:cs="Courier New" w:eastAsia="Courier New" w:hAnsi="Courier New"/>
          <w:sz w:val="16"/>
          <w:szCs w:val="16"/>
          <w:color w:val="auto"/>
        </w:rPr>
        <w:t>Page 5 of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11, 2002</w:t>
      </w:r>
    </w:p>
    <w:p>
      <w:pPr>
        <w:spacing w:after="0" w:line="200" w:lineRule="exact"/>
        <w:rPr>
          <w:sz w:val="20"/>
          <w:szCs w:val="20"/>
          <w:color w:val="auto"/>
        </w:rPr>
      </w:pPr>
    </w:p>
    <w:p>
      <w:pPr>
        <w:spacing w:after="0" w:line="204"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David I. Fisher, Chairman</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Capital Group International, Inc.</w:t>
      </w:r>
    </w:p>
    <w:p>
      <w:pPr>
        <w:spacing w:after="0" w:line="200" w:lineRule="exact"/>
        <w:rPr>
          <w:sz w:val="20"/>
          <w:szCs w:val="20"/>
          <w:color w:val="auto"/>
        </w:rPr>
      </w:pPr>
    </w:p>
    <w:p>
      <w:pPr>
        <w:spacing w:after="0" w:line="204"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11, 2002</w:t>
      </w:r>
    </w:p>
    <w:p>
      <w:pPr>
        <w:spacing w:after="0" w:line="200" w:lineRule="exact"/>
        <w:rPr>
          <w:sz w:val="20"/>
          <w:szCs w:val="20"/>
          <w:color w:val="auto"/>
        </w:rPr>
      </w:pPr>
    </w:p>
    <w:p>
      <w:pPr>
        <w:spacing w:after="0" w:line="204"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David I. Fisher, Chairman</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Capital Guardian Trust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Kristine M. Nishiyama</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Kristine M. Nishiyama</w:t>
      </w:r>
    </w:p>
    <w:p>
      <w:pPr>
        <w:ind w:left="158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1580" w:right="2939"/>
        <w:spacing w:after="0" w:line="273" w:lineRule="auto"/>
        <w:rPr>
          <w:sz w:val="20"/>
          <w:szCs w:val="20"/>
          <w:color w:val="auto"/>
        </w:rPr>
      </w:pPr>
      <w:r>
        <w:rPr>
          <w:rFonts w:ascii="Courier New" w:cs="Courier New" w:eastAsia="Courier New" w:hAnsi="Courier New"/>
          <w:sz w:val="16"/>
          <w:szCs w:val="16"/>
          <w:color w:val="auto"/>
        </w:rPr>
        <w:t>Signed pursuant to a Power of Attorney dated December 19, 2000 included as an Exhibit to Schedule 13G filed with the Securities and Exchange Commission by Capital Group International, Inc. on February 9, 2001 with respect to Abitibi-Consolidated Inc.</w:t>
      </w:r>
    </w:p>
    <w:p>
      <w:pPr>
        <w:sectPr>
          <w:pgSz w:w="11900" w:h="16838" w:orient="portrait"/>
          <w:cols w:equalWidth="0" w:num="1">
            <w:col w:w="10219"/>
          </w:cols>
          <w:pgMar w:left="240" w:top="136" w:right="1440"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810186106</w:t>
      </w:r>
      <w:r>
        <w:rPr>
          <w:sz w:val="20"/>
          <w:szCs w:val="20"/>
          <w:color w:val="auto"/>
        </w:rPr>
        <w:tab/>
      </w:r>
      <w:r>
        <w:rPr>
          <w:rFonts w:ascii="Courier New" w:cs="Courier New" w:eastAsia="Courier New" w:hAnsi="Courier New"/>
          <w:sz w:val="16"/>
          <w:szCs w:val="16"/>
          <w:color w:val="auto"/>
        </w:rPr>
        <w:t>Page 6 of 7</w:t>
      </w:r>
    </w:p>
    <w:p>
      <w:pPr>
        <w:spacing w:after="0" w:line="200" w:lineRule="exact"/>
        <w:rPr>
          <w:sz w:val="20"/>
          <w:szCs w:val="20"/>
          <w:color w:val="auto"/>
        </w:rPr>
      </w:pPr>
    </w:p>
    <w:p>
      <w:pPr>
        <w:spacing w:after="0" w:line="20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Los Angeles, CA</w:t>
      </w:r>
    </w:p>
    <w:p>
      <w:pPr>
        <w:jc w:val="center"/>
        <w:ind w:right="2739"/>
        <w:spacing w:after="0" w:line="238" w:lineRule="auto"/>
        <w:rPr>
          <w:sz w:val="20"/>
          <w:szCs w:val="20"/>
          <w:color w:val="auto"/>
        </w:rPr>
      </w:pPr>
      <w:r>
        <w:rPr>
          <w:rFonts w:ascii="Courier New" w:cs="Courier New" w:eastAsia="Courier New" w:hAnsi="Courier New"/>
          <w:sz w:val="18"/>
          <w:szCs w:val="18"/>
          <w:color w:val="auto"/>
        </w:rPr>
        <w:t>February 11, 2002</w:t>
      </w:r>
    </w:p>
    <w:p>
      <w:pPr>
        <w:spacing w:after="0" w:line="207" w:lineRule="exact"/>
        <w:rPr>
          <w:sz w:val="20"/>
          <w:szCs w:val="20"/>
          <w:color w:val="auto"/>
        </w:rPr>
      </w:pPr>
    </w:p>
    <w:p>
      <w:pPr>
        <w:ind w:right="2939" w:firstLine="211"/>
        <w:spacing w:after="0" w:line="237" w:lineRule="auto"/>
        <w:rPr>
          <w:sz w:val="20"/>
          <w:szCs w:val="20"/>
          <w:color w:val="auto"/>
        </w:rPr>
      </w:pPr>
      <w:r>
        <w:rPr>
          <w:rFonts w:ascii="Courier New" w:cs="Courier New" w:eastAsia="Courier New" w:hAnsi="Courier New"/>
          <w:sz w:val="18"/>
          <w:szCs w:val="18"/>
          <w:color w:val="auto"/>
        </w:rPr>
        <w:t>Capital Group International, Inc. ("CGII") and Capital Guardian Trust Company ("CGTC") hereby agree to file a joint statement on Schedule 13G under the Securities Exchange Act of 1934 (the "Act") in connection with their beneficial ownership of Common Stock issued by The Scotts Company.</w:t>
      </w:r>
    </w:p>
    <w:p>
      <w:pPr>
        <w:spacing w:after="0" w:line="209" w:lineRule="exact"/>
        <w:rPr>
          <w:sz w:val="20"/>
          <w:szCs w:val="20"/>
          <w:color w:val="auto"/>
        </w:rPr>
      </w:pPr>
    </w:p>
    <w:p>
      <w:pPr>
        <w:ind w:right="2939" w:firstLine="211"/>
        <w:spacing w:after="0" w:line="235" w:lineRule="auto"/>
        <w:rPr>
          <w:sz w:val="20"/>
          <w:szCs w:val="20"/>
          <w:color w:val="auto"/>
        </w:rPr>
      </w:pPr>
      <w:r>
        <w:rPr>
          <w:rFonts w:ascii="Courier New" w:cs="Courier New" w:eastAsia="Courier New" w:hAnsi="Courier New"/>
          <w:sz w:val="18"/>
          <w:szCs w:val="18"/>
          <w:color w:val="auto"/>
        </w:rPr>
        <w:t>CGII and CGTC state that they are each entitled to individually use Schedule 13G pursuant to Rule 13d-1(c) of the Act.</w:t>
      </w:r>
    </w:p>
    <w:p>
      <w:pPr>
        <w:spacing w:after="0" w:line="208" w:lineRule="exact"/>
        <w:rPr>
          <w:sz w:val="20"/>
          <w:szCs w:val="20"/>
          <w:color w:val="auto"/>
        </w:rPr>
      </w:pPr>
    </w:p>
    <w:p>
      <w:pPr>
        <w:ind w:right="2939" w:firstLine="211"/>
        <w:spacing w:after="0" w:line="237" w:lineRule="auto"/>
        <w:rPr>
          <w:sz w:val="20"/>
          <w:szCs w:val="20"/>
          <w:color w:val="auto"/>
        </w:rPr>
      </w:pPr>
      <w:r>
        <w:rPr>
          <w:rFonts w:ascii="Courier New" w:cs="Courier New" w:eastAsia="Courier New" w:hAnsi="Courier New"/>
          <w:sz w:val="18"/>
          <w:szCs w:val="18"/>
          <w:color w:val="auto"/>
        </w:rPr>
        <w:t>CGII and CGTC are each responsible for the timely filing of the statement and any amendments thereto, and for the completeness and accuracy of the information concerning each of them contained therein but are not responsible for the completeness or accuracy of the information concerning the others.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CAPITAL GROUP INTERNATIONAL, INC.</w:t>
      </w:r>
    </w:p>
    <w:p>
      <w:pPr>
        <w:spacing w:after="0" w:line="201" w:lineRule="exact"/>
        <w:rPr>
          <w:sz w:val="20"/>
          <w:szCs w:val="20"/>
          <w:color w:val="auto"/>
        </w:rPr>
      </w:pPr>
    </w:p>
    <w:p>
      <w:pPr>
        <w:ind w:left="180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David I. Fisher, Chairman</w:t>
      </w:r>
    </w:p>
    <w:p>
      <w:pPr>
        <w:ind w:left="3700"/>
        <w:spacing w:after="0" w:line="238" w:lineRule="auto"/>
        <w:rPr>
          <w:sz w:val="20"/>
          <w:szCs w:val="20"/>
          <w:color w:val="auto"/>
        </w:rPr>
      </w:pPr>
      <w:r>
        <w:rPr>
          <w:rFonts w:ascii="Courier New" w:cs="Courier New" w:eastAsia="Courier New" w:hAnsi="Courier New"/>
          <w:sz w:val="18"/>
          <w:szCs w:val="18"/>
          <w:color w:val="auto"/>
        </w:rPr>
        <w:t>Capital Group International,</w:t>
      </w:r>
    </w:p>
    <w:p>
      <w:pPr>
        <w:ind w:left="3700"/>
        <w:spacing w:after="0"/>
        <w:rPr>
          <w:sz w:val="20"/>
          <w:szCs w:val="20"/>
          <w:color w:val="auto"/>
        </w:rPr>
      </w:pPr>
      <w:r>
        <w:rPr>
          <w:rFonts w:ascii="Courier New" w:cs="Courier New" w:eastAsia="Courier New" w:hAnsi="Courier New"/>
          <w:sz w:val="18"/>
          <w:szCs w:val="18"/>
          <w:color w:val="auto"/>
        </w:rPr>
        <w:t>Inc.</w:t>
      </w:r>
    </w:p>
    <w:p>
      <w:pPr>
        <w:spacing w:after="0" w:line="200" w:lineRule="exact"/>
        <w:rPr>
          <w:sz w:val="20"/>
          <w:szCs w:val="20"/>
          <w:color w:val="auto"/>
        </w:rPr>
      </w:pP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CAPITAL GUARDIAN TRUST COMPANY</w:t>
      </w:r>
    </w:p>
    <w:p>
      <w:pPr>
        <w:spacing w:after="0" w:line="201" w:lineRule="exact"/>
        <w:rPr>
          <w:sz w:val="20"/>
          <w:szCs w:val="20"/>
          <w:color w:val="auto"/>
        </w:rPr>
      </w:pPr>
    </w:p>
    <w:p>
      <w:pPr>
        <w:ind w:left="180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David I. Fisher, Chairman</w:t>
      </w:r>
    </w:p>
    <w:p>
      <w:pPr>
        <w:ind w:left="3700"/>
        <w:spacing w:after="0" w:line="238" w:lineRule="auto"/>
        <w:rPr>
          <w:sz w:val="20"/>
          <w:szCs w:val="20"/>
          <w:color w:val="auto"/>
        </w:rPr>
      </w:pPr>
      <w:r>
        <w:rPr>
          <w:rFonts w:ascii="Courier New" w:cs="Courier New" w:eastAsia="Courier New" w:hAnsi="Courier New"/>
          <w:sz w:val="18"/>
          <w:szCs w:val="18"/>
          <w:color w:val="auto"/>
        </w:rPr>
        <w:t>Capital Guardian Trust Company</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Kristine M. Nishiyama</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Kristine M. Nishiyama</w:t>
      </w:r>
    </w:p>
    <w:p>
      <w:pPr>
        <w:ind w:left="54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540" w:right="2939"/>
        <w:spacing w:after="0" w:line="275" w:lineRule="auto"/>
        <w:rPr>
          <w:sz w:val="20"/>
          <w:szCs w:val="20"/>
          <w:color w:val="auto"/>
        </w:rPr>
      </w:pPr>
      <w:r>
        <w:rPr>
          <w:rFonts w:ascii="Courier New" w:cs="Courier New" w:eastAsia="Courier New" w:hAnsi="Courier New"/>
          <w:sz w:val="16"/>
          <w:szCs w:val="16"/>
          <w:color w:val="auto"/>
        </w:rPr>
        <w:t>Signed pursuant to a Power of Attorney dated December 19, 2000 included as an Exhibit to Schedule 13G filed with the Securities and Exchange Commission by Capital Group International, Inc. on February 9, 2001 with respect to Abitibi-Consolidated Inc.</w:t>
      </w:r>
    </w:p>
    <w:p>
      <w:pPr>
        <w:sectPr>
          <w:pgSz w:w="11900" w:h="16838" w:orient="portrait"/>
          <w:cols w:equalWidth="0" w:num="1">
            <w:col w:w="10219"/>
          </w:cols>
          <w:pgMar w:left="240" w:top="1440" w:right="1440" w:bottom="1440" w:gutter="0" w:footer="0" w:header="0"/>
        </w:sectPr>
      </w:pPr>
    </w:p>
    <w:bookmarkStart w:id="6" w:name="page7"/>
    <w:bookmarkEnd w:id="6"/>
    <w:p>
      <w:pPr>
        <w:spacing w:after="0"/>
        <w:tabs>
          <w:tab w:leader="none" w:pos="6720" w:val="left"/>
        </w:tabs>
        <w:rPr>
          <w:sz w:val="20"/>
          <w:szCs w:val="20"/>
          <w:color w:val="auto"/>
        </w:rPr>
      </w:pPr>
      <w:r>
        <w:rPr>
          <w:rFonts w:ascii="Courier New" w:cs="Courier New" w:eastAsia="Courier New" w:hAnsi="Courier New"/>
          <w:sz w:val="18"/>
          <w:szCs w:val="18"/>
          <w:color w:val="auto"/>
        </w:rPr>
        <w:t>CUSIP: 810186106</w:t>
      </w:r>
      <w:r>
        <w:rPr>
          <w:sz w:val="20"/>
          <w:szCs w:val="20"/>
          <w:color w:val="auto"/>
        </w:rPr>
        <w:tab/>
      </w:r>
      <w:r>
        <w:rPr>
          <w:rFonts w:ascii="Courier New" w:cs="Courier New" w:eastAsia="Courier New" w:hAnsi="Courier New"/>
          <w:sz w:val="16"/>
          <w:szCs w:val="16"/>
          <w:color w:val="auto"/>
        </w:rPr>
        <w:t>Page 7 of 7</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bullet"/>
      <w:start w:val="1"/>
    </w:lvl>
  </w:abstractNum>
  <w:abstractNum w:abstractNumId="2">
    <w:nsid w:val="1F16E9E8"/>
    <w:multiLevelType w:val="hybridMultilevel"/>
    <w:lvl w:ilvl="0">
      <w:lvlJc w:val="left"/>
      <w:lvlText w:val="2"/>
      <w:numFmt w:val="bullet"/>
      <w:start w:val="1"/>
    </w:lvl>
  </w:abstractNum>
  <w:abstractNum w:abstractNumId="3">
    <w:nsid w:val="1190CDE7"/>
    <w:multiLevelType w:val="hybridMultilevel"/>
    <w:lvl w:ilvl="0">
      <w:lvlJc w:val="left"/>
      <w:lvlText w:val="4"/>
      <w:numFmt w:val="bullet"/>
      <w:start w:val="1"/>
    </w:lvl>
  </w:abstractNum>
  <w:abstractNum w:abstractNumId="4">
    <w:nsid w:val="66EF438D"/>
    <w:multiLevelType w:val="hybridMultilevel"/>
    <w:lvl w:ilvl="0">
      <w:lvlJc w:val="left"/>
      <w:lvlText w:val="5"/>
      <w:numFmt w:val="bullet"/>
      <w:start w:val="1"/>
    </w:lvl>
  </w:abstractNum>
  <w:abstractNum w:abstractNumId="5">
    <w:nsid w:val="140E0F76"/>
    <w:multiLevelType w:val="hybridMultilevel"/>
    <w:lvl w:ilvl="0">
      <w:lvlJc w:val="left"/>
      <w:lvlText w:val="8"/>
      <w:numFmt w:val="bullet"/>
      <w:start w:val="1"/>
    </w:lvl>
  </w:abstractNum>
  <w:abstractNum w:abstractNumId="6">
    <w:nsid w:val="3352255A"/>
    <w:multiLevelType w:val="hybridMultilevel"/>
    <w:lvl w:ilvl="0">
      <w:lvlJc w:val="left"/>
      <w:lvlText w:val="9"/>
      <w:numFmt w:val="bullet"/>
      <w:start w:val="1"/>
    </w:lvl>
  </w:abstractNum>
  <w:abstractNum w:abstractNumId="7">
    <w:nsid w:val="109CF92E"/>
    <w:multiLevelType w:val="hybridMultilevel"/>
    <w:lvl w:ilvl="0">
      <w:lvlJc w:val="left"/>
      <w:lvlText w:val="%1"/>
      <w:numFmt w:val="decimal"/>
      <w:start w:val="10"/>
    </w:lvl>
  </w:abstractNum>
  <w:abstractNum w:abstractNumId="8">
    <w:nsid w:val="DED7263"/>
    <w:multiLevelType w:val="hybridMultilevel"/>
    <w:lvl w:ilvl="0">
      <w:lvlJc w:val="left"/>
      <w:lvlText w:val="1"/>
      <w:numFmt w:val="bullet"/>
      <w:start w:val="1"/>
    </w:lvl>
  </w:abstractNum>
  <w:abstractNum w:abstractNumId="9">
    <w:nsid w:val="7FDCC233"/>
    <w:multiLevelType w:val="hybridMultilevel"/>
    <w:lvl w:ilvl="0">
      <w:lvlJc w:val="left"/>
      <w:lvlText w:val="2"/>
      <w:numFmt w:val="bullet"/>
      <w:start w:val="1"/>
    </w:lvl>
  </w:abstractNum>
  <w:abstractNum w:abstractNumId="10">
    <w:nsid w:val="1BEFD79F"/>
    <w:multiLevelType w:val="hybridMultilevel"/>
    <w:lvl w:ilvl="0">
      <w:lvlJc w:val="left"/>
      <w:lvlText w:val="3"/>
      <w:numFmt w:val="bullet"/>
      <w:start w:val="1"/>
    </w:lvl>
  </w:abstractNum>
  <w:abstractNum w:abstractNumId="11">
    <w:nsid w:val="41A7C4C9"/>
    <w:multiLevelType w:val="hybridMultilevel"/>
    <w:lvl w:ilvl="0">
      <w:lvlJc w:val="left"/>
      <w:lvlText w:val="5"/>
      <w:numFmt w:val="bullet"/>
      <w:start w:val="1"/>
    </w:lvl>
  </w:abstractNum>
  <w:abstractNum w:abstractNumId="12">
    <w:nsid w:val="6B68079A"/>
    <w:multiLevelType w:val="hybridMultilevel"/>
    <w:lvl w:ilvl="0">
      <w:lvlJc w:val="left"/>
      <w:lvlText w:val="8"/>
      <w:numFmt w:val="bullet"/>
      <w:start w:val="1"/>
    </w:lvl>
  </w:abstractNum>
  <w:abstractNum w:abstractNumId="13">
    <w:nsid w:val="4E6AFB66"/>
    <w:multiLevelType w:val="hybridMultilevel"/>
    <w:lvl w:ilvl="0">
      <w:lvlJc w:val="left"/>
      <w:lvlText w:val="9"/>
      <w:numFmt w:val="bullet"/>
      <w:start w:val="1"/>
    </w:lvl>
  </w:abstractNum>
  <w:abstractNum w:abstractNumId="14">
    <w:nsid w:val="25E45D32"/>
    <w:multiLevelType w:val="hybridMultilevel"/>
    <w:lvl w:ilvl="0">
      <w:lvlJc w:val="left"/>
      <w:lvlText w:val="%1"/>
      <w:numFmt w:val="decimal"/>
      <w:start w:val="10"/>
    </w:lvl>
  </w:abstractNum>
  <w:abstractNum w:abstractNumId="15">
    <w:nsid w:val="519B500D"/>
    <w:multiLevelType w:val="hybridMultilevel"/>
    <w:lvl w:ilvl="0">
      <w:lvlJc w:val="left"/>
      <w:lvlText w:val="(%1)"/>
      <w:numFmt w:val="lowerLetter"/>
      <w:start w:val="2"/>
    </w:lvl>
  </w:abstractNum>
  <w:abstractNum w:abstractNumId="16">
    <w:nsid w:val="431BD7B7"/>
    <w:multiLevelType w:val="hybridMultilevel"/>
    <w:lvl w:ilvl="0">
      <w:lvlJc w:val="left"/>
      <w:lvlText w:val="(%1)"/>
      <w:numFmt w:val="lowerLetter"/>
      <w:start w:val="7"/>
    </w:lvl>
  </w:abstractNum>
  <w:abstractNum w:abstractNumId="17">
    <w:nsid w:val="3F2DBA31"/>
    <w:multiLevelType w:val="hybridMultilevel"/>
    <w:lvl w:ilvl="0">
      <w:lvlJc w:val="left"/>
      <w:lvlText w:val="(%1)"/>
      <w:numFmt w:val="lowerLetter"/>
      <w:start w:val="1"/>
    </w:lvl>
  </w:abstractNum>
  <w:abstractNum w:abstractNumId="18">
    <w:nsid w:val="7C83E45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2019-12-11T21:22:43Z</dcterms:created>
  <dcterms:modified xsi:type="dcterms:W3CDTF">2019-12-11T21:22:43Z</dcterms:modified>
</cp:coreProperties>
</file>