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Baxter Nathan Eric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02/27/2015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SCOTTS MIRACLE-GRO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SMG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74"/>
        <w:spacing w:after="0" w:line="402" w:lineRule="auto"/>
        <w:rPr>
          <w:sz w:val="20"/>
          <w:szCs w:val="20"/>
          <w:color w:val="auto"/>
        </w:rPr>
      </w:pPr>
      <w:r>
        <w:rPr>
          <w:rFonts w:ascii="Arial" w:cs="Arial" w:eastAsia="Arial" w:hAnsi="Arial"/>
          <w:sz w:val="16"/>
          <w:szCs w:val="16"/>
          <w:color w:val="0000FF"/>
        </w:rPr>
        <w:t>C/O HAGEDORN PARTNERSHIP, L.P. 800 PORT WASHINGTON BOULEVARD</w:t>
      </w:r>
    </w:p>
    <w:p>
      <w:pPr>
        <w:spacing w:after="0" w:line="16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1694"/>
        <w:spacing w:after="0"/>
        <w:rPr>
          <w:sz w:val="20"/>
          <w:szCs w:val="20"/>
          <w:color w:val="auto"/>
        </w:rPr>
      </w:pPr>
      <w:r>
        <w:rPr>
          <w:rFonts w:ascii="Arial" w:cs="Arial" w:eastAsia="Arial" w:hAnsi="Arial"/>
          <w:sz w:val="34"/>
          <w:szCs w:val="34"/>
          <w:color w:val="0000FF"/>
          <w:vertAlign w:val="superscript"/>
        </w:rPr>
        <w:t>PORT</w:t>
      </w:r>
      <w:r>
        <w:rPr>
          <w:rFonts w:ascii="Arial" w:cs="Arial" w:eastAsia="Arial" w:hAnsi="Arial"/>
          <w:sz w:val="17"/>
          <w:szCs w:val="17"/>
          <w:color w:val="0000FF"/>
        </w:rPr>
        <w:t xml:space="preserve"> NY 11050 WASHINGTON</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1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7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47"/>
              <w:spacing w:after="0"/>
              <w:rPr>
                <w:sz w:val="20"/>
                <w:szCs w:val="20"/>
                <w:color w:val="auto"/>
              </w:rPr>
            </w:pPr>
            <w:r>
              <w:rPr>
                <w:rFonts w:ascii="Arial" w:cs="Arial" w:eastAsia="Arial" w:hAnsi="Arial"/>
                <w:sz w:val="18"/>
                <w:szCs w:val="18"/>
                <w:color w:val="0000FF"/>
              </w:rPr>
              <w:t>42,504</w:t>
            </w:r>
          </w:p>
        </w:tc>
        <w:tc>
          <w:tcPr>
            <w:tcW w:w="1120" w:type="dxa"/>
            <w:vAlign w:val="bottom"/>
            <w:tcBorders>
              <w:bottom w:val="single" w:sz="8" w:color="2C2C2C"/>
            </w:tcBorders>
          </w:tcPr>
          <w:p>
            <w:pPr>
              <w:ind w:left="92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6"/>
              </w:rPr>
              <w:t>See Footnote</w:t>
            </w:r>
            <w:r>
              <w:rPr>
                <w:rFonts w:ascii="Arial" w:cs="Arial" w:eastAsia="Arial" w:hAnsi="Arial"/>
                <w:sz w:val="22"/>
                <w:szCs w:val="22"/>
                <w:color w:val="008000"/>
                <w:w w:val="96"/>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common shares are directly held by the Hagedorn Partnership, L.P. (the "Partnership"). The Reporting Person is a general partner of the Partnership. The amount of shares reported as beneficially owned represent the aggregate proportionate interest in common shares held by the Partnership of the Reporting Person. The Reporting Person disclaims beneficial ownership of the common shares except to the extent of his pecuniary interest.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Rob McMahon, Attorney-</w:t>
            </w:r>
          </w:p>
        </w:tc>
        <w:tc>
          <w:tcPr>
            <w:tcW w:w="12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09/13/2019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LIMITED POWER OF ATTORNEY FOR</w:t>
      </w:r>
    </w:p>
    <w:p>
      <w:pPr>
        <w:ind w:left="2540"/>
        <w:spacing w:after="0" w:line="238" w:lineRule="auto"/>
        <w:rPr>
          <w:sz w:val="20"/>
          <w:szCs w:val="20"/>
          <w:color w:val="auto"/>
        </w:rPr>
      </w:pPr>
      <w:r>
        <w:rPr>
          <w:rFonts w:ascii="Courier New" w:cs="Courier New" w:eastAsia="Courier New" w:hAnsi="Courier New"/>
          <w:sz w:val="18"/>
          <w:szCs w:val="18"/>
          <w:color w:val="auto"/>
        </w:rPr>
        <w:t>SECTION 16 REPORTING PURPOSES</w:t>
      </w:r>
    </w:p>
    <w:p>
      <w:pPr>
        <w:spacing w:after="0" w:line="207" w:lineRule="exact"/>
        <w:rPr>
          <w:sz w:val="20"/>
          <w:szCs w:val="20"/>
          <w:color w:val="auto"/>
        </w:rPr>
      </w:pPr>
    </w:p>
    <w:p>
      <w:pPr>
        <w:ind w:right="1999" w:firstLine="1686"/>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Katherine Hagedorn Littlefield and Robert McMahon, acting individually, as the undersigned's true and lawful attorney-in-fact, with full power and authority as hereinafter described on behalf of and in the name, place and stead of the undersigned to:</w:t>
      </w:r>
    </w:p>
    <w:p>
      <w:pPr>
        <w:spacing w:after="0" w:line="209" w:lineRule="exact"/>
        <w:rPr>
          <w:sz w:val="20"/>
          <w:szCs w:val="20"/>
          <w:color w:val="auto"/>
        </w:rPr>
      </w:pPr>
    </w:p>
    <w:p>
      <w:pPr>
        <w:ind w:right="1999" w:firstLine="1694"/>
        <w:spacing w:after="0" w:line="271" w:lineRule="auto"/>
        <w:tabs>
          <w:tab w:leader="none" w:pos="252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beneficial owner of securities of The Scotts Miracle-Gro Company (the "Company"), Schedules 13D or Schedules 13G (including amendments thereto and any joint filing agreement pursuant to Rule 13d-1(k)), Forms 3, 4 and 5 and Form 144, in accordance with Section 13(d) and Section 16(a) of the Securities Exchange Act of 1934 and the rules and regulations promulgated thereunder, as amended from time to time (the "Exchange Act") and Rule 144 under the Securities Act of 1933, as amended (the "Securities Act");</w:t>
      </w:r>
    </w:p>
    <w:p>
      <w:pPr>
        <w:spacing w:after="0" w:line="185" w:lineRule="exact"/>
        <w:rPr>
          <w:rFonts w:ascii="Courier New" w:cs="Courier New" w:eastAsia="Courier New" w:hAnsi="Courier New"/>
          <w:sz w:val="16"/>
          <w:szCs w:val="16"/>
          <w:color w:val="auto"/>
        </w:rPr>
      </w:pPr>
    </w:p>
    <w:p>
      <w:pPr>
        <w:ind w:right="2099" w:firstLine="1694"/>
        <w:spacing w:after="0" w:line="237" w:lineRule="auto"/>
        <w:tabs>
          <w:tab w:leader="none" w:pos="2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209" w:lineRule="exact"/>
        <w:rPr>
          <w:rFonts w:ascii="Courier New" w:cs="Courier New" w:eastAsia="Courier New" w:hAnsi="Courier New"/>
          <w:sz w:val="18"/>
          <w:szCs w:val="18"/>
          <w:color w:val="auto"/>
        </w:rPr>
      </w:pPr>
    </w:p>
    <w:p>
      <w:pPr>
        <w:ind w:right="1999" w:firstLine="1694"/>
        <w:spacing w:after="0" w:line="237" w:lineRule="auto"/>
        <w:tabs>
          <w:tab w:leader="none" w:pos="2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prepare, complete and execute any such Schedule 13D, Schedule 13G, Form 144, Form 3, 4 or 5, and any amendments thereto, and timely file such Forms with the United States Securities and Exchange Commission (the "Commission"), the New York Stock Exchange and any stock exchange or similar authority as considered necessary or advisable under the Exchange Act or the Securities Act; and</w:t>
      </w:r>
    </w:p>
    <w:p>
      <w:pPr>
        <w:spacing w:after="0" w:line="211" w:lineRule="exact"/>
        <w:rPr>
          <w:rFonts w:ascii="Courier New" w:cs="Courier New" w:eastAsia="Courier New" w:hAnsi="Courier New"/>
          <w:sz w:val="18"/>
          <w:szCs w:val="18"/>
          <w:color w:val="auto"/>
        </w:rPr>
      </w:pPr>
    </w:p>
    <w:p>
      <w:pPr>
        <w:ind w:right="2099" w:firstLine="1694"/>
        <w:spacing w:after="0" w:line="237" w:lineRule="auto"/>
        <w:tabs>
          <w:tab w:leader="none" w:pos="2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w:t>
      </w:r>
    </w:p>
    <w:p>
      <w:pPr>
        <w:spacing w:after="0" w:line="212" w:lineRule="exact"/>
        <w:rPr>
          <w:sz w:val="20"/>
          <w:szCs w:val="20"/>
          <w:color w:val="auto"/>
        </w:rPr>
      </w:pPr>
    </w:p>
    <w:p>
      <w:pPr>
        <w:ind w:right="1999" w:firstLine="1686"/>
        <w:spacing w:after="0" w:line="271" w:lineRule="auto"/>
        <w:rPr>
          <w:sz w:val="20"/>
          <w:szCs w:val="20"/>
          <w:color w:val="auto"/>
        </w:rPr>
      </w:pPr>
      <w:r>
        <w:rPr>
          <w:rFonts w:ascii="Courier New" w:cs="Courier New" w:eastAsia="Courier New" w:hAnsi="Courier New"/>
          <w:sz w:val="16"/>
          <w:szCs w:val="16"/>
          <w:color w:val="auto"/>
        </w:rPr>
        <w:t>The undersigned hereby gives and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w:t>
      </w:r>
    </w:p>
    <w:p>
      <w:pPr>
        <w:spacing w:after="0" w:line="186" w:lineRule="exact"/>
        <w:rPr>
          <w:sz w:val="20"/>
          <w:szCs w:val="20"/>
          <w:color w:val="auto"/>
        </w:rPr>
      </w:pPr>
    </w:p>
    <w:p>
      <w:pPr>
        <w:ind w:right="1999" w:firstLine="1686"/>
        <w:spacing w:after="0" w:line="238" w:lineRule="auto"/>
        <w:rPr>
          <w:sz w:val="20"/>
          <w:szCs w:val="20"/>
          <w:color w:val="auto"/>
        </w:rPr>
      </w:pPr>
      <w:r>
        <w:rPr>
          <w:rFonts w:ascii="Courier New" w:cs="Courier New" w:eastAsia="Courier New" w:hAnsi="Courier New"/>
          <w:sz w:val="18"/>
          <w:szCs w:val="18"/>
          <w:color w:val="auto"/>
        </w:rPr>
        <w:t>The undersigned hereby acknowledges that (a) the foregoing attorneys-in-fact are serving in such capacity at the request of the undersigned; (b) this Limited Power of Attorney authorizes, but does not require, each such attorney-in-fact to act in their discretion on information provided to such attorney-in-fact without independent verification of such information; (c) any documents prepared and/or executed by any attorney-in-fact on behalf of the undersigned pursuant 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or the Securities Act, (ii) any liability of the undersigned for any failure to comply with such requirements, or (iii) any obligation or liability of the undersigned for profit disgorgement under Section 16(b) of the Exchange Act; and (e) this Limited Power of Attorney does not relieve the undersigned from responsibility for compliance with the undersigned's obligations under the Exchange Act or the Securities Act, including, without limitation, the reporting requirements under Section 16 of the Exchange Act.</w:t>
      </w:r>
    </w:p>
    <w:p>
      <w:pPr>
        <w:spacing w:after="0" w:line="210" w:lineRule="exact"/>
        <w:rPr>
          <w:sz w:val="20"/>
          <w:szCs w:val="20"/>
          <w:color w:val="auto"/>
        </w:rPr>
      </w:pPr>
    </w:p>
    <w:p>
      <w:pPr>
        <w:ind w:right="1999"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Schedules 13(d), Schedules 13(g),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 WITNESS WHEREOF, the undersigned has caused this Power of</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Attorney to be executed as of this 7th day of September, 2019.</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Nathan Eric Baxter</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Nathan Eric Baxter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85595" TargetMode="External"/><Relationship Id="rId12"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2019-12-23T17:07:59Z</dcterms:created>
  <dcterms:modified xsi:type="dcterms:W3CDTF">2019-12-23T17:07:59Z</dcterms:modified>
</cp:coreProperties>
</file>