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7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line="238" w:lineRule="auto"/>
        <w:rPr>
          <w:sz w:val="20"/>
          <w:szCs w:val="20"/>
          <w:color w:val="auto"/>
        </w:rPr>
      </w:pPr>
      <w:r>
        <w:rPr>
          <w:rFonts w:ascii="Courier New" w:cs="Courier New" w:eastAsia="Courier New" w:hAnsi="Courier New"/>
          <w:sz w:val="18"/>
          <w:szCs w:val="18"/>
          <w:color w:val="auto"/>
        </w:rPr>
        <w:t>(Amendment No. )*</w:t>
      </w:r>
    </w:p>
    <w:p>
      <w:pPr>
        <w:ind w:left="2540"/>
        <w:spacing w:after="0"/>
        <w:rPr>
          <w:sz w:val="20"/>
          <w:szCs w:val="20"/>
          <w:color w:val="auto"/>
        </w:rPr>
      </w:pPr>
      <w:r>
        <w:rPr>
          <w:rFonts w:ascii="Courier New" w:cs="Courier New" w:eastAsia="Courier New" w:hAnsi="Courier New"/>
          <w:sz w:val="18"/>
          <w:szCs w:val="18"/>
          <w:color w:val="auto"/>
        </w:rPr>
        <w:t>THE SCOTTS COMPANY</w:t>
      </w:r>
    </w:p>
    <w:p>
      <w:pPr>
        <w:ind w:left="2640"/>
        <w:spacing w:after="0" w:line="237" w:lineRule="auto"/>
        <w:rPr>
          <w:sz w:val="20"/>
          <w:szCs w:val="20"/>
          <w:color w:val="auto"/>
        </w:rPr>
      </w:pPr>
      <w:r>
        <w:rPr>
          <w:rFonts w:ascii="Courier New" w:cs="Courier New" w:eastAsia="Courier New" w:hAnsi="Courier New"/>
          <w:sz w:val="18"/>
          <w:szCs w:val="18"/>
          <w:color w:val="auto"/>
        </w:rPr>
        <w:t>(Name of Issuer)</w:t>
      </w:r>
    </w:p>
    <w:p>
      <w:pPr>
        <w:ind w:left="2000"/>
        <w:spacing w:after="0" w:line="238" w:lineRule="auto"/>
        <w:rPr>
          <w:sz w:val="20"/>
          <w:szCs w:val="20"/>
          <w:color w:val="auto"/>
        </w:rPr>
      </w:pPr>
      <w:r>
        <w:rPr>
          <w:rFonts w:ascii="Courier New" w:cs="Courier New" w:eastAsia="Courier New" w:hAnsi="Courier New"/>
          <w:sz w:val="18"/>
          <w:szCs w:val="18"/>
          <w:color w:val="auto"/>
        </w:rPr>
        <w:t>Common Stock, $.01 par value</w:t>
      </w:r>
    </w:p>
    <w:p>
      <w:pPr>
        <w:ind w:left="1800"/>
        <w:spacing w:after="0"/>
        <w:rPr>
          <w:sz w:val="20"/>
          <w:szCs w:val="20"/>
          <w:color w:val="auto"/>
        </w:rPr>
      </w:pPr>
      <w:r>
        <w:rPr>
          <w:rFonts w:ascii="Courier New" w:cs="Courier New" w:eastAsia="Courier New" w:hAnsi="Courier New"/>
          <w:sz w:val="18"/>
          <w:szCs w:val="18"/>
          <w:color w:val="auto"/>
        </w:rPr>
        <w:t>(Title of Class of Securities)</w:t>
      </w:r>
    </w:p>
    <w:p>
      <w:pPr>
        <w:ind w:left="2740"/>
        <w:spacing w:after="0" w:line="237" w:lineRule="auto"/>
        <w:rPr>
          <w:sz w:val="20"/>
          <w:szCs w:val="20"/>
          <w:color w:val="auto"/>
        </w:rPr>
      </w:pPr>
      <w:r>
        <w:rPr>
          <w:rFonts w:ascii="Courier New" w:cs="Courier New" w:eastAsia="Courier New" w:hAnsi="Courier New"/>
          <w:sz w:val="18"/>
          <w:szCs w:val="18"/>
          <w:color w:val="auto"/>
        </w:rPr>
        <w:t>810186106</w:t>
      </w:r>
    </w:p>
    <w:p>
      <w:pPr>
        <w:ind w:left="2640"/>
        <w:spacing w:after="0"/>
        <w:rPr>
          <w:sz w:val="20"/>
          <w:szCs w:val="20"/>
          <w:color w:val="auto"/>
        </w:rPr>
      </w:pPr>
      <w:r>
        <w:rPr>
          <w:rFonts w:ascii="Courier New" w:cs="Courier New" w:eastAsia="Courier New" w:hAnsi="Courier New"/>
          <w:sz w:val="18"/>
          <w:szCs w:val="18"/>
          <w:color w:val="auto"/>
        </w:rPr>
        <w:t>(CUSIP Number)</w:t>
      </w:r>
    </w:p>
    <w:p>
      <w:pPr>
        <w:ind w:left="2740"/>
        <w:spacing w:after="0" w:line="237" w:lineRule="auto"/>
        <w:rPr>
          <w:sz w:val="20"/>
          <w:szCs w:val="20"/>
          <w:color w:val="auto"/>
        </w:rPr>
      </w:pPr>
      <w:r>
        <w:rPr>
          <w:rFonts w:ascii="Courier New" w:cs="Courier New" w:eastAsia="Courier New" w:hAnsi="Courier New"/>
          <w:sz w:val="18"/>
          <w:szCs w:val="18"/>
          <w:color w:val="auto"/>
        </w:rPr>
        <w:t>Alan M. Stark</w:t>
      </w:r>
    </w:p>
    <w:p>
      <w:pPr>
        <w:ind w:left="2640"/>
        <w:spacing w:after="0"/>
        <w:rPr>
          <w:sz w:val="20"/>
          <w:szCs w:val="20"/>
          <w:color w:val="auto"/>
        </w:rPr>
      </w:pPr>
      <w:r>
        <w:rPr>
          <w:rFonts w:ascii="Courier New" w:cs="Courier New" w:eastAsia="Courier New" w:hAnsi="Courier New"/>
          <w:sz w:val="18"/>
          <w:szCs w:val="18"/>
          <w:color w:val="auto"/>
        </w:rPr>
        <w:t>80 Main Street</w:t>
      </w:r>
    </w:p>
    <w:p>
      <w:pPr>
        <w:ind w:left="1900"/>
        <w:spacing w:after="0" w:line="237" w:lineRule="auto"/>
        <w:rPr>
          <w:sz w:val="20"/>
          <w:szCs w:val="20"/>
          <w:color w:val="auto"/>
        </w:rPr>
      </w:pPr>
      <w:r>
        <w:rPr>
          <w:rFonts w:ascii="Courier New" w:cs="Courier New" w:eastAsia="Courier New" w:hAnsi="Courier New"/>
          <w:sz w:val="18"/>
          <w:szCs w:val="18"/>
          <w:color w:val="auto"/>
        </w:rPr>
        <w:t>West Orange, New Jersey 07052</w:t>
      </w:r>
    </w:p>
    <w:p>
      <w:pPr>
        <w:ind w:left="2440"/>
        <w:spacing w:after="0" w:line="238" w:lineRule="auto"/>
        <w:rPr>
          <w:sz w:val="20"/>
          <w:szCs w:val="20"/>
          <w:color w:val="auto"/>
        </w:rPr>
      </w:pPr>
      <w:r>
        <w:rPr>
          <w:rFonts w:ascii="Courier New" w:cs="Courier New" w:eastAsia="Courier New" w:hAnsi="Courier New"/>
          <w:sz w:val="18"/>
          <w:szCs w:val="18"/>
          <w:color w:val="auto"/>
        </w:rPr>
        <w:t>(201)325-8660</w:t>
      </w:r>
    </w:p>
    <w:p>
      <w:pPr>
        <w:spacing w:after="0" w:line="5" w:lineRule="exact"/>
        <w:rPr>
          <w:sz w:val="24"/>
          <w:szCs w:val="24"/>
          <w:color w:val="auto"/>
        </w:rPr>
      </w:pPr>
    </w:p>
    <w:p>
      <w:pPr>
        <w:jc w:val="both"/>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October 24, 1997</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3159"/>
        <w:spacing w:after="0" w:line="237" w:lineRule="auto"/>
        <w:rPr>
          <w:sz w:val="20"/>
          <w:szCs w:val="20"/>
          <w:color w:val="auto"/>
        </w:rPr>
      </w:pPr>
      <w:r>
        <w:rPr>
          <w:rFonts w:ascii="Courier New" w:cs="Courier New" w:eastAsia="Courier New" w:hAnsi="Courier New"/>
          <w:sz w:val="18"/>
          <w:szCs w:val="18"/>
          <w:color w:val="auto"/>
        </w:rPr>
        <w:t>If this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21" w:lineRule="exact"/>
        <w:rPr>
          <w:sz w:val="24"/>
          <w:szCs w:val="24"/>
          <w:color w:val="auto"/>
        </w:rPr>
      </w:pPr>
    </w:p>
    <w:p>
      <w:pPr>
        <w:ind w:right="315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Rule 13d-7.)</w:t>
      </w:r>
      <w:r>
        <w:rPr>
          <w:rFonts w:ascii="Courier New" w:cs="Courier New" w:eastAsia="Courier New" w:hAnsi="Courier New"/>
          <w:sz w:val="16"/>
          <w:szCs w:val="16"/>
          <w:color w:val="auto"/>
        </w:rPr>
        <w:t>NO LONGER APPLICABLE</w:t>
      </w:r>
    </w:p>
    <w:p>
      <w:pPr>
        <w:spacing w:after="0" w:line="207" w:lineRule="exact"/>
        <w:rPr>
          <w:sz w:val="24"/>
          <w:szCs w:val="24"/>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21" w:lineRule="exact"/>
        <w:rPr>
          <w:sz w:val="24"/>
          <w:szCs w:val="24"/>
          <w:color w:val="auto"/>
        </w:rPr>
      </w:pPr>
    </w:p>
    <w:p>
      <w:pPr>
        <w:ind w:left="1060" w:right="335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 S.S. or I.R.S. Identification No. of Above Person</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LEON G. COOPERMAN</w:t>
      </w:r>
    </w:p>
    <w:p>
      <w:pPr>
        <w:ind w:left="1700" w:hanging="533"/>
        <w:spacing w:after="0" w:line="238" w:lineRule="auto"/>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1060" w:right="35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6540" w:hanging="422"/>
        <w:spacing w:after="0" w:line="238" w:lineRule="auto"/>
        <w:tabs>
          <w:tab w:leader="none" w:pos="654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540" w:hanging="422"/>
        <w:spacing w:after="0" w:line="238" w:lineRule="auto"/>
        <w:tabs>
          <w:tab w:leader="none" w:pos="654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WC</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3" w:lineRule="exact"/>
        <w:rPr>
          <w:sz w:val="24"/>
          <w:szCs w:val="24"/>
          <w:color w:val="auto"/>
        </w:rPr>
      </w:pPr>
    </w:p>
    <w:p>
      <w:pPr>
        <w:ind w:left="1060" w:right="3359" w:hanging="525"/>
        <w:spacing w:after="0" w:line="268"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 . . . . . . . . . . .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821,600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219,200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6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821,600</w:t>
            </w:r>
          </w:p>
        </w:tc>
      </w:tr>
      <w:tr>
        <w:trPr>
          <w:trHeight w:val="405"/>
        </w:trPr>
        <w:tc>
          <w:tcPr>
            <w:tcW w:w="1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(10)</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bl>
    <w:p>
      <w:pPr>
        <w:ind w:left="2120"/>
        <w:spacing w:after="0" w:line="238" w:lineRule="auto"/>
        <w:rPr>
          <w:sz w:val="20"/>
          <w:szCs w:val="20"/>
          <w:color w:val="auto"/>
        </w:rPr>
      </w:pPr>
      <w:r>
        <w:rPr>
          <w:rFonts w:ascii="Courier New" w:cs="Courier New" w:eastAsia="Courier New" w:hAnsi="Courier New"/>
          <w:sz w:val="18"/>
          <w:szCs w:val="18"/>
          <w:color w:val="auto"/>
        </w:rPr>
        <w:t>219,200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1060" w:right="357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1,040,800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2120" w:right="4839" w:hanging="1585"/>
        <w:spacing w:after="0" w:line="235" w:lineRule="auto"/>
        <w:tabs>
          <w:tab w:leader="none" w:pos="106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2120" w:right="3779" w:hanging="1585"/>
        <w:spacing w:after="0" w:line="235" w:lineRule="auto"/>
        <w:tabs>
          <w:tab w:leader="none" w:pos="106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Box (11): 5.6%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N</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4"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statement relates to the common stock, $.01 par value (the "Common Stock" or the "Shares"), of THE SCOTTS COMPANY ("Company"), which has its principal executive offices at 14111 Scottslawn Road, Marysville, Ohio 43041. Item 2. Identity and Background.</w:t>
      </w:r>
    </w:p>
    <w:p>
      <w:pPr>
        <w:spacing w:after="0" w:line="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This statement is being filed by Leon G. Cooperman, ("Cooperman"). Cooperman is the Managing Member of Omega Associates, L.L.C. ("Associates"), a limited liability company organized under the laws of the State of Delaware. Associates is a private investment firm formed to invest in and act as general partner of investment partnerships or similar investment vehicles. Associates is the general partner of three limited partnerships organized under the laws of Delaware known as Omega Capital Partners, L.P., Omega Institutional Partners, L.P., and Omega Capital Investors, L.P. They are private investment firms engaged in the purchase and sale of securities for investment for their own accounts. The business address of Cooperman and the principal business and office of Associates, Omega Capital Partners, L.P., Omega Institutional Partners, L.P., and Omega Capital Investors, L.P., is c/o Omega Advisors, Inc., 88 Pine Street, Wall Street Plaza - 31st Floor, New York, New York 10005. Cooperman is a citizen of the United States.</w:t>
      </w:r>
    </w:p>
    <w:p>
      <w:pPr>
        <w:sectPr>
          <w:pgSz w:w="11900" w:h="16838" w:orient="portrait"/>
          <w:cols w:equalWidth="0" w:num="1">
            <w:col w:w="10219"/>
          </w:cols>
          <w:pgMar w:left="240" w:top="717" w:right="1440" w:bottom="1440" w:gutter="0" w:footer="0" w:header="0"/>
        </w:sectPr>
      </w:pPr>
    </w:p>
    <w:bookmarkStart w:id="3" w:name="page4"/>
    <w:bookmarkEnd w:id="3"/>
    <w:p>
      <w:pPr>
        <w:ind w:right="3159" w:firstLine="1264"/>
        <w:spacing w:after="0" w:line="238" w:lineRule="auto"/>
        <w:rPr>
          <w:sz w:val="20"/>
          <w:szCs w:val="20"/>
          <w:color w:val="auto"/>
        </w:rPr>
      </w:pPr>
      <w:r>
        <w:rPr>
          <w:rFonts w:ascii="Courier New" w:cs="Courier New" w:eastAsia="Courier New" w:hAnsi="Courier New"/>
          <w:sz w:val="18"/>
          <w:szCs w:val="18"/>
          <w:color w:val="auto"/>
        </w:rPr>
        <w:t>Cooperman is also the President and majority stockholder of Omega Advisors, Inc., a Delaware corporation, engaged in providing investment management. The address of the principal business and office of Omega Advisors, Inc. is 88 Pine Street, Wall Street Plaza - 31st Floor, New York, New York 10005. Omega Advisors, Inc. serves as investment manager to Omega Overseas Partners, Ltd., and Cooperman is deemed to control said entities. Omega Overseas Partners, Ltd., is a Cayman Island corporation, with a business address at British American Tower, Third Floor, Jennrett Street, Georgetown, Grand Cayman Island, British West Indies. Omega Advisors, Inc. also serves with discretionary power as investment manager to unrelated third parties (herein referred to as the "Managed Account").</w:t>
      </w:r>
    </w:p>
    <w:p>
      <w:pPr>
        <w:spacing w:after="0" w:line="5"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Neither Cooperman nor any of the investment entities controlled by him have, during the last five years, been convicted in a criminal proceeding (excluding traffic violations or similar misdemeanors), nor has any such person, during the last five years, been a party to a civil proceeding of a judicial or administrative body of competent jurisdiction as a result of which any such person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520" w:right="1440" w:bottom="1440" w:gutter="0" w:footer="0" w:header="0"/>
        </w:sectPr>
      </w:pPr>
    </w:p>
    <w:bookmarkStart w:id="4" w:name="page5"/>
    <w:bookmarkEnd w:id="4"/>
    <w:p>
      <w:pPr>
        <w:ind w:left="960" w:right="347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Source and Amount of Funds or Other Consideration. Cooperman beneficially owns 1,040,800 Shares. Of this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amount, 315,500 Shares were purchased by Omega Capital Partners, L.P., at a cost of $5,517,618; 27,500 Shares were purchased by Omega Institutional Partners, L.P., at a cost of $553,108; 16,200 Shares were purchased by Omega Capital Investors, L.P., at a cost of $434,296; 462,400 Shares were purchased by Omega Overseas Partners, Ltd., at a cost of $9,319,376; and 219,200 Shares were purchased by the Managed Account at a cost of $4,281,027. The source of funds for the purchase of all such Shares was investment capital.</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4" w:lineRule="exact"/>
        <w:rPr>
          <w:sz w:val="20"/>
          <w:szCs w:val="20"/>
          <w:color w:val="auto"/>
        </w:rPr>
      </w:pPr>
    </w:p>
    <w:p>
      <w:pPr>
        <w:ind w:right="4099" w:firstLine="1053"/>
        <w:spacing w:after="0" w:line="268" w:lineRule="auto"/>
        <w:rPr>
          <w:sz w:val="20"/>
          <w:szCs w:val="20"/>
          <w:color w:val="auto"/>
        </w:rPr>
      </w:pPr>
      <w:r>
        <w:rPr>
          <w:rFonts w:ascii="Courier New" w:cs="Courier New" w:eastAsia="Courier New" w:hAnsi="Courier New"/>
          <w:sz w:val="16"/>
          <w:szCs w:val="16"/>
          <w:color w:val="auto"/>
        </w:rPr>
        <w:t>Cooperman has acquired the Shares for investment purposes, and only in the ordinary course of business.</w:t>
      </w:r>
    </w:p>
    <w:p>
      <w:pPr>
        <w:ind w:right="3159" w:firstLine="1053"/>
        <w:spacing w:after="0" w:line="268" w:lineRule="auto"/>
        <w:rPr>
          <w:sz w:val="20"/>
          <w:szCs w:val="20"/>
          <w:color w:val="auto"/>
        </w:rPr>
      </w:pPr>
      <w:r>
        <w:rPr>
          <w:rFonts w:ascii="Courier New" w:cs="Courier New" w:eastAsia="Courier New" w:hAnsi="Courier New"/>
          <w:sz w:val="16"/>
          <w:szCs w:val="16"/>
          <w:color w:val="auto"/>
        </w:rPr>
        <w:t>In the ordinary course of business, Cooperman from time to time evaluates holdings of securities, and based on such evaluation, he may determine to acquire or dispose of securities of</w:t>
      </w:r>
    </w:p>
    <w:p>
      <w:pPr>
        <w:spacing w:after="0" w:line="233" w:lineRule="auto"/>
        <w:rPr>
          <w:sz w:val="20"/>
          <w:szCs w:val="20"/>
          <w:color w:val="auto"/>
        </w:rPr>
      </w:pPr>
      <w:r>
        <w:rPr>
          <w:rFonts w:ascii="Courier New" w:cs="Courier New" w:eastAsia="Courier New" w:hAnsi="Courier New"/>
          <w:sz w:val="18"/>
          <w:szCs w:val="18"/>
          <w:color w:val="auto"/>
        </w:rPr>
        <w:t>specific issuers.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Cooperman has no present plans or intentions which would</w:t>
      </w:r>
    </w:p>
    <w:p>
      <w:pPr>
        <w:spacing w:after="0" w:line="16" w:lineRule="exact"/>
        <w:rPr>
          <w:sz w:val="20"/>
          <w:szCs w:val="20"/>
          <w:color w:val="auto"/>
        </w:rPr>
      </w:pPr>
    </w:p>
    <w:p>
      <w:pPr>
        <w:spacing w:after="0"/>
        <w:tabs>
          <w:tab w:leader="none" w:pos="840" w:val="left"/>
          <w:tab w:leader="none" w:pos="1260" w:val="left"/>
          <w:tab w:leader="none" w:pos="1680" w:val="left"/>
          <w:tab w:leader="none" w:pos="2520" w:val="left"/>
          <w:tab w:leader="none" w:pos="2940" w:val="left"/>
          <w:tab w:leader="none" w:pos="3460" w:val="left"/>
          <w:tab w:leader="none" w:pos="3880" w:val="left"/>
          <w:tab w:leader="none" w:pos="4420" w:val="left"/>
          <w:tab w:leader="none" w:pos="5880" w:val="left"/>
        </w:tabs>
        <w:rPr>
          <w:sz w:val="20"/>
          <w:szCs w:val="20"/>
          <w:color w:val="auto"/>
        </w:rPr>
      </w:pPr>
      <w:r>
        <w:rPr>
          <w:rFonts w:ascii="Courier New" w:cs="Courier New" w:eastAsia="Courier New" w:hAnsi="Courier New"/>
          <w:sz w:val="18"/>
          <w:szCs w:val="18"/>
          <w:color w:val="auto"/>
        </w:rPr>
        <w:t>result</w:t>
        <w:tab/>
        <w:t>in</w:t>
        <w:tab/>
        <w:t>or</w:t>
        <w:tab/>
        <w:t>relate</w:t>
        <w:tab/>
        <w:t>to</w:t>
        <w:tab/>
        <w:t>any</w:t>
        <w:tab/>
        <w:t>of</w:t>
        <w:tab/>
        <w:t>the</w:t>
        <w:tab/>
        <w:t>transactions</w:t>
      </w:r>
      <w:r>
        <w:rPr>
          <w:sz w:val="20"/>
          <w:szCs w:val="20"/>
          <w:color w:val="auto"/>
        </w:rPr>
        <w:tab/>
      </w:r>
      <w:r>
        <w:rPr>
          <w:rFonts w:ascii="Courier New" w:cs="Courier New" w:eastAsia="Courier New" w:hAnsi="Courier New"/>
          <w:sz w:val="16"/>
          <w:szCs w:val="16"/>
          <w:color w:val="auto"/>
        </w:rPr>
        <w:t>described</w:t>
      </w:r>
    </w:p>
    <w:p>
      <w:pPr>
        <w:spacing w:after="0" w:line="238" w:lineRule="auto"/>
        <w:rPr>
          <w:sz w:val="20"/>
          <w:szCs w:val="20"/>
          <w:color w:val="auto"/>
        </w:rPr>
      </w:pPr>
      <w:r>
        <w:rPr>
          <w:rFonts w:ascii="Courier New" w:cs="Courier New" w:eastAsia="Courier New" w:hAnsi="Courier New"/>
          <w:sz w:val="18"/>
          <w:szCs w:val="18"/>
          <w:color w:val="auto"/>
        </w:rPr>
        <w:t>in subparagraphs (a) through (j) of Schedule 13D.</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Based</w:t>
      </w:r>
      <w:r>
        <w:rPr>
          <w:sz w:val="20"/>
          <w:szCs w:val="20"/>
          <w:color w:val="auto"/>
        </w:rPr>
        <w:tab/>
      </w:r>
      <w:r>
        <w:rPr>
          <w:rFonts w:ascii="Courier New" w:cs="Courier New" w:eastAsia="Courier New" w:hAnsi="Courier New"/>
          <w:sz w:val="16"/>
          <w:szCs w:val="16"/>
          <w:color w:val="auto"/>
        </w:rPr>
        <w:t>upon the information contained in the Company's</w:t>
      </w:r>
    </w:p>
    <w:p>
      <w:pPr>
        <w:spacing w:after="0" w:line="5"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10-Q for the quarterly period ended June 28, 1997, filed with the Securities &amp; Exchange Commission, there were 18,656,313 Shares of Common Stock issued and outstanding on August 1, 1997. Omega Capital Partners, L.P., owns 315,500 Shares, or 1.7% of those outstanding; Omega Institutional Partners, L.P., owns 27,500 Shares, or 0.1% of those outstanding; Omega Capital Investors, L.P., owns 16,200 Shares, or 0.1% of those outstanding; Omega Overseas Partners, Ltd., owns 462,400 Shares, or 2.5% of those outstanding; and the Managed Account owns 219,200 Shares, or 1.2% of those outstanding. Cooperman possesses sole power to vote and direct the disposition of all Shares of Common Stock owned by Omega Overseas Partners, Ltd. As to the 219,200 Shares owned by the Managed Account, there would be shared power to dispose or to direct the disposition of such Shares because the owners of the Managed Account may be deemed beneficial owner of such Shares pursuant to Rule 13d-3 under the Act as a result of their right to terminate the discretionary account within a period of 60 days.</w:t>
      </w:r>
    </w:p>
    <w:p>
      <w:pPr>
        <w:spacing w:after="0" w:line="193"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The following details the transactions by each of Omega Capital Partners, L.P., Omega Institutional Partners, L.P., Omega Capital Investors, L.P., Omega Overseas Partners, Ltd., and the Managed Account in shares of Common Stock within the 60 day period prior to this filing. All such transactions were open market</w:t>
      </w:r>
    </w:p>
    <w:p>
      <w:pPr>
        <w:spacing w:after="0" w:line="234" w:lineRule="auto"/>
        <w:rPr>
          <w:sz w:val="20"/>
          <w:szCs w:val="20"/>
          <w:color w:val="auto"/>
        </w:rPr>
      </w:pPr>
      <w:r>
        <w:rPr>
          <w:rFonts w:ascii="Courier New" w:cs="Courier New" w:eastAsia="Courier New" w:hAnsi="Courier New"/>
          <w:sz w:val="18"/>
          <w:szCs w:val="18"/>
          <w:color w:val="auto"/>
        </w:rPr>
        <w:t>purchase transactions.</w:t>
      </w:r>
    </w:p>
    <w:p>
      <w:pPr>
        <w:ind w:left="1900"/>
        <w:spacing w:after="0"/>
        <w:rPr>
          <w:sz w:val="20"/>
          <w:szCs w:val="20"/>
          <w:color w:val="auto"/>
        </w:rPr>
      </w:pPr>
      <w:r>
        <w:rPr>
          <w:rFonts w:ascii="Courier New" w:cs="Courier New" w:eastAsia="Courier New" w:hAnsi="Courier New"/>
          <w:sz w:val="18"/>
          <w:szCs w:val="18"/>
          <w:color w:val="auto"/>
        </w:rPr>
        <w:t>Omega Capital Partners, L.P.</w:t>
      </w:r>
    </w:p>
    <w:p>
      <w:pPr>
        <w:ind w:left="740"/>
        <w:spacing w:after="0"/>
        <w:tabs>
          <w:tab w:leader="none" w:pos="2620" w:val="left"/>
          <w:tab w:leader="none" w:pos="472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8"/>
          <w:szCs w:val="18"/>
          <w:color w:val="auto"/>
        </w:rPr>
        <w:t>Amount of</w:t>
      </w:r>
      <w:r>
        <w:rPr>
          <w:sz w:val="20"/>
          <w:szCs w:val="20"/>
          <w:color w:val="auto"/>
        </w:rPr>
        <w:tab/>
      </w:r>
      <w:r>
        <w:rPr>
          <w:rFonts w:ascii="Courier New" w:cs="Courier New" w:eastAsia="Courier New" w:hAnsi="Courier New"/>
          <w:sz w:val="16"/>
          <w:szCs w:val="16"/>
          <w:color w:val="auto"/>
        </w:rPr>
        <w:t>Price Per</w:t>
      </w:r>
    </w:p>
    <w:p>
      <w:pPr>
        <w:ind w:left="540"/>
        <w:spacing w:after="0"/>
        <w:tabs>
          <w:tab w:leader="none" w:pos="2840" w:val="left"/>
          <w:tab w:leader="none" w:pos="4940" w:val="left"/>
        </w:tabs>
        <w:rPr>
          <w:sz w:val="20"/>
          <w:szCs w:val="20"/>
          <w:color w:val="auto"/>
        </w:rPr>
      </w:pP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Share</w:t>
      </w:r>
    </w:p>
    <w:p>
      <w:pPr>
        <w:ind w:left="540"/>
        <w:spacing w:after="0"/>
        <w:tabs>
          <w:tab w:leader="none" w:pos="2720" w:val="left"/>
          <w:tab w:leader="none" w:pos="4720" w:val="left"/>
        </w:tabs>
        <w:rPr>
          <w:sz w:val="20"/>
          <w:szCs w:val="20"/>
          <w:color w:val="auto"/>
        </w:rPr>
      </w:pPr>
      <w:r>
        <w:rPr>
          <w:rFonts w:ascii="Courier New" w:cs="Courier New" w:eastAsia="Courier New" w:hAnsi="Courier New"/>
          <w:sz w:val="18"/>
          <w:szCs w:val="18"/>
          <w:color w:val="auto"/>
        </w:rPr>
        <w:t>10/24/97</w:t>
      </w:r>
      <w:r>
        <w:rPr>
          <w:sz w:val="20"/>
          <w:szCs w:val="20"/>
          <w:color w:val="auto"/>
        </w:rPr>
        <w:tab/>
      </w:r>
      <w:r>
        <w:rPr>
          <w:rFonts w:ascii="Courier New" w:cs="Courier New" w:eastAsia="Courier New" w:hAnsi="Courier New"/>
          <w:sz w:val="18"/>
          <w:szCs w:val="18"/>
          <w:color w:val="auto"/>
        </w:rPr>
        <w:t>48,600</w:t>
      </w:r>
      <w:r>
        <w:rPr>
          <w:sz w:val="20"/>
          <w:szCs w:val="20"/>
          <w:color w:val="auto"/>
        </w:rPr>
        <w:tab/>
      </w:r>
      <w:r>
        <w:rPr>
          <w:rFonts w:ascii="Courier New" w:cs="Courier New" w:eastAsia="Courier New" w:hAnsi="Courier New"/>
          <w:sz w:val="16"/>
          <w:szCs w:val="16"/>
          <w:color w:val="auto"/>
        </w:rPr>
        <w:t>$26.61</w:t>
      </w:r>
    </w:p>
    <w:p>
      <w:pPr>
        <w:sectPr>
          <w:pgSz w:w="11900" w:h="16838" w:orient="portrait"/>
          <w:cols w:equalWidth="0" w:num="1">
            <w:col w:w="10219"/>
          </w:cols>
          <w:pgMar w:left="240" w:top="723" w:right="1440" w:bottom="1440" w:gutter="0" w:footer="0" w:header="0"/>
        </w:sectPr>
      </w:pPr>
    </w:p>
    <w:bookmarkStart w:id="5" w:name="page6"/>
    <w:bookmarkEnd w:id="5"/>
    <w:p>
      <w:pPr>
        <w:ind w:left="1580"/>
        <w:spacing w:after="0"/>
        <w:rPr>
          <w:sz w:val="20"/>
          <w:szCs w:val="20"/>
          <w:color w:val="auto"/>
        </w:rPr>
      </w:pPr>
      <w:r>
        <w:rPr>
          <w:rFonts w:ascii="Courier New" w:cs="Courier New" w:eastAsia="Courier New" w:hAnsi="Courier New"/>
          <w:sz w:val="18"/>
          <w:szCs w:val="18"/>
          <w:color w:val="auto"/>
        </w:rPr>
        <w:t>Omega Institutional Partners, L.P.</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Date of</w:t>
            </w:r>
          </w:p>
        </w:tc>
        <w:tc>
          <w:tcPr>
            <w:tcW w:w="2800" w:type="dxa"/>
            <w:vAlign w:val="bottom"/>
          </w:tcPr>
          <w:p>
            <w:pPr>
              <w:jc w:val="right"/>
              <w:ind w:right="932"/>
              <w:spacing w:after="0"/>
              <w:rPr>
                <w:sz w:val="20"/>
                <w:szCs w:val="20"/>
                <w:color w:val="auto"/>
              </w:rPr>
            </w:pPr>
            <w:r>
              <w:rPr>
                <w:rFonts w:ascii="Courier New" w:cs="Courier New" w:eastAsia="Courier New" w:hAnsi="Courier New"/>
                <w:sz w:val="18"/>
                <w:szCs w:val="18"/>
                <w:color w:val="auto"/>
              </w:rPr>
              <w:t>Amount of</w:t>
            </w:r>
          </w:p>
        </w:tc>
        <w:tc>
          <w:tcPr>
            <w:tcW w:w="11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10/24/97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5,600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w:t>
            </w:r>
          </w:p>
        </w:tc>
      </w:tr>
      <w:tr>
        <w:trPr>
          <w:trHeight w:val="608"/>
        </w:trPr>
        <w:tc>
          <w:tcPr>
            <w:tcW w:w="1260" w:type="dxa"/>
            <w:vAlign w:val="bottom"/>
          </w:tcPr>
          <w:p>
            <w:pPr>
              <w:spacing w:after="0"/>
              <w:rPr>
                <w:sz w:val="24"/>
                <w:szCs w:val="24"/>
                <w:color w:val="auto"/>
              </w:rPr>
            </w:pPr>
          </w:p>
        </w:tc>
        <w:tc>
          <w:tcPr>
            <w:tcW w:w="3900" w:type="dxa"/>
            <w:vAlign w:val="bottom"/>
            <w:gridSpan w:val="2"/>
          </w:tcPr>
          <w:p>
            <w:pPr>
              <w:jc w:val="center"/>
              <w:ind w:right="552"/>
              <w:spacing w:after="0"/>
              <w:rPr>
                <w:sz w:val="20"/>
                <w:szCs w:val="20"/>
                <w:color w:val="auto"/>
              </w:rPr>
            </w:pPr>
            <w:r>
              <w:rPr>
                <w:rFonts w:ascii="Courier New" w:cs="Courier New" w:eastAsia="Courier New" w:hAnsi="Courier New"/>
                <w:sz w:val="18"/>
                <w:szCs w:val="18"/>
                <w:color w:val="auto"/>
                <w:w w:val="97"/>
              </w:rPr>
              <w:t>Omega Capital Investors, L.P.</w:t>
            </w:r>
          </w:p>
        </w:tc>
      </w:tr>
      <w:tr>
        <w:trPr>
          <w:trHeight w:val="405"/>
        </w:trPr>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Date of</w:t>
            </w:r>
          </w:p>
        </w:tc>
        <w:tc>
          <w:tcPr>
            <w:tcW w:w="2800" w:type="dxa"/>
            <w:vAlign w:val="bottom"/>
          </w:tcPr>
          <w:p>
            <w:pPr>
              <w:jc w:val="right"/>
              <w:ind w:right="932"/>
              <w:spacing w:after="0"/>
              <w:rPr>
                <w:sz w:val="20"/>
                <w:szCs w:val="20"/>
                <w:color w:val="auto"/>
              </w:rPr>
            </w:pPr>
            <w:r>
              <w:rPr>
                <w:rFonts w:ascii="Courier New" w:cs="Courier New" w:eastAsia="Courier New" w:hAnsi="Courier New"/>
                <w:sz w:val="18"/>
                <w:szCs w:val="18"/>
                <w:color w:val="auto"/>
              </w:rPr>
              <w:t>Amount of</w:t>
            </w:r>
          </w:p>
        </w:tc>
        <w:tc>
          <w:tcPr>
            <w:tcW w:w="11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10/21/97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12,500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10/24/97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3,700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w:t>
            </w:r>
          </w:p>
        </w:tc>
      </w:tr>
      <w:tr>
        <w:trPr>
          <w:trHeight w:val="608"/>
        </w:trPr>
        <w:tc>
          <w:tcPr>
            <w:tcW w:w="1260" w:type="dxa"/>
            <w:vAlign w:val="bottom"/>
          </w:tcPr>
          <w:p>
            <w:pPr>
              <w:spacing w:after="0"/>
              <w:rPr>
                <w:sz w:val="24"/>
                <w:szCs w:val="24"/>
                <w:color w:val="auto"/>
              </w:rPr>
            </w:pPr>
          </w:p>
        </w:tc>
        <w:tc>
          <w:tcPr>
            <w:tcW w:w="3900" w:type="dxa"/>
            <w:vAlign w:val="bottom"/>
            <w:gridSpan w:val="2"/>
          </w:tcPr>
          <w:p>
            <w:pPr>
              <w:jc w:val="center"/>
              <w:ind w:right="552"/>
              <w:spacing w:after="0"/>
              <w:rPr>
                <w:sz w:val="20"/>
                <w:szCs w:val="20"/>
                <w:color w:val="auto"/>
              </w:rPr>
            </w:pPr>
            <w:r>
              <w:rPr>
                <w:rFonts w:ascii="Courier New" w:cs="Courier New" w:eastAsia="Courier New" w:hAnsi="Courier New"/>
                <w:sz w:val="18"/>
                <w:szCs w:val="18"/>
                <w:color w:val="auto"/>
                <w:w w:val="97"/>
              </w:rPr>
              <w:t>Omega Overseas Partners, L.P.</w:t>
            </w:r>
          </w:p>
        </w:tc>
      </w:tr>
      <w:tr>
        <w:trPr>
          <w:trHeight w:val="405"/>
        </w:trPr>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Date of</w:t>
            </w:r>
          </w:p>
        </w:tc>
        <w:tc>
          <w:tcPr>
            <w:tcW w:w="2800" w:type="dxa"/>
            <w:vAlign w:val="bottom"/>
          </w:tcPr>
          <w:p>
            <w:pPr>
              <w:jc w:val="right"/>
              <w:ind w:right="932"/>
              <w:spacing w:after="0"/>
              <w:rPr>
                <w:sz w:val="20"/>
                <w:szCs w:val="20"/>
                <w:color w:val="auto"/>
              </w:rPr>
            </w:pPr>
            <w:r>
              <w:rPr>
                <w:rFonts w:ascii="Courier New" w:cs="Courier New" w:eastAsia="Courier New" w:hAnsi="Courier New"/>
                <w:sz w:val="18"/>
                <w:szCs w:val="18"/>
                <w:color w:val="auto"/>
              </w:rPr>
              <w:t>Amount of</w:t>
            </w:r>
          </w:p>
        </w:tc>
        <w:tc>
          <w:tcPr>
            <w:tcW w:w="11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10/24/97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70,000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w:t>
            </w:r>
          </w:p>
        </w:tc>
      </w:tr>
      <w:tr>
        <w:trPr>
          <w:trHeight w:val="608"/>
        </w:trPr>
        <w:tc>
          <w:tcPr>
            <w:tcW w:w="1260" w:type="dxa"/>
            <w:vAlign w:val="bottom"/>
          </w:tcPr>
          <w:p>
            <w:pPr>
              <w:spacing w:after="0"/>
              <w:rPr>
                <w:sz w:val="24"/>
                <w:szCs w:val="24"/>
                <w:color w:val="auto"/>
              </w:rPr>
            </w:pPr>
          </w:p>
        </w:tc>
        <w:tc>
          <w:tcPr>
            <w:tcW w:w="280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The Managed Account</w:t>
            </w:r>
          </w:p>
        </w:tc>
        <w:tc>
          <w:tcPr>
            <w:tcW w:w="1100" w:type="dxa"/>
            <w:vAlign w:val="bottom"/>
          </w:tcPr>
          <w:p>
            <w:pPr>
              <w:spacing w:after="0"/>
              <w:rPr>
                <w:sz w:val="24"/>
                <w:szCs w:val="24"/>
                <w:color w:val="auto"/>
              </w:rPr>
            </w:pPr>
          </w:p>
        </w:tc>
      </w:tr>
      <w:tr>
        <w:trPr>
          <w:trHeight w:val="405"/>
        </w:trPr>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Date of</w:t>
            </w:r>
          </w:p>
        </w:tc>
        <w:tc>
          <w:tcPr>
            <w:tcW w:w="2800" w:type="dxa"/>
            <w:vAlign w:val="bottom"/>
          </w:tcPr>
          <w:p>
            <w:pPr>
              <w:jc w:val="right"/>
              <w:ind w:right="932"/>
              <w:spacing w:after="0"/>
              <w:rPr>
                <w:sz w:val="20"/>
                <w:szCs w:val="20"/>
                <w:color w:val="auto"/>
              </w:rPr>
            </w:pPr>
            <w:r>
              <w:rPr>
                <w:rFonts w:ascii="Courier New" w:cs="Courier New" w:eastAsia="Courier New" w:hAnsi="Courier New"/>
                <w:sz w:val="18"/>
                <w:szCs w:val="18"/>
                <w:color w:val="auto"/>
              </w:rPr>
              <w:t>Amount of</w:t>
            </w:r>
          </w:p>
        </w:tc>
        <w:tc>
          <w:tcPr>
            <w:tcW w:w="11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10/21/97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20,200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10/24/97</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31,300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1052"/>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3159" w:firstLine="948"/>
        <w:spacing w:after="0" w:line="271" w:lineRule="auto"/>
        <w:rPr>
          <w:sz w:val="20"/>
          <w:szCs w:val="20"/>
          <w:color w:val="auto"/>
        </w:rPr>
      </w:pPr>
      <w:r>
        <w:rPr>
          <w:rFonts w:ascii="Courier New" w:cs="Courier New" w:eastAsia="Courier New" w:hAnsi="Courier New"/>
          <w:sz w:val="16"/>
          <w:szCs w:val="16"/>
          <w:color w:val="auto"/>
        </w:rPr>
        <w:t>Except as described above, there are no contracts, arrangements, understandings or relationships (legal or otherwise) among the persons named in Item 2 hereof or between such persons and any other person with respect to any securities of the Company, including but not limited to transfer or voting of any other securities, finder's fees, joint ventures, loan or option arrangements, puts or calls, guarantees of profits, divisions of profits or loss, or the giving or withholding of proxies.</w:t>
      </w:r>
    </w:p>
    <w:p>
      <w:pPr>
        <w:spacing w:after="0" w:line="38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960"/>
        <w:spacing w:after="0" w:line="238" w:lineRule="auto"/>
        <w:rPr>
          <w:sz w:val="20"/>
          <w:szCs w:val="20"/>
          <w:color w:val="auto"/>
        </w:rPr>
      </w:pPr>
      <w:r>
        <w:rPr>
          <w:rFonts w:ascii="Courier New" w:cs="Courier New" w:eastAsia="Courier New" w:hAnsi="Courier New"/>
          <w:sz w:val="18"/>
          <w:szCs w:val="18"/>
          <w:color w:val="auto"/>
        </w:rPr>
        <w:t>There is no material to be filed as Exhibits.</w:t>
      </w: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3"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After reasonable inquiry and to the best of the under-signed's knowledge and belief, the undersigned hereby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31,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pursuant to Power of</w:t>
      </w:r>
    </w:p>
    <w:p>
      <w:pPr>
        <w:spacing w:after="0" w:line="237" w:lineRule="auto"/>
        <w:rPr>
          <w:sz w:val="20"/>
          <w:szCs w:val="20"/>
          <w:color w:val="auto"/>
        </w:rPr>
      </w:pPr>
      <w:r>
        <w:rPr>
          <w:rFonts w:ascii="Courier New" w:cs="Courier New" w:eastAsia="Courier New" w:hAnsi="Courier New"/>
          <w:sz w:val="18"/>
          <w:szCs w:val="18"/>
          <w:color w:val="auto"/>
        </w:rPr>
        <w:t>Attorney on file.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Capital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Institutional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ectPr>
          <w:pgSz w:w="11900" w:h="16838" w:orient="portrait"/>
          <w:cols w:equalWidth="0" w:num="1">
            <w:col w:w="10219"/>
          </w:cols>
          <w:pgMar w:left="240" w:top="51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8" w:lineRule="auto"/>
        <w:rPr>
          <w:sz w:val="20"/>
          <w:szCs w:val="20"/>
          <w:color w:val="auto"/>
        </w:rPr>
      </w:pPr>
      <w:r>
        <w:rPr>
          <w:rFonts w:ascii="Courier New" w:cs="Courier New" w:eastAsia="Courier New" w:hAnsi="Courier New"/>
          <w:sz w:val="18"/>
          <w:szCs w:val="18"/>
          <w:color w:val="auto"/>
        </w:rPr>
        <w:t>Omega Associates, L.L.C. on behalf</w:t>
      </w:r>
    </w:p>
    <w:p>
      <w:pPr>
        <w:spacing w:after="0"/>
        <w:rPr>
          <w:sz w:val="20"/>
          <w:szCs w:val="20"/>
          <w:color w:val="auto"/>
        </w:rPr>
      </w:pPr>
      <w:r>
        <w:rPr>
          <w:rFonts w:ascii="Courier New" w:cs="Courier New" w:eastAsia="Courier New" w:hAnsi="Courier New"/>
          <w:sz w:val="18"/>
          <w:szCs w:val="18"/>
          <w:color w:val="auto"/>
        </w:rPr>
        <w:t>of Omega Capital Investors, L.P.,</w:t>
      </w:r>
    </w:p>
    <w:p>
      <w:pPr>
        <w:spacing w:after="0" w:line="237" w:lineRule="auto"/>
        <w:rPr>
          <w:sz w:val="20"/>
          <w:szCs w:val="20"/>
          <w:color w:val="auto"/>
        </w:rPr>
      </w:pPr>
      <w:r>
        <w:rPr>
          <w:rFonts w:ascii="Courier New" w:cs="Courier New" w:eastAsia="Courier New" w:hAnsi="Courier New"/>
          <w:sz w:val="18"/>
          <w:szCs w:val="18"/>
          <w:color w:val="auto"/>
        </w:rPr>
        <w:t>pursuant to Power of Attorney on file.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President of Omega</w:t>
      </w:r>
    </w:p>
    <w:p>
      <w:pPr>
        <w:spacing w:after="0" w:line="237" w:lineRule="auto"/>
        <w:rPr>
          <w:sz w:val="20"/>
          <w:szCs w:val="20"/>
          <w:color w:val="auto"/>
        </w:rPr>
      </w:pPr>
      <w:r>
        <w:rPr>
          <w:rFonts w:ascii="Courier New" w:cs="Courier New" w:eastAsia="Courier New" w:hAnsi="Courier New"/>
          <w:sz w:val="18"/>
          <w:szCs w:val="18"/>
          <w:color w:val="auto"/>
        </w:rPr>
        <w:t>Advisors, Inc., pursuant to Power</w:t>
      </w:r>
    </w:p>
    <w:p>
      <w:pPr>
        <w:spacing w:after="0" w:line="238" w:lineRule="auto"/>
        <w:rPr>
          <w:sz w:val="20"/>
          <w:szCs w:val="20"/>
          <w:color w:val="auto"/>
        </w:rPr>
      </w:pPr>
      <w:r>
        <w:rPr>
          <w:rFonts w:ascii="Courier New" w:cs="Courier New" w:eastAsia="Courier New" w:hAnsi="Courier New"/>
          <w:sz w:val="18"/>
          <w:szCs w:val="18"/>
          <w:color w:val="auto"/>
        </w:rPr>
        <w:t>of Attorney on file.</w:t>
      </w:r>
    </w:p>
    <w:p>
      <w:pPr>
        <w:spacing w:after="0" w:line="208"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3">
    <w:nsid w:val="41B71EFB"/>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decimal"/>
      <w:start w:val="13"/>
    </w:lvl>
  </w:abstractNum>
  <w:abstractNum w:abstractNumId="9">
    <w:nsid w:val="4DB127F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2019-12-19T23:57:39Z</dcterms:created>
  <dcterms:modified xsi:type="dcterms:W3CDTF">2019-12-19T23:57:39Z</dcterms:modified>
</cp:coreProperties>
</file>