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8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0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29, 2026</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7"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20" w:type="dxa"/>
            <w:vAlign w:val="bottom"/>
          </w:tcPr>
          <w:p>
            <w:pPr>
              <w:spacing w:after="0"/>
              <w:rPr>
                <w:sz w:val="20"/>
                <w:szCs w:val="20"/>
                <w:color w:val="auto"/>
              </w:rPr>
            </w:pP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(Commission</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7"/>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06" w:right="339" w:bottom="1440" w:gutter="0" w:footer="0" w:header="0"/>
        </w:sectPr>
      </w:pPr>
    </w:p>
    <w:p>
      <w:pPr>
        <w:spacing w:after="0" w:line="5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Common Shares, $0.01 stated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3920" w:space="720"/>
            <w:col w:w="2120" w:space="720"/>
            <w:col w:w="3760"/>
          </w:cols>
          <w:pgMar w:left="320" w:top="1006" w:right="339" w:bottom="1440" w:gutter="0" w:footer="0" w:header="0"/>
          <w:type w:val="continuous"/>
        </w:sectPr>
      </w:pPr>
    </w:p>
    <w:p>
      <w:pPr>
        <w:spacing w:after="0" w:line="25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29, 2026, Scotts Miracle-Gro (the “Company”) issued a news release reporting information regarding its financial results for the three months ended March 28, 2026. Also, on April 29, 2026, the Company released, on its website, information regarding its financial results for the three and six months ended March 28, 2026 and its financial condition as of March 28, 2026.</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news release and the financial results are furnished herewith as Exhibit 99.1 and Exhibit 99.2, respectively, to this Current Report on Form 8-K and incorporated herein by reference.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7.01. Regulation FD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2.02. Results of Operations and Financial Condition” above.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April 29, 2026</w:t>
            </w:r>
          </w:p>
        </w:tc>
      </w:tr>
      <w:tr>
        <w:trPr>
          <w:trHeight w:val="28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5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results for the period ended March 28, 2026 released on the Company’s website on April 29, 2026</w:t>
            </w:r>
          </w:p>
        </w:tc>
      </w:tr>
      <w:tr>
        <w:trPr>
          <w:trHeight w:val="28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70"/>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left="20"/>
        <w:spacing w:after="0"/>
        <w:tabs>
          <w:tab w:leader="none" w:pos="2900" w:val="left"/>
          <w:tab w:leader="none" w:pos="3400" w:val="left"/>
        </w:tabs>
        <w:rPr>
          <w:sz w:val="20"/>
          <w:szCs w:val="20"/>
          <w:color w:val="auto"/>
        </w:rPr>
      </w:pPr>
      <w:r>
        <w:rPr>
          <w:rFonts w:ascii="Times New Roman" w:cs="Times New Roman" w:eastAsia="Times New Roman" w:hAnsi="Times New Roman"/>
          <w:sz w:val="18"/>
          <w:szCs w:val="18"/>
          <w:color w:val="auto"/>
        </w:rPr>
        <w:t>Dated: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51435</wp:posOffset>
            </wp:positionV>
            <wp:extent cx="4980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880" w:type="dxa"/>
            <w:vAlign w:val="bottom"/>
          </w:tcPr>
          <w:p>
            <w:pPr>
              <w:spacing w:after="0"/>
              <w:rPr>
                <w:sz w:val="17"/>
                <w:szCs w:val="17"/>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April 29, 2026</w:t>
            </w:r>
          </w:p>
        </w:tc>
      </w:tr>
      <w:tr>
        <w:trPr>
          <w:trHeight w:val="26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Financial results for the period ended March 28, 2026 released on the Company’s website on April 29, 2026</w:t>
            </w:r>
          </w:p>
        </w:tc>
      </w:tr>
    </w:tbl>
    <w:p>
      <w:pPr>
        <w:sectPr>
          <w:pgSz w:w="11900" w:h="16838" w:orient="portrait"/>
          <w:cols w:equalWidth="0" w:num="1">
            <w:col w:w="10059"/>
          </w:cols>
          <w:pgMar w:left="400" w:top="887"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20"/>
          <w:szCs w:val="20"/>
          <w:b w:val="1"/>
          <w:bCs w:val="1"/>
          <w:i w:val="1"/>
          <w:iCs w:val="1"/>
          <w:color w:val="auto"/>
        </w:rPr>
        <w:t>The Scotts Miracle-Gro Company</w:t>
      </w:r>
      <w:r>
        <w:rPr>
          <w:sz w:val="20"/>
          <w:szCs w:val="20"/>
          <w:color w:val="auto"/>
        </w:rPr>
        <w:tab/>
      </w:r>
      <w:r>
        <w:rPr>
          <w:rFonts w:ascii="Times New Roman" w:cs="Times New Roman" w:eastAsia="Times New Roman" w:hAnsi="Times New Roman"/>
          <w:sz w:val="19"/>
          <w:szCs w:val="19"/>
          <w:b w:val="1"/>
          <w:bCs w:val="1"/>
          <w:i w:val="1"/>
          <w:iCs w:val="1"/>
          <w:color w:val="auto"/>
        </w:rPr>
        <w:t>NEWS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ScottsMiracle-Gro Reports Strong Second Quarter Results;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Increase in Sales and Gross Margin Improvement Drive EPS Growth</w:t>
      </w: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i w:val="1"/>
          <w:iCs w:val="1"/>
          <w:color w:val="auto"/>
        </w:rPr>
        <w:t>Net sales increased by 5%</w:t>
      </w:r>
    </w:p>
    <w:p>
      <w:pPr>
        <w:spacing w:after="0" w:line="7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i w:val="1"/>
          <w:iCs w:val="1"/>
          <w:color w:val="auto"/>
        </w:rPr>
        <w:t>Gross margin rate improved by over 200 basis points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Net leverage at 3.71x, down from prior year of 4.41x</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MARYSVILLE, Ohio, April 29, 2026 – The Scotts Miracle-Gro Company (NYSE: SMG), the leading marketer of branded consumer lawn and garden products in North America, today reported results for the second quarter ended March 28, 2026.</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performance reflects progress on all our financial imperatives,” said Jim Hagedorn, chairman and CEO. “We continued our growth trajectory and delivered meaningful leverage ratio improvement, putting us in position for more shareholder friendly actions including the previously announced multi-year share repurchase program. At the same time, we are reinvesting in our consumer franchise with a focus on achieving our fiscal 2026 guidance that is foundational to our longer-range financial targets.”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 Scheiwer, chief financial officer and chief accounting officer, added, “We delivered a strong second quarter, executing on net sales growth, gross margin expansion and other key financial priorities. We are driving profitability growth and improved free cash flow while making incremental investments in consumer activation and return-generating capital expenditures. Strong sales and POS momentum continued in April, further boosting our confidence in the full-year outlook.”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2026 Second Quarter Highlights</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Net sales were $1.46 billion, an increase of 5% versus prior year.</w:t>
      </w:r>
    </w:p>
    <w:p>
      <w:pPr>
        <w:spacing w:after="0" w:line="36" w:lineRule="exact"/>
        <w:rPr>
          <w:rFonts w:ascii="Times New Roman" w:cs="Times New Roman" w:eastAsia="Times New Roman" w:hAnsi="Times New Roman"/>
          <w:sz w:val="18"/>
          <w:szCs w:val="18"/>
          <w:color w:val="2D1E23"/>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GAAP and non-GAAP adjusted gross margin rate of 41.8% improved by 280 and 240 basis points over prior year, respectively.</w:t>
      </w:r>
    </w:p>
    <w:p>
      <w:pPr>
        <w:spacing w:after="0" w:line="49" w:lineRule="exact"/>
        <w:rPr>
          <w:rFonts w:ascii="Times New Roman" w:cs="Times New Roman" w:eastAsia="Times New Roman" w:hAnsi="Times New Roman"/>
          <w:sz w:val="18"/>
          <w:szCs w:val="18"/>
          <w:color w:val="2D1E23"/>
        </w:rPr>
      </w:pPr>
    </w:p>
    <w:p>
      <w:pPr>
        <w:ind w:left="660" w:right="20" w:hanging="328"/>
        <w:spacing w:after="0" w:line="289" w:lineRule="auto"/>
        <w:tabs>
          <w:tab w:leader="none" w:pos="655" w:val="left"/>
        </w:tabs>
        <w:numPr>
          <w:ilvl w:val="0"/>
          <w:numId w:val="4"/>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GAAP net income from continuing operations of $4.46 per share and non-GAAP adjusted net income from continuing operations of $4.53 per share improved by 18 percent and 13 percent over prior year, respectively.</w:t>
      </w:r>
    </w:p>
    <w:p>
      <w:pPr>
        <w:spacing w:after="0" w:line="1" w:lineRule="exact"/>
        <w:rPr>
          <w:rFonts w:ascii="Times New Roman" w:cs="Times New Roman" w:eastAsia="Times New Roman" w:hAnsi="Times New Roman"/>
          <w:sz w:val="18"/>
          <w:szCs w:val="18"/>
          <w:color w:val="2D1E23"/>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Non-GAAP adjusted EBITDA of $437.4 million improved by 9 percent over prior year.</w:t>
      </w:r>
    </w:p>
    <w:p>
      <w:pPr>
        <w:spacing w:after="0" w:line="36" w:lineRule="exact"/>
        <w:rPr>
          <w:rFonts w:ascii="Times New Roman" w:cs="Times New Roman" w:eastAsia="Times New Roman" w:hAnsi="Times New Roman"/>
          <w:sz w:val="18"/>
          <w:szCs w:val="18"/>
          <w:color w:val="2D1E23"/>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Net leverage of 3.71x improved 0.70x versus last year.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2026 Outlook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D1E23"/>
        </w:rPr>
        <w:t>The fiscal 2026 guidance that has been reaffirmed by the Company includes:</w:t>
      </w:r>
    </w:p>
    <w:p>
      <w:pPr>
        <w:spacing w:after="0" w:line="26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1E23"/>
        </w:rPr>
        <w:t>U.S. Consumer net sales low single-digit growth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Non-GAAP adjusted gross margin rate of at least 32%</w:t>
      </w:r>
    </w:p>
    <w:p>
      <w:pPr>
        <w:spacing w:after="0" w:line="36" w:lineRule="exact"/>
        <w:rPr>
          <w:rFonts w:ascii="Times New Roman" w:cs="Times New Roman" w:eastAsia="Times New Roman" w:hAnsi="Times New Roman"/>
          <w:sz w:val="18"/>
          <w:szCs w:val="18"/>
          <w:color w:val="2D1E23"/>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Non-GAAP adjusted net income per share from continuing operations of $4.15 to $4.35</w:t>
      </w:r>
    </w:p>
    <w:p>
      <w:pPr>
        <w:spacing w:after="0" w:line="49" w:lineRule="exact"/>
        <w:rPr>
          <w:rFonts w:ascii="Times New Roman" w:cs="Times New Roman" w:eastAsia="Times New Roman" w:hAnsi="Times New Roman"/>
          <w:sz w:val="18"/>
          <w:szCs w:val="18"/>
          <w:color w:val="2D1E23"/>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Non-GAAP adjusted EBITDA mid single-digit growth</w:t>
      </w:r>
    </w:p>
    <w:p>
      <w:pPr>
        <w:spacing w:after="0" w:line="36" w:lineRule="exact"/>
        <w:rPr>
          <w:rFonts w:ascii="Times New Roman" w:cs="Times New Roman" w:eastAsia="Times New Roman" w:hAnsi="Times New Roman"/>
          <w:sz w:val="18"/>
          <w:szCs w:val="18"/>
          <w:color w:val="2D1E23"/>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D1E23"/>
        </w:rPr>
      </w:pPr>
      <w:r>
        <w:rPr>
          <w:rFonts w:ascii="Times New Roman" w:cs="Times New Roman" w:eastAsia="Times New Roman" w:hAnsi="Times New Roman"/>
          <w:sz w:val="18"/>
          <w:szCs w:val="18"/>
          <w:color w:val="2D1E23"/>
        </w:rPr>
        <w:t>Free cash flow of $275 million, driving leverage ratio down to the high 3’s</w:t>
      </w:r>
    </w:p>
    <w:p>
      <w:pPr>
        <w:spacing w:after="0" w:line="27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2D1E23"/>
        </w:rPr>
        <w:t>The Company will file a Form 8-K prior to the start of the conference call that will include financial results for the three and six months ended March 28, 2026. In addition the Company will also upload these financial results to its investor relations website at https://scottsmiraclegro.gcs-web.com/financial-information/quarterly-results prior to the call.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Scheduled for 8:15 a.m. ET Today, April 29, 2026</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discuss results during a video presentation via webcast today at 8:15 a.m. ET. To watch the Company presentation and listen to the question-and-answer session, please register in advance at this webcast link. For those planning to participate in the question-and-answer session that follows the video presentation, please register for the webcast to view the presentation in addition to registering in advance via this audio link to receive call-in details and a unique PIN. A replay of the conference call will also be available on the Company’s investor website, where an archive of the press release and any accompanying information will remain available for at least a 12-month period.</w:t>
      </w:r>
    </w:p>
    <w:p>
      <w:pPr>
        <w:sectPr>
          <w:pgSz w:w="11900" w:h="16838" w:orient="portrait"/>
          <w:cols w:equalWidth="0" w:num="1">
            <w:col w:w="11240"/>
          </w:cols>
          <w:pgMar w:left="320" w:top="8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About ScottsMiracle-Gro</w:t>
      </w:r>
    </w:p>
    <w:p>
      <w:pPr>
        <w:spacing w:after="0" w:line="1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With approximately $3.3 billion in sales, the Company is the leading marketer of branded consumer lawn and garden products in North America. The Company’s brands are among the most recognized in the industry. The Company’s Scotts®, Miracle-Gro®, Ortho® and Tomcat® brands are market-leading in their categories. For additional information, visit us at www.scottsmiraclegro.com.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222"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and economic uncertainty may adversely affect demand for the Company’s products;</w:t>
      </w:r>
    </w:p>
    <w:p>
      <w:pPr>
        <w:spacing w:after="0" w:line="23" w:lineRule="exact"/>
        <w:rPr>
          <w:rFonts w:ascii="Times New Roman" w:cs="Times New Roman" w:eastAsia="Times New Roman" w:hAnsi="Times New Roman"/>
          <w:sz w:val="16"/>
          <w:szCs w:val="16"/>
          <w:color w:val="auto"/>
        </w:rPr>
      </w:pPr>
    </w:p>
    <w:p>
      <w:pPr>
        <w:ind w:left="660" w:right="80" w:hanging="328"/>
        <w:spacing w:after="0" w:line="246"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operations, financial condition or reputation may be impaired if its information or operational technology systems fail to perform adequately or if the Company is the subject of a data breach or cyber attack;</w:t>
      </w:r>
    </w:p>
    <w:p>
      <w:pPr>
        <w:ind w:left="640" w:hanging="308"/>
        <w:spacing w:after="0" w:line="228" w:lineRule="auto"/>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highly competitive nature of the Company’s markets could adversely affect its ability to maintain or grow revenues;</w:t>
      </w: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disaster, the Company’s disaster recovery and business continuity plans may fail, which could adversely interrupt its operations;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change and unfavorable weather conditions could adversely impact financial results;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not successfully develop new product lines and products or improve existing product lines and products;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indebtedness could limit its flexibility and adversely affect its financial condition;</w:t>
      </w:r>
    </w:p>
    <w:p>
      <w:pPr>
        <w:spacing w:after="0" w:line="5" w:lineRule="exact"/>
        <w:rPr>
          <w:rFonts w:ascii="Times New Roman" w:cs="Times New Roman" w:eastAsia="Times New Roman" w:hAnsi="Times New Roman"/>
          <w:sz w:val="16"/>
          <w:szCs w:val="16"/>
          <w:color w:val="auto"/>
        </w:rPr>
      </w:pPr>
    </w:p>
    <w:p>
      <w:pPr>
        <w:ind w:left="660" w:right="620" w:hanging="328"/>
        <w:spacing w:after="0" w:line="237"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environmental and other public health regulations or changes in such regulations or regulatory enforcement priorities could increase the Company’s costs of doing business or limit its ability to market certain products;</w:t>
      </w:r>
    </w:p>
    <w:p>
      <w:pPr>
        <w:spacing w:after="0" w:line="1" w:lineRule="exact"/>
        <w:rPr>
          <w:rFonts w:ascii="Times New Roman" w:cs="Times New Roman" w:eastAsia="Times New Roman" w:hAnsi="Times New Roman"/>
          <w:sz w:val="16"/>
          <w:szCs w:val="16"/>
          <w:color w:val="auto"/>
        </w:rPr>
      </w:pPr>
    </w:p>
    <w:p>
      <w:pPr>
        <w:ind w:left="660" w:right="80" w:hanging="328"/>
        <w:spacing w:after="0" w:line="246"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of the concentration of the Company’s sales to a small number of retail customers, the loss of one or more of, or significant reduction in orders from, any of its top customers, or a material reduction in the inventory of the Company’s products that they carry, could adversely affect the Company’s financial results;</w:t>
      </w:r>
    </w:p>
    <w:p>
      <w:pPr>
        <w:ind w:left="660" w:right="260" w:hanging="328"/>
        <w:spacing w:after="0" w:line="237"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perception of the Company’s brands or organizational reputation are damaged, its consumers, distributors and retailers may react negatively, which could materially and adversely affect the Company’s business, financial condition and results of operations;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success depends on the retention and availability of key personnel and the effective succession of senior management; and</w:t>
      </w:r>
    </w:p>
    <w:p>
      <w:pPr>
        <w:spacing w:after="0" w:line="5" w:lineRule="exact"/>
        <w:rPr>
          <w:rFonts w:ascii="Times New Roman" w:cs="Times New Roman" w:eastAsia="Times New Roman" w:hAnsi="Times New Roman"/>
          <w:sz w:val="16"/>
          <w:szCs w:val="16"/>
          <w:color w:val="auto"/>
        </w:rPr>
      </w:pPr>
    </w:p>
    <w:p>
      <w:pPr>
        <w:ind w:left="660" w:right="140" w:hanging="328"/>
        <w:spacing w:after="0" w:line="257"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involved in a number of legal proceedings and, while it cannot predict the outcomes of such proceedings and other contingencies with certainty, some of these outcomes could adversely affect the Company’s financial condition, results of operations and cash flows.</w:t>
      </w:r>
    </w:p>
    <w:p>
      <w:pPr>
        <w:spacing w:after="0" w:line="20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investor inquiries: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 Chelton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Vice President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Treasury, Tax and Investor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brad.chelton@scotts.com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309-2503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media inquiries: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 Matthews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Communications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tom.matthews@scotts.com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844-3864</w:t>
      </w:r>
    </w:p>
    <w:p>
      <w:pPr>
        <w:sectPr>
          <w:pgSz w:w="11900" w:h="16838" w:orient="portrait"/>
          <w:cols w:equalWidth="0" w:num="1">
            <w:col w:w="11220"/>
          </w:cols>
          <w:pgMar w:left="320" w:top="1001" w:right="35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Footnotes</w:t>
            </w:r>
          </w:p>
        </w:tc>
        <w:tc>
          <w:tcPr>
            <w:tcW w:w="20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4"/>
                <w:szCs w:val="14"/>
                <w:color w:val="auto"/>
              </w:rPr>
              <w:t>March 28,</w:t>
            </w:r>
          </w:p>
        </w:tc>
        <w:tc>
          <w:tcPr>
            <w:tcW w:w="200" w:type="dxa"/>
            <w:vAlign w:val="bottom"/>
          </w:tcPr>
          <w:p>
            <w:pPr>
              <w:spacing w:after="0"/>
              <w:rPr>
                <w:sz w:val="11"/>
                <w:szCs w:val="11"/>
                <w:color w:val="auto"/>
              </w:rPr>
            </w:pPr>
          </w:p>
        </w:tc>
        <w:tc>
          <w:tcPr>
            <w:tcW w:w="1020" w:type="dxa"/>
            <w:vAlign w:val="bottom"/>
          </w:tcPr>
          <w:p>
            <w:pPr>
              <w:jc w:val="right"/>
              <w:ind w:right="248"/>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March 28,</w:t>
            </w:r>
          </w:p>
        </w:tc>
        <w:tc>
          <w:tcPr>
            <w:tcW w:w="200" w:type="dxa"/>
            <w:vAlign w:val="bottom"/>
          </w:tcPr>
          <w:p>
            <w:pPr>
              <w:spacing w:after="0"/>
              <w:rPr>
                <w:sz w:val="11"/>
                <w:szCs w:val="11"/>
                <w:color w:val="auto"/>
              </w:rPr>
            </w:pPr>
          </w:p>
        </w:tc>
        <w:tc>
          <w:tcPr>
            <w:tcW w:w="1020" w:type="dxa"/>
            <w:vAlign w:val="bottom"/>
          </w:tcPr>
          <w:p>
            <w:pPr>
              <w:jc w:val="right"/>
              <w:ind w:right="248"/>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1,459.5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1,389.7</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1,814.0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1,756.3</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849.0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1,119.0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sales—impairment, restructuring and other</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610.5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291.3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5"/>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Income from continuing operations before income</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306.0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215.1</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from continuing operations</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common share: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net income per common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per common share</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shares used in basic net income (loss) per</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57.6</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57.5</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calculation</w:t>
            </w: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Times New Roman" w:cs="Times New Roman" w:eastAsia="Times New Roman" w:hAnsi="Times New Roman"/>
                <w:sz w:val="14"/>
                <w:szCs w:val="14"/>
                <w:color w:val="auto"/>
              </w:rPr>
              <w:t>Common shares and potential common shares used in</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calculation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results: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from continuing operations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Times New Roman" w:cs="Times New Roman" w:eastAsia="Times New Roman" w:hAnsi="Times New Roman"/>
                <w:sz w:val="14"/>
                <w:szCs w:val="14"/>
                <w:color w:val="auto"/>
              </w:rPr>
              <w:t>Adjusted diluted net income per common share from</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280" w:type="dxa"/>
            <w:vAlign w:val="bottom"/>
            <w:vMerge w:val="continue"/>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 (3)</w:t>
            </w:r>
          </w:p>
        </w:tc>
        <w:tc>
          <w:tcPr>
            <w:tcW w:w="120" w:type="dxa"/>
            <w:vAlign w:val="bottom"/>
          </w:tcPr>
          <w:p>
            <w:pPr>
              <w:spacing w:after="0"/>
              <w:rPr>
                <w:sz w:val="7"/>
                <w:szCs w:val="7"/>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7"/>
                <w:szCs w:val="7"/>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7"/>
                <w:szCs w:val="7"/>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7"/>
                <w:szCs w:val="7"/>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continuing operations</w:t>
            </w: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401.6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402.5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Note: See accompanying footnotes.</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5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 (4)</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classification of the Hawthorne business as a discontinued operation, the Company’s reportable segments for fiscal 2026 differ from those used in prior periods. The prior period amounts have been reclassified to reflect the removal of Hawthorne as a reportable segment and from results of continuing operations. U.S. Consumer consists of the Company’s consumer lawn and garden business in the United States. Other primarily consists of the Company’s consumer lawn and garden business in Canada. Corporate consists of general and administrative expenses and certain other income and expense items not allocated to the Company’s operating segments.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before income taxes, amortization, impairment, restructuring and other charges (“Segment Profit (Loss)”), which is a non-GAAP financial measure. The Company believes this measure is indicative of performance trends and the overall earnings potential of each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financial information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Six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228"/>
              <w:spacing w:after="0" w:line="133" w:lineRule="exact"/>
              <w:rPr>
                <w:sz w:val="20"/>
                <w:szCs w:val="20"/>
                <w:color w:val="auto"/>
              </w:rPr>
            </w:pPr>
            <w:r>
              <w:rPr>
                <w:rFonts w:ascii="Times New Roman" w:cs="Times New Roman" w:eastAsia="Times New Roman" w:hAnsi="Times New Roman"/>
                <w:sz w:val="14"/>
                <w:szCs w:val="14"/>
                <w:color w:val="auto"/>
              </w:rPr>
              <w:t>March 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68"/>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1060" w:type="dxa"/>
            <w:vAlign w:val="bottom"/>
            <w:gridSpan w:val="2"/>
          </w:tcPr>
          <w:p>
            <w:pPr>
              <w:jc w:val="right"/>
              <w:ind w:right="34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68"/>
              <w:spacing w:after="0" w:line="133" w:lineRule="exact"/>
              <w:rPr>
                <w:sz w:val="20"/>
                <w:szCs w:val="20"/>
                <w:color w:val="auto"/>
              </w:rPr>
            </w:pPr>
            <w:r>
              <w:rPr>
                <w:rFonts w:ascii="Times New Roman" w:cs="Times New Roman" w:eastAsia="Times New Roman" w:hAnsi="Times New Roman"/>
                <w:sz w:val="14"/>
                <w:szCs w:val="14"/>
                <w:color w:val="auto"/>
              </w:rPr>
              <w:t>March 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68"/>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1060" w:type="dxa"/>
            <w:vAlign w:val="bottom"/>
            <w:gridSpan w:val="2"/>
          </w:tcPr>
          <w:p>
            <w:pPr>
              <w:jc w:val="right"/>
              <w:ind w:right="348"/>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6"/>
                <w:szCs w:val="16"/>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3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Consumer reportable segment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1,705.5</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1,814.0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Segment Profit (Loss) (Non-GAAP):</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Consumer reportable segment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3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gridSpan w:val="3"/>
          </w:tcPr>
          <w:p>
            <w:pPr>
              <w:ind w:left="460"/>
              <w:spacing w:after="0" w:line="119" w:lineRule="exact"/>
              <w:rPr>
                <w:sz w:val="20"/>
                <w:szCs w:val="20"/>
                <w:color w:val="auto"/>
              </w:rPr>
            </w:pPr>
            <w:r>
              <w:rPr>
                <w:rFonts w:ascii="Times New Roman" w:cs="Times New Roman" w:eastAsia="Times New Roman" w:hAnsi="Times New Roman"/>
                <w:sz w:val="13"/>
                <w:szCs w:val="13"/>
                <w:color w:val="auto"/>
              </w:rPr>
              <w:t>Income from continuing operations before income taxes</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3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(GAAP)</w:t>
            </w:r>
          </w:p>
        </w:tc>
        <w:tc>
          <w:tcPr>
            <w:tcW w:w="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assets: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Inventories</w:t>
      </w:r>
    </w:p>
    <w:p>
      <w:pPr>
        <w:spacing w:after="0" w:line="32" w:lineRule="exact"/>
        <w:rPr>
          <w:sz w:val="20"/>
          <w:szCs w:val="20"/>
          <w:color w:val="auto"/>
        </w:rPr>
      </w:pPr>
    </w:p>
    <w:p>
      <w:pPr>
        <w:ind w:left="800" w:right="360"/>
        <w:spacing w:after="0" w:line="290" w:lineRule="auto"/>
        <w:rPr>
          <w:sz w:val="20"/>
          <w:szCs w:val="20"/>
          <w:color w:val="auto"/>
        </w:rPr>
      </w:pPr>
      <w:r>
        <w:rPr>
          <w:rFonts w:ascii="Times New Roman" w:cs="Times New Roman" w:eastAsia="Times New Roman" w:hAnsi="Times New Roman"/>
          <w:sz w:val="16"/>
          <w:szCs w:val="16"/>
          <w:color w:val="auto"/>
        </w:rPr>
        <w:t>Current assets held for sale Prepaid and other current assets</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Investment in unconsolidated affiliates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Goodwill</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Noncurrent assets held for sale</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assets</w:t>
      </w:r>
    </w:p>
    <w:p>
      <w:pPr>
        <w:spacing w:after="0" w:line="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assets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Current portion of debt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32" w:lineRule="exact"/>
        <w:rPr>
          <w:sz w:val="20"/>
          <w:szCs w:val="20"/>
          <w:color w:val="auto"/>
        </w:rPr>
      </w:pPr>
    </w:p>
    <w:p>
      <w:pPr>
        <w:ind w:left="800" w:right="440"/>
        <w:spacing w:after="0" w:line="290" w:lineRule="auto"/>
        <w:rPr>
          <w:sz w:val="20"/>
          <w:szCs w:val="20"/>
          <w:color w:val="auto"/>
        </w:rPr>
      </w:pPr>
      <w:r>
        <w:rPr>
          <w:rFonts w:ascii="Times New Roman" w:cs="Times New Roman" w:eastAsia="Times New Roman" w:hAnsi="Times New Roman"/>
          <w:sz w:val="16"/>
          <w:szCs w:val="16"/>
          <w:color w:val="auto"/>
        </w:rPr>
        <w:t>Current liabilities held for sale Other current liabilities</w:t>
      </w:r>
    </w:p>
    <w:p>
      <w:pPr>
        <w:spacing w:after="0" w:line="1" w:lineRule="exact"/>
        <w:rPr>
          <w:sz w:val="20"/>
          <w:szCs w:val="20"/>
          <w:color w:val="auto"/>
        </w:rPr>
      </w:pPr>
    </w:p>
    <w:p>
      <w:pPr>
        <w:ind w:left="480" w:right="540" w:firstLine="729"/>
        <w:spacing w:after="0" w:line="281" w:lineRule="auto"/>
        <w:rPr>
          <w:sz w:val="20"/>
          <w:szCs w:val="20"/>
          <w:color w:val="auto"/>
        </w:rPr>
      </w:pPr>
      <w:r>
        <w:rPr>
          <w:rFonts w:ascii="Times New Roman" w:cs="Times New Roman" w:eastAsia="Times New Roman" w:hAnsi="Times New Roman"/>
          <w:sz w:val="16"/>
          <w:szCs w:val="16"/>
          <w:color w:val="auto"/>
        </w:rPr>
        <w:t>Total current liabilities Long-term debt</w:t>
      </w:r>
    </w:p>
    <w:p>
      <w:pPr>
        <w:spacing w:after="0" w:line="1" w:lineRule="exact"/>
        <w:rPr>
          <w:sz w:val="20"/>
          <w:szCs w:val="20"/>
          <w:color w:val="auto"/>
        </w:rPr>
      </w:pPr>
    </w:p>
    <w:p>
      <w:pPr>
        <w:ind w:left="480" w:right="520"/>
        <w:spacing w:after="0" w:line="291" w:lineRule="auto"/>
        <w:rPr>
          <w:sz w:val="20"/>
          <w:szCs w:val="20"/>
          <w:color w:val="auto"/>
        </w:rPr>
      </w:pPr>
      <w:r>
        <w:rPr>
          <w:rFonts w:ascii="Times New Roman" w:cs="Times New Roman" w:eastAsia="Times New Roman" w:hAnsi="Times New Roman"/>
          <w:sz w:val="16"/>
          <w:szCs w:val="16"/>
          <w:color w:val="auto"/>
        </w:rPr>
        <w:t>Noncurrent liabilities held for sale Other liabilities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(4)</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308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28,</w:t>
            </w: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29,</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3"/>
        </w:trPr>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625"/>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19"/>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207"/>
        </w:trPr>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w:t>
            </w:r>
          </w:p>
        </w:tc>
      </w:tr>
      <w:tr>
        <w:trPr>
          <w:trHeight w:val="216"/>
        </w:trPr>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9"/>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452.7</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3"/>
        </w:trPr>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608"/>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9"/>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r>
      <w:tr>
        <w:trPr>
          <w:trHeight w:val="207"/>
        </w:trPr>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2,049.2</w:t>
            </w:r>
          </w:p>
        </w:tc>
      </w:tr>
      <w:tr>
        <w:trPr>
          <w:trHeight w:val="216"/>
        </w:trPr>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6"/>
        </w:trPr>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-3467100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-3192780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-2918460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-2644140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-2361565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-2087245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-1812925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-1538605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-1238250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-964565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-689610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-407035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-132715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20" w:space="720"/>
            <w:col w:w="73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70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3,698.5</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3,826.8</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3,099.5</w:t>
            </w:r>
          </w:p>
        </w:tc>
      </w:tr>
      <w:tr>
        <w:trPr>
          <w:trHeight w:val="216"/>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 (deficit)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r>
      <w:tr>
        <w:trPr>
          <w:trHeight w:val="212"/>
        </w:trPr>
        <w:tc>
          <w:tcPr>
            <w:tcW w:w="70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 and equity (deficit)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0"/>
        </w:trPr>
        <w:tc>
          <w:tcPr>
            <w:tcW w:w="7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360"/>
        <w:spacing w:after="0"/>
        <w:tabs>
          <w:tab w:leader="none" w:pos="2420" w:val="left"/>
        </w:tabs>
        <w:rPr>
          <w:sz w:val="20"/>
          <w:szCs w:val="20"/>
          <w:color w:val="auto"/>
        </w:rPr>
      </w:pPr>
      <w:r>
        <w:rPr>
          <w:rFonts w:ascii="Times New Roman" w:cs="Times New Roman" w:eastAsia="Times New Roman" w:hAnsi="Times New Roman"/>
          <w:sz w:val="16"/>
          <w:szCs w:val="16"/>
          <w:color w:val="auto"/>
        </w:rPr>
        <w:t>Three Months Ended March 28, 2026</w:t>
      </w:r>
      <w:r>
        <w:rPr>
          <w:sz w:val="20"/>
          <w:szCs w:val="20"/>
          <w:color w:val="auto"/>
        </w:rPr>
        <w:tab/>
      </w:r>
      <w:r>
        <w:rPr>
          <w:rFonts w:ascii="Times New Roman" w:cs="Times New Roman" w:eastAsia="Times New Roman" w:hAnsi="Times New Roman"/>
          <w:sz w:val="16"/>
          <w:szCs w:val="16"/>
          <w:color w:val="auto"/>
        </w:rPr>
        <w:t>Three Months Ended March 29, 2025</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820" w:type="dxa"/>
        <w:tblCellMar>
          <w:top w:w="0" w:type="dxa"/>
          <w:left w:w="0" w:type="dxa"/>
          <w:bottom w:w="0" w:type="dxa"/>
          <w:right w:w="0" w:type="dxa"/>
        </w:tblCellMar>
      </w:tblPr>
      <w:tr>
        <w:trPr>
          <w:trHeight w:val="139"/>
        </w:trPr>
        <w:tc>
          <w:tcPr>
            <w:tcW w:w="100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000" w:type="dxa"/>
            <w:vAlign w:val="bottom"/>
            <w:tcBorders>
              <w:top w:val="single" w:sz="8" w:color="auto"/>
            </w:tcBorders>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0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00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00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0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98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980" w:space="100"/>
            <w:col w:w="31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610.5</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542.1</w:t>
            </w: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401.8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(2.2)</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349.7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25.2 %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364.9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(2.2)</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306.0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101.6</w:t>
            </w:r>
          </w:p>
        </w:tc>
        <w:tc>
          <w:tcPr>
            <w:tcW w:w="34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2.4</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263.3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(4.5)</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267.8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220.7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 from continuing operations</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4.46</w:t>
            </w:r>
          </w:p>
        </w:tc>
        <w:tc>
          <w:tcPr>
            <w:tcW w:w="3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(0.08)</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(0.22)</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8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color w:val="auto"/>
              </w:rPr>
              <w:t>Three Months Ended March</w:t>
            </w: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Three Months Ended March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28, 2026</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29, 2025</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(GAAP)</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460"/>
        <w:spacing w:after="0"/>
        <w:tabs>
          <w:tab w:leader="none" w:pos="2260" w:val="left"/>
        </w:tabs>
        <w:rPr>
          <w:sz w:val="20"/>
          <w:szCs w:val="20"/>
          <w:color w:val="auto"/>
        </w:rPr>
      </w:pPr>
      <w:r>
        <w:rPr>
          <w:rFonts w:ascii="Times New Roman" w:cs="Times New Roman" w:eastAsia="Times New Roman" w:hAnsi="Times New Roman"/>
          <w:sz w:val="16"/>
          <w:szCs w:val="16"/>
          <w:color w:val="auto"/>
        </w:rPr>
        <w:t>Six Months Ended March 28, 2026</w:t>
      </w:r>
      <w:r>
        <w:rPr>
          <w:sz w:val="20"/>
          <w:szCs w:val="20"/>
          <w:color w:val="auto"/>
        </w:rPr>
        <w:tab/>
      </w:r>
      <w:r>
        <w:rPr>
          <w:rFonts w:ascii="Times New Roman" w:cs="Times New Roman" w:eastAsia="Times New Roman" w:hAnsi="Times New Roman"/>
          <w:sz w:val="16"/>
          <w:szCs w:val="16"/>
          <w:color w:val="auto"/>
        </w:rPr>
        <w:t>Six Months Ended March 29, 2025</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800" w:type="dxa"/>
        <w:tblCellMar>
          <w:top w:w="0" w:type="dxa"/>
          <w:left w:w="0" w:type="dxa"/>
          <w:bottom w:w="0" w:type="dxa"/>
          <w:right w:w="0" w:type="dxa"/>
        </w:tblCellMar>
      </w:tblPr>
      <w:tr>
        <w:trPr>
          <w:trHeight w:val="139"/>
        </w:trPr>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000" w:type="dxa"/>
            <w:vAlign w:val="bottom"/>
            <w:tcBorders>
              <w:top w:val="single" w:sz="8" w:color="auto"/>
            </w:tcBorders>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960" w:space="100"/>
            <w:col w:w="318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699.2</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380.0</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301.6</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215.6</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net income per common share from continuing operations</w:t>
            </w:r>
          </w:p>
        </w:tc>
        <w:tc>
          <w:tcPr>
            <w:tcW w:w="2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3.65</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(0.13)</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(0.49)</w:t>
            </w:r>
          </w:p>
        </w:tc>
        <w:tc>
          <w:tcPr>
            <w:tcW w:w="4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0"/>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rPr>
              <w:t>Six Months Ended March</w:t>
            </w:r>
          </w:p>
        </w:tc>
        <w:tc>
          <w:tcPr>
            <w:tcW w:w="120" w:type="dxa"/>
            <w:vAlign w:val="bottom"/>
          </w:tcPr>
          <w:p>
            <w:pPr>
              <w:spacing w:after="0"/>
              <w:rPr>
                <w:sz w:val="24"/>
                <w:szCs w:val="24"/>
                <w:color w:val="auto"/>
              </w:rPr>
            </w:pPr>
          </w:p>
        </w:tc>
        <w:tc>
          <w:tcPr>
            <w:tcW w:w="1760" w:type="dxa"/>
            <w:vAlign w:val="bottom"/>
            <w:gridSpan w:val="3"/>
          </w:tcPr>
          <w:p>
            <w:pPr>
              <w:jc w:val="center"/>
              <w:ind w:right="19"/>
              <w:spacing w:after="0"/>
              <w:rPr>
                <w:sz w:val="20"/>
                <w:szCs w:val="20"/>
                <w:color w:val="auto"/>
              </w:rPr>
            </w:pPr>
            <w:r>
              <w:rPr>
                <w:rFonts w:ascii="Times New Roman" w:cs="Times New Roman" w:eastAsia="Times New Roman" w:hAnsi="Times New Roman"/>
                <w:sz w:val="16"/>
                <w:szCs w:val="16"/>
                <w:color w:val="auto"/>
              </w:rPr>
              <w:t>Six Months Ended March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gridSpan w:val="2"/>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28, 2026</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29, 2025</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(GAAP)</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1" w:right="339" w:bottom="1440" w:gutter="0" w:footer="0" w:header="0"/>
          <w:type w:val="continuous"/>
        </w:sectPr>
      </w:pPr>
    </w:p>
    <w:bookmarkStart w:id="11" w:name="page12"/>
    <w:bookmarkEnd w:id="11"/>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 w:hanging="330"/>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common share amounts are calculated by dividing net income (loss) from continuing operations and discontinued operations by the weighted average number of common shares outstanding during the period.</w:t>
      </w:r>
    </w:p>
    <w:p>
      <w:pPr>
        <w:spacing w:after="0" w:line="188" w:lineRule="exact"/>
        <w:rPr>
          <w:rFonts w:ascii="Times New Roman" w:cs="Times New Roman" w:eastAsia="Times New Roman" w:hAnsi="Times New Roman"/>
          <w:sz w:val="18"/>
          <w:szCs w:val="18"/>
          <w:color w:val="auto"/>
        </w:rPr>
      </w:pPr>
    </w:p>
    <w:p>
      <w:pPr>
        <w:jc w:val="both"/>
        <w:ind w:left="330" w:hanging="330"/>
        <w:spacing w:after="0" w:line="266"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(loss) per common share amounts are calculated by dividing net income (loss) from continuing operations and discontinued operations by the weighted average number of common shares, plus all potential dilutive securities (common stock options, performance shares, performance units, restricted stock and restricted stock units) outstanding during the period.</w:t>
      </w:r>
    </w:p>
    <w:p>
      <w:pPr>
        <w:spacing w:after="0" w:line="200" w:lineRule="exact"/>
        <w:rPr>
          <w:rFonts w:ascii="Times New Roman" w:cs="Times New Roman" w:eastAsia="Times New Roman" w:hAnsi="Times New Roman"/>
          <w:sz w:val="18"/>
          <w:szCs w:val="18"/>
          <w:color w:val="auto"/>
        </w:rPr>
      </w:pPr>
    </w:p>
    <w:p>
      <w:pPr>
        <w:ind w:left="330" w:right="7920" w:hanging="330"/>
        <w:spacing w:after="0" w:line="564" w:lineRule="auto"/>
        <w:tabs>
          <w:tab w:leader="none" w:pos="3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33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w:t>
      </w:r>
    </w:p>
    <w:p>
      <w:pPr>
        <w:spacing w:after="0" w:line="215" w:lineRule="exact"/>
        <w:rPr>
          <w:rFonts w:ascii="Times New Roman" w:cs="Times New Roman" w:eastAsia="Times New Roman" w:hAnsi="Times New Roman"/>
          <w:sz w:val="17"/>
          <w:szCs w:val="17"/>
          <w:color w:val="auto"/>
        </w:rPr>
      </w:pPr>
    </w:p>
    <w:p>
      <w:pPr>
        <w:jc w:val="both"/>
        <w:ind w:left="33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spacing w:after="0" w:line="206" w:lineRule="exact"/>
        <w:rPr>
          <w:rFonts w:ascii="Times New Roman" w:cs="Times New Roman" w:eastAsia="Times New Roman" w:hAnsi="Times New Roman"/>
          <w:sz w:val="17"/>
          <w:szCs w:val="17"/>
          <w:color w:val="auto"/>
        </w:rPr>
      </w:pPr>
    </w:p>
    <w:p>
      <w:pPr>
        <w:jc w:val="both"/>
        <w:ind w:left="33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 Management views free cash flow as an important measure because it is one factor used in determining the amount of cash available for dividends and discretionary investment.</w:t>
      </w:r>
    </w:p>
    <w:p>
      <w:pPr>
        <w:spacing w:after="0" w:line="215"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52"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52" w:lineRule="exact"/>
        <w:rPr>
          <w:rFonts w:ascii="Times New Roman" w:cs="Times New Roman" w:eastAsia="Times New Roman" w:hAnsi="Times New Roman"/>
          <w:sz w:val="17"/>
          <w:szCs w:val="17"/>
          <w:color w:val="auto"/>
        </w:rPr>
      </w:pPr>
    </w:p>
    <w:p>
      <w:pPr>
        <w:ind w:left="970" w:right="20" w:hanging="322"/>
        <w:spacing w:after="0" w:line="261"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5"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spacing w:after="0" w:line="213" w:lineRule="exact"/>
        <w:rPr>
          <w:sz w:val="20"/>
          <w:szCs w:val="20"/>
          <w:color w:val="auto"/>
        </w:rPr>
      </w:pPr>
    </w:p>
    <w:p>
      <w:pPr>
        <w:ind w:left="330"/>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ectPr>
          <w:pgSz w:w="11900" w:h="16838" w:orient="portrait"/>
          <w:cols w:equalWidth="0" w:num="1">
            <w:col w:w="11070"/>
          </w:cols>
          <w:pgMar w:left="49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11" w:right="339" w:bottom="1440" w:gutter="0" w:footer="0" w:header="0"/>
          <w:type w:val="continuous"/>
        </w:sectPr>
      </w:pPr>
    </w:p>
    <w:bookmarkStart w:id="12" w:name="page13"/>
    <w:bookmarkEnd w:id="12"/>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gross margin</w:t>
      </w:r>
      <w:r>
        <w:rPr>
          <w:rFonts w:ascii="Times New Roman" w:cs="Times New Roman" w:eastAsia="Times New Roman" w:hAnsi="Times New Roman"/>
          <w:sz w:val="18"/>
          <w:szCs w:val="18"/>
          <w:color w:val="auto"/>
        </w:rPr>
        <w:t>: Gross margin excluding impairment, restructuring and other charges / recoveries.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w:t>
      </w:r>
    </w:p>
    <w:p>
      <w:pPr>
        <w:spacing w:after="0" w:line="9"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continuing operations before income taxes</w:t>
      </w:r>
      <w:r>
        <w:rPr>
          <w:rFonts w:ascii="Times New Roman" w:cs="Times New Roman" w:eastAsia="Times New Roman" w:hAnsi="Times New Roman"/>
          <w:sz w:val="18"/>
          <w:szCs w:val="18"/>
          <w:color w:val="auto"/>
        </w:rPr>
        <w:t>: Income (loss) from continuing operations before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impairment, restructuring and other charges / 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tax expense (benefit) from continuing operations</w:t>
      </w:r>
      <w:r>
        <w:rPr>
          <w:rFonts w:ascii="Times New Roman" w:cs="Times New Roman" w:eastAsia="Times New Roman" w:hAnsi="Times New Roman"/>
          <w:sz w:val="18"/>
          <w:szCs w:val="18"/>
          <w:color w:val="auto"/>
        </w:rPr>
        <w:t>: Income tax expense (benefit) from continuing operations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effect of impairment, restructuring and other charges / recoveries, costs related to refinancing and certain other non-operating income / expense items.</w:t>
      </w:r>
    </w:p>
    <w:p>
      <w:pPr>
        <w:spacing w:after="0" w:line="1" w:lineRule="exact"/>
        <w:rPr>
          <w:sz w:val="20"/>
          <w:szCs w:val="20"/>
          <w:color w:val="auto"/>
        </w:rPr>
      </w:pPr>
    </w:p>
    <w:p>
      <w:pPr>
        <w:jc w:val="both"/>
        <w:ind w:left="320" w:right="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 from continuing operations</w:t>
      </w:r>
      <w:r>
        <w:rPr>
          <w:rFonts w:ascii="Times New Roman" w:cs="Times New Roman" w:eastAsia="Times New Roman" w:hAnsi="Times New Roman"/>
          <w:sz w:val="18"/>
          <w:szCs w:val="18"/>
          <w:color w:val="auto"/>
        </w:rPr>
        <w:t>: Net income (loss) from continuing operations excluding impairment,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charges / recoveries, costs related to refinancing and certain other non-operating income / expense items, each net of tax.</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net income (loss) per common share from continuing operations</w:t>
      </w:r>
      <w:r>
        <w:rPr>
          <w:rFonts w:ascii="Times New Roman" w:cs="Times New Roman" w:eastAsia="Times New Roman" w:hAnsi="Times New Roman"/>
          <w:sz w:val="18"/>
          <w:szCs w:val="18"/>
          <w:color w:val="auto"/>
        </w:rPr>
        <w:t>: Diluted net income (loss) per common share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operations excluding impairment, restructuring and other charges / recoveries, costs related to refinancing and certain other non-operating income / expense items, each net of tax.</w:t>
      </w:r>
    </w:p>
    <w:p>
      <w:pPr>
        <w:spacing w:after="0" w:line="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discontinued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the impact of 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w:t>
      </w: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28, 2026, the following items were adjusted, in accordance with the definitions above, to arrive at the non-GAAP financial measures:</w:t>
      </w:r>
    </w:p>
    <w:p>
      <w:pPr>
        <w:spacing w:after="0" w:line="189" w:lineRule="exact"/>
        <w:rPr>
          <w:sz w:val="20"/>
          <w:szCs w:val="20"/>
          <w:color w:val="auto"/>
        </w:rPr>
      </w:pPr>
    </w:p>
    <w:p>
      <w:pPr>
        <w:jc w:val="both"/>
        <w:ind w:left="640" w:hanging="322"/>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discontinued operations, net of tax, associated with the Hawthorne business was $24.7 million and $102.0 million for the three and six months ended March 28, 2026, respectively. During the three and six months ended March 28, 2026, the Company incurred pre-tax charges of $29.6 million and $134.4 million, respectively, related to valuation adjustments to recognize the carrying amount of the Hawthorne business at fair value less estimated costs to sell.</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29, 2025, the following items were adjusted, in accordance with the definitions above, to arrive at the non-GAAP financial measures:</w:t>
      </w:r>
    </w:p>
    <w:p>
      <w:pPr>
        <w:spacing w:after="0" w:line="189" w:lineRule="exact"/>
        <w:rPr>
          <w:sz w:val="20"/>
          <w:szCs w:val="20"/>
          <w:color w:val="auto"/>
        </w:rPr>
      </w:pPr>
    </w:p>
    <w:p>
      <w:pPr>
        <w:jc w:val="both"/>
        <w:ind w:left="640" w:hanging="322"/>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29, 2025, the Company incurred employee and executive severance charges of $3.0 million in the “Cost of sales—impairment, restructuring and other” line in the Condensed Consolidated Statements of Operations and $5.4 million and $14.9 million, respectively,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29, 2025, the Company incurred a non-cash loss of $0.0 million and $7.0 million, respectively, in the “Impairment, restructuring and other” line in the Condensed Consolidated Statements of Operations related to the exchange of its convertible debt investment in RIV Capital Inc. for non-voting exchangeable shares of FLUENT Corp. (formerly Cansortium Inc.).</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the supply chain network, reduced staffing levels and implemented other cost-reduction initiatives. During the three and six months ended March 29, 2025, the Company incurred costs of $2.3 million and $3.7 million, respectively, in the “Cost of sales—impairment, restructuring and other” line in the Condensed Consolidated Statements of Operations associated with this restructuring initiative.</w:t>
      </w:r>
    </w:p>
    <w:p>
      <w:pPr>
        <w:spacing w:after="0" w:line="200" w:lineRule="exact"/>
        <w:rPr>
          <w:sz w:val="20"/>
          <w:szCs w:val="20"/>
          <w:color w:val="auto"/>
        </w:rPr>
      </w:pP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40"/>
          </w:cols>
          <w:pgMar w:left="820" w:top="111" w:right="339" w:bottom="1440" w:gutter="0" w:footer="0" w:header="0"/>
        </w:sectPr>
      </w:pPr>
    </w:p>
    <w:bookmarkStart w:id="13" w:name="page14"/>
    <w:bookmarkEnd w:id="13"/>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u w:val="single" w:color="auto"/>
          <w:color w:val="auto"/>
        </w:rPr>
        <w:t>Forward Looking Non-GAAP Measures</w:t>
      </w:r>
    </w:p>
    <w:p>
      <w:pPr>
        <w:spacing w:after="0" w:line="27" w:lineRule="exact"/>
        <w:rPr>
          <w:sz w:val="20"/>
          <w:szCs w:val="20"/>
          <w:color w:val="auto"/>
        </w:rPr>
      </w:pPr>
    </w:p>
    <w:p>
      <w:pPr>
        <w:jc w:val="both"/>
        <w:ind w:left="330"/>
        <w:spacing w:after="0" w:line="251" w:lineRule="auto"/>
        <w:rPr>
          <w:sz w:val="20"/>
          <w:szCs w:val="20"/>
          <w:color w:val="auto"/>
        </w:rPr>
      </w:pPr>
      <w:r>
        <w:rPr>
          <w:rFonts w:ascii="Times New Roman" w:cs="Times New Roman" w:eastAsia="Times New Roman" w:hAnsi="Times New Roman"/>
          <w:sz w:val="18"/>
          <w:szCs w:val="18"/>
          <w:color w:val="auto"/>
        </w:rPr>
        <w:t>In this release, the Company presents certain forward-looking non-GAAP measures. The Company does not provide outlook on a GAAP basis because changes in the items that the Company excludes from GAAP to calculate the comparable non-GAAP measure, described above, can be dependent on future events that are less capable of being controlled or reliably predicted by management and are not part of the Company’s routine operating activities. Additionally, due to their unpredictability, management does not forecast many of the excluded items for internal use and therefore cannot create or rely on a GAAP outlook without unreasonable efforts. The occurrence, timing and amount of any of the items excluded from GAAP to calculate non-GAAP could significantly impact the Company’s GAAP results. As a result, the Company does not provide a reconciliation of forward-looking non-GAAP measures to GAAP measures, in reliance on the unreasonable efforts exception provided under Item 10(e)(1)(i)(B) of Regulation S-K.</w:t>
      </w:r>
    </w:p>
    <w:p>
      <w:pPr>
        <w:spacing w:after="0" w:line="221" w:lineRule="exact"/>
        <w:rPr>
          <w:sz w:val="20"/>
          <w:szCs w:val="20"/>
          <w:color w:val="auto"/>
        </w:rPr>
      </w:pPr>
    </w:p>
    <w:p>
      <w:pPr>
        <w:jc w:val="both"/>
        <w:ind w:left="330" w:hanging="330"/>
        <w:spacing w:after="0" w:line="261"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27, 2025, the Company determined that the Hawthorne business met the criteria to be classified as held for sale, and classified the related assets and liabilities as held for sale on the Condensed Consolidated Balance Sheets for all periods presented. Effective in its first quarter of fiscal 2026, the Company classified its results of operations for all periods presented to reflect the Hawthorne business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070"/>
      </w:cols>
      <w:pgMar w:left="49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2026-04-29T07:07:38Z</dcterms:created>
  <dcterms:modified xsi:type="dcterms:W3CDTF">2026-04-29T07:07:38Z</dcterms:modified>
</cp:coreProperties>
</file>