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9, 2026 (April 8, 2026)</w:t>
      </w:r>
    </w:p>
    <w:p>
      <w:pPr>
        <w:spacing w:after="0" w:line="32"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Scotts Miracle-Gro Company</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93"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334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2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001-11593</w:t>
            </w:r>
          </w:p>
        </w:tc>
        <w:tc>
          <w:tcPr>
            <w:tcW w:w="1460" w:type="dxa"/>
            <w:vAlign w:val="bottom"/>
          </w:tcPr>
          <w:p>
            <w:pPr>
              <w:spacing w:after="0"/>
              <w:rPr>
                <w:sz w:val="20"/>
                <w:szCs w:val="20"/>
                <w:color w:val="auto"/>
              </w:rPr>
            </w:pPr>
          </w:p>
        </w:tc>
        <w:tc>
          <w:tcPr>
            <w:tcW w:w="22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229"/>
        </w:trPr>
        <w:tc>
          <w:tcPr>
            <w:tcW w:w="334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(Commission</w:t>
            </w:r>
          </w:p>
        </w:tc>
        <w:tc>
          <w:tcPr>
            <w:tcW w:w="1460" w:type="dxa"/>
            <w:vAlign w:val="bottom"/>
          </w:tcPr>
          <w:p>
            <w:pPr>
              <w:spacing w:after="0"/>
              <w:rPr>
                <w:sz w:val="19"/>
                <w:szCs w:val="19"/>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34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of incorporation or organization)</w:t>
            </w:r>
          </w:p>
        </w:tc>
        <w:tc>
          <w:tcPr>
            <w:tcW w:w="24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File Number)</w:t>
            </w:r>
          </w:p>
        </w:tc>
        <w:tc>
          <w:tcPr>
            <w:tcW w:w="146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33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24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Marysville</w:t>
            </w:r>
          </w:p>
        </w:tc>
        <w:tc>
          <w:tcPr>
            <w:tcW w:w="14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Ohio</w:t>
            </w:r>
          </w:p>
        </w:tc>
        <w:tc>
          <w:tcPr>
            <w:tcW w:w="2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43041</w:t>
            </w:r>
          </w:p>
        </w:tc>
      </w:tr>
      <w:tr>
        <w:trPr>
          <w:trHeight w:val="234"/>
        </w:trPr>
        <w:tc>
          <w:tcPr>
            <w:tcW w:w="33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(937) 644-0011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w:t>
      </w:r>
    </w:p>
    <w:p>
      <w:pPr>
        <w:spacing w:after="0" w:line="24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0" w:lineRule="exact"/>
        <w:rPr>
          <w:rFonts w:ascii="MS PGothic" w:cs="MS PGothic" w:eastAsia="MS PGothic" w:hAnsi="MS PGothic"/>
          <w:sz w:val="22"/>
          <w:szCs w:val="22"/>
          <w:color w:val="auto"/>
        </w:rPr>
      </w:pPr>
    </w:p>
    <w:p>
      <w:pPr>
        <w:ind w:left="420" w:hanging="412"/>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0" w:lineRule="exact"/>
        <w:rPr>
          <w:rFonts w:ascii="MS PGothic" w:cs="MS PGothic" w:eastAsia="MS PGothic" w:hAnsi="MS PGothic"/>
          <w:sz w:val="22"/>
          <w:szCs w:val="22"/>
          <w:color w:val="auto"/>
        </w:rPr>
      </w:pPr>
    </w:p>
    <w:p>
      <w:pPr>
        <w:ind w:left="420" w:hanging="412"/>
        <w:spacing w:after="0" w:line="237" w:lineRule="auto"/>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168" w:right="339" w:bottom="1440" w:gutter="0" w:footer="0" w:header="0"/>
        </w:sectPr>
      </w:pPr>
    </w:p>
    <w:p>
      <w:pPr>
        <w:spacing w:after="0" w:line="158"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7"/>
          <w:szCs w:val="17"/>
          <w:color w:val="auto"/>
        </w:rPr>
        <w:t>Common Shares, $0.01 stated value</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SMG</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NYSE</w:t>
      </w:r>
    </w:p>
    <w:p>
      <w:pPr>
        <w:spacing w:after="0" w:line="200" w:lineRule="exact"/>
        <w:rPr>
          <w:sz w:val="24"/>
          <w:szCs w:val="24"/>
          <w:color w:val="auto"/>
        </w:rPr>
      </w:pPr>
    </w:p>
    <w:p>
      <w:pPr>
        <w:sectPr>
          <w:pgSz w:w="11900" w:h="16838" w:orient="portrait"/>
          <w:cols w:equalWidth="0" w:num="3">
            <w:col w:w="4000" w:space="720"/>
            <w:col w:w="1880" w:space="720"/>
            <w:col w:w="3920"/>
          </w:cols>
          <w:pgMar w:left="320" w:top="1168" w:right="339" w:bottom="1440" w:gutter="0" w:footer="0" w:header="0"/>
          <w:type w:val="continuous"/>
        </w:sectPr>
      </w:pPr>
    </w:p>
    <w:p>
      <w:pPr>
        <w:spacing w:after="0" w:line="142" w:lineRule="exact"/>
        <w:rPr>
          <w:sz w:val="24"/>
          <w:szCs w:val="24"/>
          <w:color w:val="auto"/>
        </w:rPr>
      </w:pPr>
    </w:p>
    <w:p>
      <w:pPr>
        <w:ind w:right="5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793115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188595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8.01. Other Events.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April 8, 2026, SMG Growing Media LLC (“</w:t>
      </w:r>
      <w:r>
        <w:rPr>
          <w:rFonts w:ascii="Times New Roman" w:cs="Times New Roman" w:eastAsia="Times New Roman" w:hAnsi="Times New Roman"/>
          <w:sz w:val="18"/>
          <w:szCs w:val="18"/>
          <w:u w:val="single" w:color="auto"/>
          <w:color w:val="auto"/>
        </w:rPr>
        <w:t>Media</w:t>
      </w:r>
      <w:r>
        <w:rPr>
          <w:rFonts w:ascii="Times New Roman" w:cs="Times New Roman" w:eastAsia="Times New Roman" w:hAnsi="Times New Roman"/>
          <w:sz w:val="18"/>
          <w:szCs w:val="18"/>
          <w:color w:val="auto"/>
        </w:rPr>
        <w:t>”), an Ohio limited liability company and wholly-owned subsidiary of The Scotts Miracle-Gro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among other things, a Securities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Vireo Growth Inc., a British Columbia Corporation (“</w:t>
      </w:r>
      <w:r>
        <w:rPr>
          <w:rFonts w:ascii="Times New Roman" w:cs="Times New Roman" w:eastAsia="Times New Roman" w:hAnsi="Times New Roman"/>
          <w:sz w:val="18"/>
          <w:szCs w:val="18"/>
          <w:u w:val="single" w:color="auto"/>
          <w:color w:val="auto"/>
        </w:rPr>
        <w:t>Vireo</w:t>
      </w:r>
      <w:r>
        <w:rPr>
          <w:rFonts w:ascii="Times New Roman" w:cs="Times New Roman" w:eastAsia="Times New Roman" w:hAnsi="Times New Roman"/>
          <w:sz w:val="18"/>
          <w:szCs w:val="18"/>
          <w:color w:val="auto"/>
        </w:rPr>
        <w:t>”) and Prolific Supply LLC, a Delaware limited liability company, pursuant to which, subject to the terms and conditions set forth therein, Media sold the Company’s Hawthorne business (“</w:t>
      </w:r>
      <w:r>
        <w:rPr>
          <w:rFonts w:ascii="Times New Roman" w:cs="Times New Roman" w:eastAsia="Times New Roman" w:hAnsi="Times New Roman"/>
          <w:sz w:val="18"/>
          <w:szCs w:val="18"/>
          <w:u w:val="single" w:color="auto"/>
          <w:color w:val="auto"/>
        </w:rPr>
        <w:t>Hawthorne</w:t>
      </w:r>
      <w:r>
        <w:rPr>
          <w:rFonts w:ascii="Times New Roman" w:cs="Times New Roman" w:eastAsia="Times New Roman" w:hAnsi="Times New Roman"/>
          <w:sz w:val="18"/>
          <w:szCs w:val="18"/>
          <w:color w:val="auto"/>
        </w:rPr>
        <w:t>”) to Vireo for 213 million subordinate voting shares in the authorized share structure of Vireo (“</w:t>
      </w:r>
      <w:r>
        <w:rPr>
          <w:rFonts w:ascii="Times New Roman" w:cs="Times New Roman" w:eastAsia="Times New Roman" w:hAnsi="Times New Roman"/>
          <w:sz w:val="18"/>
          <w:szCs w:val="18"/>
          <w:u w:val="single" w:color="auto"/>
          <w:color w:val="auto"/>
        </w:rPr>
        <w:t>Vireo Shares</w:t>
      </w:r>
      <w:r>
        <w:rPr>
          <w:rFonts w:ascii="Times New Roman" w:cs="Times New Roman" w:eastAsia="Times New Roman" w:hAnsi="Times New Roman"/>
          <w:sz w:val="18"/>
          <w:szCs w:val="18"/>
          <w:color w:val="auto"/>
        </w:rPr>
        <w:t>”) and warrants to acquire 80 million additional Vireo Shares. Hawthorne provides nutrients, lighting and other materials used for indoor and hydroponic gardening in North America. This transaction closed substantially simultaneously with the signing of the Agreement.</w:t>
      </w:r>
    </w:p>
    <w:p>
      <w:pPr>
        <w:spacing w:after="0" w:line="214"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previously announced, effective in its first quarter of fiscal 2026, the Company classified its results of operations for all periods presented to reflect Hawthorne as a discontinued operation.</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announcing the completion of this transaction is being furnished as Exhibit 99.1 and is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9.01. Financial Statements and Exhibits.</w:t>
      </w:r>
    </w:p>
    <w:p>
      <w:pPr>
        <w:spacing w:after="0" w:line="175" w:lineRule="exact"/>
        <w:rPr>
          <w:sz w:val="20"/>
          <w:szCs w:val="20"/>
          <w:color w:val="auto"/>
        </w:rPr>
      </w:pPr>
    </w:p>
    <w:p>
      <w:pPr>
        <w:ind w:right="7740" w:firstLine="8"/>
        <w:spacing w:after="0" w:line="438" w:lineRule="auto"/>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Financial statements of businesses acquired: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forma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ind w:right="8900" w:firstLine="8"/>
        <w:spacing w:after="0" w:line="438" w:lineRule="auto"/>
        <w:tabs>
          <w:tab w:leader="none" w:pos="2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Shell company transactions: </w:t>
      </w:r>
      <w:r>
        <w:rPr>
          <w:rFonts w:ascii="Times New Roman" w:cs="Times New Roman" w:eastAsia="Times New Roman" w:hAnsi="Times New Roman"/>
          <w:sz w:val="18"/>
          <w:szCs w:val="18"/>
          <w:color w:val="auto"/>
        </w:rPr>
        <w:t>Not applicable.</w:t>
      </w: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26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2"/>
                <w:szCs w:val="22"/>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News Release issued by The Scotts Miracle-Gro Company on April 9, 2026</w:t>
            </w:r>
          </w:p>
        </w:tc>
      </w:tr>
      <w:tr>
        <w:trPr>
          <w:trHeight w:val="31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SCOTTS MIRACLE-GRO COMPANY</w:t>
            </w:r>
          </w:p>
        </w:tc>
      </w:tr>
      <w:tr>
        <w:trPr>
          <w:trHeight w:val="48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Dated: April 9, 2026</w:t>
            </w:r>
          </w:p>
        </w:tc>
        <w:tc>
          <w:tcPr>
            <w:tcW w:w="72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   /s/ DIMITER TODOROV</w:t>
            </w:r>
          </w:p>
        </w:tc>
      </w:tr>
      <w:tr>
        <w:trPr>
          <w:trHeight w:val="218"/>
        </w:trPr>
        <w:tc>
          <w:tcPr>
            <w:tcW w:w="2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5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Printed Name: Dimiter Todorov</w:t>
            </w:r>
          </w:p>
        </w:tc>
      </w:tr>
      <w:tr>
        <w:trPr>
          <w:trHeight w:val="180"/>
        </w:trPr>
        <w:tc>
          <w:tcPr>
            <w:tcW w:w="2920" w:type="dxa"/>
            <w:vAlign w:val="bottom"/>
          </w:tcPr>
          <w:p>
            <w:pPr>
              <w:spacing w:after="0"/>
              <w:rPr>
                <w:sz w:val="15"/>
                <w:szCs w:val="15"/>
                <w:color w:val="auto"/>
              </w:rPr>
            </w:pPr>
          </w:p>
        </w:tc>
        <w:tc>
          <w:tcPr>
            <w:tcW w:w="7240" w:type="dxa"/>
            <w:vAlign w:val="bottom"/>
            <w:gridSpan w:val="2"/>
          </w:tcPr>
          <w:p>
            <w:pPr>
              <w:ind w:left="144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Legal  Officer  &amp;  Corporate</w:t>
            </w:r>
          </w:p>
        </w:tc>
      </w:tr>
      <w:tr>
        <w:trPr>
          <w:trHeight w:val="234"/>
        </w:trPr>
        <w:tc>
          <w:tcPr>
            <w:tcW w:w="2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56"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Current Report on Form 8-K</w:t>
      </w:r>
    </w:p>
    <w:p>
      <w:pPr>
        <w:spacing w:after="0" w:line="27"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Dated April 9, 2026</w:t>
      </w:r>
    </w:p>
    <w:p>
      <w:pPr>
        <w:spacing w:after="0" w:line="9"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760" w:type="dxa"/>
            <w:vAlign w:val="bottom"/>
          </w:tcPr>
          <w:p>
            <w:pPr>
              <w:spacing w:after="0"/>
              <w:rPr>
                <w:sz w:val="17"/>
                <w:szCs w:val="17"/>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19"/>
                <w:szCs w:val="19"/>
                <w:color w:val="auto"/>
              </w:rPr>
            </w:pPr>
          </w:p>
        </w:tc>
        <w:tc>
          <w:tcPr>
            <w:tcW w:w="5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News Release issued by The Scotts Miracle-Gro Company on April 9, 2026</w:t>
            </w:r>
          </w:p>
        </w:tc>
        <w:tc>
          <w:tcPr>
            <w:tcW w:w="300" w:type="dxa"/>
            <w:vAlign w:val="bottom"/>
          </w:tcPr>
          <w:p>
            <w:pPr>
              <w:spacing w:after="0"/>
              <w:rPr>
                <w:sz w:val="19"/>
                <w:szCs w:val="19"/>
                <w:color w:val="auto"/>
              </w:rPr>
            </w:pPr>
          </w:p>
        </w:tc>
      </w:tr>
      <w:tr>
        <w:trPr>
          <w:trHeight w:val="33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r>
        <w:trPr>
          <w:trHeight w:val="864"/>
        </w:trPr>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60" w:type="dxa"/>
            <w:vAlign w:val="bottom"/>
            <w:gridSpan w:val="2"/>
          </w:tcPr>
          <w:p>
            <w:pPr>
              <w:jc w:val="right"/>
              <w:ind w:right="148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4"/>
                <w:szCs w:val="24"/>
                <w:color w:val="auto"/>
              </w:rPr>
            </w:pPr>
          </w:p>
        </w:tc>
      </w:tr>
    </w:tbl>
    <w:p>
      <w:pPr>
        <w:sectPr>
          <w:pgSz w:w="11900" w:h="16838" w:orient="portrait"/>
          <w:cols w:equalWidth="0" w:num="1">
            <w:col w:w="10099"/>
          </w:cols>
          <w:pgMar w:left="360" w:top="88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u w:val="single" w:color="auto"/>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ScottsMiracle-Gro Completes Divestiture of Hawthorne Subsidiary</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Sale to Vireo Growth enhances focus on North American consumer lawn and garden business</w:t>
      </w:r>
    </w:p>
    <w:p>
      <w:pPr>
        <w:spacing w:after="0" w:line="25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22"/>
          <w:szCs w:val="22"/>
          <w:color w:val="auto"/>
        </w:rPr>
        <w:t>MARYSVILLE, Ohio, April 9, 2026 – The Scotts Miracle-Gro Company (NYSE: SMG), the leading marketer of branded consumer lawn and garden products in North America, today announced that it has completed the sale of its subsidiary The Hawthorne Gardening Company to Vireo Growth, Inc.</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Hawthorne was acquired by Vireo Growth (CSE: VREO; OTCQX: VREOF</w:t>
      </w:r>
      <w:r>
        <w:rPr>
          <w:rFonts w:ascii="Arial" w:cs="Arial" w:eastAsia="Arial" w:hAnsi="Arial"/>
          <w:sz w:val="22"/>
          <w:szCs w:val="22"/>
          <w:color w:val="9B9B9B"/>
        </w:rPr>
        <w:t>)</w:t>
      </w:r>
      <w:r>
        <w:rPr>
          <w:rFonts w:ascii="Times New Roman" w:cs="Times New Roman" w:eastAsia="Times New Roman" w:hAnsi="Times New Roman"/>
          <w:sz w:val="22"/>
          <w:szCs w:val="22"/>
          <w:color w:val="auto"/>
        </w:rPr>
        <w:t xml:space="preserve"> in exchange for Vireo shares that are being held by an independent strategic partner and will be reported in the Company’s financial statements among its other investments. The Company also reaffirmed its fiscal 2026 guidance, as the divestiture does not impact the full-year outlook.</w:t>
      </w:r>
    </w:p>
    <w:p>
      <w:pPr>
        <w:spacing w:after="0" w:line="18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2"/>
          <w:szCs w:val="22"/>
          <w:color w:val="auto"/>
        </w:rPr>
        <w:t>“The divestiture of Hawthorne demonstrates further progress toward our strategy to drive long-term growth in our core lawn and garden business,” said Jim Hagedorn, chairman and CEO. “We are focused on making sustained investments to deliver operational efficiencies and groundbreaking innovation while engaging consumers in powerful ways. Additionally, the exclusion of Hawthorne will contribute to our margin recovery and other full-year targets.</w:t>
      </w:r>
    </w:p>
    <w:p>
      <w:pPr>
        <w:spacing w:after="0" w:line="19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color w:val="auto"/>
        </w:rPr>
        <w:t>“At the same time, we’ve found a good home for Hawthorne that will preserve its upside potential and create opportunities to recapture value from the Hawthorne-related investments we have made over the years.”</w:t>
      </w:r>
    </w:p>
    <w:p>
      <w:pPr>
        <w:spacing w:after="0" w:line="15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2"/>
          <w:szCs w:val="22"/>
          <w:color w:val="auto"/>
        </w:rPr>
        <w:t>Vireo is a licensed operator with a multi-state operating footprint in 10 states, including the largest cannabis markets of California, Florida and New York, with 166 dispensaries and increased capacity for its cannabis cultivation and production.</w:t>
      </w:r>
    </w:p>
    <w:p>
      <w:pPr>
        <w:spacing w:after="0" w:line="1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In connection with the transaction, Vireo has nominated Chris Hagedorn, executive vice president of ScottsMiracle-Gro who has also led the Hawthorne business, for election to its Board of Directors. Upon his successful election, Vireo intends to form a new strategic growth committee that would be chaired by Chris Hagedorn. He is expected to assume an active role working closely with John Mazarakis, Vireo's co-executive chairman and CEO, on the development of growth initiatives. “Vireo has a bold vision for its consumer brands in the cannabis space and for Hawthorne in cultivation supply,” Chris Hagedorn said. “It has strong leadership and a solid balance sheet to see that vision through, and I look forward to working with the team to help shape future strategies.”</w:t>
      </w:r>
    </w:p>
    <w:p>
      <w:pPr>
        <w:spacing w:after="0" w:line="19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2"/>
          <w:szCs w:val="22"/>
          <w:color w:val="auto"/>
        </w:rPr>
        <w:t>In anticipation of the divestiture, the Company classified its results of operations to reflect the Hawthorne business as a discontinued operation effective in its first quarter of fiscal 2026. The Company also provided additional historical financial results reflecting the Hawthorne business as a discontinued operation for each of the quarterly and annual periods comprising fiscal 2024</w:t>
      </w:r>
    </w:p>
    <w:p>
      <w:pPr>
        <w:sectPr>
          <w:pgSz w:w="11900" w:h="16838" w:orient="portrait"/>
          <w:cols w:equalWidth="0" w:num="1">
            <w:col w:w="11240"/>
          </w:cols>
          <w:pgMar w:left="320" w:top="382" w:right="339" w:bottom="1440" w:gutter="0" w:footer="0" w:header="0"/>
        </w:sectPr>
      </w:pPr>
    </w:p>
    <w:bookmarkStart w:id="5" w:name="page6"/>
    <w:bookmarkEnd w:id="5"/>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2025. The recast results can be found under the Company’s SEC filings at investor.scotts.com.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and Legal Advisors</w:t>
      </w:r>
    </w:p>
    <w:p>
      <w:pPr>
        <w:spacing w:after="0" w:line="26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color w:val="auto"/>
        </w:rPr>
        <w:t>Among other advisors to ScottsMiracle-Gro on the Hawthorne transaction, Moelis &amp; Company LLC acted as financial advisor; Skadden, Arps, Slate, Meagher &amp; Flom LLP acted as lead deal counsel; and Torys LLP acted as Canadian counsel.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ScottsMiracle-Gro</w:t>
      </w: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2"/>
          <w:szCs w:val="22"/>
          <w:color w:val="auto"/>
        </w:rPr>
        <w:t>With approximately $3.4 billion in sales, the Company is the leading marketer of branded consumer lawn and garden products in North America. The Company’s brands are among the most recognized in the industry. The Company’s Scotts®, Miracle-Gro®, Ortho® and Tomcat® brands are market-leading in their categories. For additional information, visit us at www.scottsmiraclegro.com.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inquiries: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Brad Chelton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Treasury, Tax and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brad.chelton@scotts.com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(937) 309-2503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media inquiries: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Tom Matthews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Communications Officer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tom.matthews@scotts.com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(937) 844-3864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2026-04-09T07:24:57Z</dcterms:created>
  <dcterms:modified xsi:type="dcterms:W3CDTF">2026-04-09T07:24:57Z</dcterms:modified>
</cp:coreProperties>
</file>