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1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0" w:lineRule="exact"/>
        <w:rPr>
          <w:sz w:val="24"/>
          <w:szCs w:val="24"/>
          <w:color w:val="auto"/>
        </w:rPr>
      </w:pPr>
    </w:p>
    <w:p>
      <w:pPr>
        <w:spacing w:after="0" w:line="295" w:lineRule="exact"/>
        <w:rPr>
          <w:sz w:val="24"/>
          <w:szCs w:val="24"/>
          <w:color w:val="auto"/>
        </w:rPr>
      </w:pPr>
    </w:p>
    <w:p>
      <w:pPr>
        <w:ind w:left="600" w:hanging="390"/>
        <w:spacing w:after="0"/>
        <w:tabs>
          <w:tab w:leader="none" w:pos="6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4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5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6" w:lineRule="exact"/>
        <w:rPr>
          <w:sz w:val="24"/>
          <w:szCs w:val="24"/>
          <w:color w:val="auto"/>
        </w:rPr>
      </w:pPr>
    </w:p>
    <w:p>
      <w:pPr>
        <w:ind w:left="600" w:hanging="349"/>
        <w:spacing w:after="0"/>
        <w:tabs>
          <w:tab w:leader="none" w:pos="60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6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 TO _________________</w:t>
      </w:r>
    </w:p>
    <w:p>
      <w:pPr>
        <w:spacing w:after="0" w:line="200" w:lineRule="exact"/>
        <w:rPr>
          <w:sz w:val="24"/>
          <w:szCs w:val="24"/>
          <w:color w:val="auto"/>
        </w:rPr>
      </w:pPr>
    </w:p>
    <w:p>
      <w:pPr>
        <w:spacing w:after="0" w:line="29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COMMISSION FILE NUMBERS 333-154364</w:t>
      </w:r>
    </w:p>
    <w:p>
      <w:pPr>
        <w:spacing w:after="0" w:line="256" w:lineRule="exact"/>
        <w:rPr>
          <w:sz w:val="24"/>
          <w:szCs w:val="24"/>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248" w:lineRule="exact"/>
        <w:rPr>
          <w:rFonts w:ascii="Times New Roman" w:cs="Times New Roman" w:eastAsia="Times New Roman" w:hAnsi="Times New Roman"/>
          <w:sz w:val="18"/>
          <w:szCs w:val="18"/>
          <w:color w:val="auto"/>
        </w:rPr>
      </w:pPr>
    </w:p>
    <w:p>
      <w:pPr>
        <w:ind w:left="3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Scotts Company LLC Retirement Savings Plan</w:t>
      </w:r>
    </w:p>
    <w:p>
      <w:pPr>
        <w:spacing w:after="0" w:line="256"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5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14111 Scottslawn Road</w:t>
      </w:r>
    </w:p>
    <w:p>
      <w:pPr>
        <w:spacing w:after="0" w:line="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Marysville, Ohio 43041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353" w:right="6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REQUIRED INFORMATION</w:t>
      </w:r>
    </w:p>
    <w:p>
      <w:pPr>
        <w:spacing w:after="0" w:line="200" w:lineRule="exact"/>
        <w:rPr>
          <w:sz w:val="20"/>
          <w:szCs w:val="20"/>
          <w:color w:val="auto"/>
        </w:rPr>
      </w:pPr>
    </w:p>
    <w:p>
      <w:pPr>
        <w:spacing w:after="0" w:line="295" w:lineRule="exact"/>
        <w:rPr>
          <w:sz w:val="20"/>
          <w:szCs w:val="20"/>
          <w:color w:val="auto"/>
        </w:rPr>
      </w:pPr>
    </w:p>
    <w:p>
      <w:pPr>
        <w:ind w:right="500" w:firstLine="194"/>
        <w:spacing w:after="0" w:line="283" w:lineRule="auto"/>
        <w:rPr>
          <w:sz w:val="20"/>
          <w:szCs w:val="20"/>
          <w:color w:val="auto"/>
        </w:rPr>
      </w:pPr>
      <w:r>
        <w:rPr>
          <w:rFonts w:ascii="Times New Roman" w:cs="Times New Roman" w:eastAsia="Times New Roman" w:hAnsi="Times New Roman"/>
          <w:sz w:val="20"/>
          <w:szCs w:val="20"/>
          <w:color w:val="auto"/>
        </w:rPr>
        <w:t>The following financial statements and supplemental schedule for The Scotts Company LLC Retirement Savings Plan are being filed herewith: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Audited Financial Statements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Financial Statements:</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Statements of Net Assets Available for Benefits as of December 31, 2025 and 2024</w:t>
      </w:r>
    </w:p>
    <w:p>
      <w:pPr>
        <w:spacing w:after="0" w:line="2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Statements of Changes in Net Assets Available for Benefits for the Years Ended December 31, 2025 and 2024</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Supplemental Schedule:</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Schedule of Assets Held for Investment Purposes at End of Year</w:t>
      </w:r>
    </w:p>
    <w:p>
      <w:pPr>
        <w:spacing w:after="0" w:line="256" w:lineRule="exact"/>
        <w:rPr>
          <w:sz w:val="20"/>
          <w:szCs w:val="20"/>
          <w:color w:val="auto"/>
        </w:rPr>
      </w:pPr>
    </w:p>
    <w:p>
      <w:pPr>
        <w:ind w:left="1300" w:right="40"/>
        <w:spacing w:after="0" w:line="283" w:lineRule="auto"/>
        <w:rPr>
          <w:sz w:val="20"/>
          <w:szCs w:val="20"/>
          <w:color w:val="auto"/>
        </w:rPr>
      </w:pPr>
      <w:r>
        <w:rPr>
          <w:rFonts w:ascii="Times New Roman" w:cs="Times New Roman" w:eastAsia="Times New Roman" w:hAnsi="Times New Roman"/>
          <w:sz w:val="20"/>
          <w:szCs w:val="20"/>
          <w:color w:val="auto"/>
        </w:rPr>
        <w:t>Note: Other supplemental schedules required by Section 252.103-10 of the Department of Labor’s Rules and Regulations for Reporting and Disclosure under ERISA have been omitted because they are not applicable.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exhibit is being filed herewith:</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20" w:type="dxa"/>
            <w:vAlign w:val="bottom"/>
          </w:tcPr>
          <w:p>
            <w:pPr>
              <w:spacing w:after="0"/>
              <w:rPr>
                <w:sz w:val="23"/>
                <w:szCs w:val="23"/>
                <w:color w:val="auto"/>
              </w:rPr>
            </w:pPr>
          </w:p>
        </w:tc>
        <w:tc>
          <w:tcPr>
            <w:tcW w:w="2300" w:type="dxa"/>
            <w:vAlign w:val="bottom"/>
            <w:gridSpan w:val="4"/>
          </w:tcPr>
          <w:p>
            <w:pPr>
              <w:ind w:left="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0"/>
        </w:trPr>
        <w:tc>
          <w:tcPr>
            <w:tcW w:w="120" w:type="dxa"/>
            <w:vAlign w:val="bottom"/>
          </w:tcPr>
          <w:p>
            <w:pPr>
              <w:spacing w:after="0"/>
              <w:rPr>
                <w:sz w:val="17"/>
                <w:szCs w:val="17"/>
                <w:color w:val="auto"/>
              </w:rPr>
            </w:pPr>
          </w:p>
        </w:tc>
        <w:tc>
          <w:tcPr>
            <w:tcW w:w="2060" w:type="dxa"/>
            <w:vAlign w:val="bottom"/>
            <w:tcBorders>
              <w:top w:val="single" w:sz="8" w:color="auto"/>
            </w:tcBorders>
            <w:gridSpan w:val="3"/>
          </w:tcPr>
          <w:p>
            <w:pPr>
              <w:ind w:left="20"/>
              <w:spacing w:after="0" w:line="200" w:lineRule="exact"/>
              <w:rPr>
                <w:sz w:val="20"/>
                <w:szCs w:val="20"/>
                <w:color w:val="auto"/>
              </w:rPr>
            </w:pPr>
            <w:r>
              <w:rPr>
                <w:rFonts w:ascii="Times New Roman" w:cs="Times New Roman" w:eastAsia="Times New Roman" w:hAnsi="Times New Roman"/>
                <w:sz w:val="20"/>
                <w:szCs w:val="20"/>
                <w:color w:val="0000FF"/>
              </w:rPr>
              <w:t>23.</w:t>
            </w:r>
            <w:r>
              <w:rPr>
                <w:rFonts w:ascii="Times New Roman" w:cs="Times New Roman" w:eastAsia="Times New Roman" w:hAnsi="Times New Roman"/>
                <w:sz w:val="20"/>
                <w:szCs w:val="20"/>
                <w:u w:val="single" w:color="auto"/>
                <w:color w:val="0000FF"/>
              </w:rPr>
              <w:t>1</w:t>
            </w:r>
          </w:p>
        </w:tc>
        <w:tc>
          <w:tcPr>
            <w:tcW w:w="240" w:type="dxa"/>
            <w:vAlign w:val="bottom"/>
          </w:tcPr>
          <w:p>
            <w:pPr>
              <w:spacing w:after="0"/>
              <w:rPr>
                <w:sz w:val="17"/>
                <w:szCs w:val="17"/>
                <w:color w:val="auto"/>
              </w:rPr>
            </w:pPr>
          </w:p>
        </w:tc>
        <w:tc>
          <w:tcPr>
            <w:tcW w:w="872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Consent of Independent Registered Public Accounting Firm</w:t>
            </w:r>
          </w:p>
        </w:tc>
        <w:tc>
          <w:tcPr>
            <w:tcW w:w="100" w:type="dxa"/>
            <w:vAlign w:val="bottom"/>
          </w:tcPr>
          <w:p>
            <w:pPr>
              <w:spacing w:after="0"/>
              <w:rPr>
                <w:sz w:val="17"/>
                <w:szCs w:val="17"/>
                <w:color w:val="auto"/>
              </w:rPr>
            </w:pPr>
          </w:p>
        </w:tc>
      </w:tr>
      <w:tr>
        <w:trPr>
          <w:trHeight w:val="1283"/>
        </w:trPr>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6" w:lineRule="exact"/>
        <w:rPr>
          <w:sz w:val="20"/>
          <w:szCs w:val="20"/>
          <w:color w:val="auto"/>
        </w:rPr>
      </w:pPr>
    </w:p>
    <w:p>
      <w:pPr>
        <w:ind w:firstLine="19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The Plan. </w:t>
      </w:r>
      <w:r>
        <w:rPr>
          <w:rFonts w:ascii="Times New Roman" w:cs="Times New Roman" w:eastAsia="Times New Roman" w:hAnsi="Times New Roman"/>
          <w:sz w:val="20"/>
          <w:szCs w:val="20"/>
          <w:color w:val="auto"/>
        </w:rPr>
        <w:t>Pursuant to the requirements of the Securities Exchange Act of 1934, the trustees (or other persons who administer the employee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 plan) have duly caused this annual report to be signed on its behalf by the undersigned hereunto duly authorized.</w:t>
      </w:r>
    </w:p>
    <w:p>
      <w:pPr>
        <w:spacing w:after="0" w:line="25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THE SCOTTS COMPANY LLC RETIREMENT</w:t>
      </w:r>
    </w:p>
    <w:p>
      <w:pPr>
        <w:ind w:left="5040"/>
        <w:spacing w:after="0"/>
        <w:rPr>
          <w:sz w:val="20"/>
          <w:szCs w:val="20"/>
          <w:color w:val="auto"/>
        </w:rPr>
      </w:pPr>
      <w:r>
        <w:rPr>
          <w:rFonts w:ascii="Times New Roman" w:cs="Times New Roman" w:eastAsia="Times New Roman" w:hAnsi="Times New Roman"/>
          <w:sz w:val="18"/>
          <w:szCs w:val="18"/>
          <w:color w:val="auto"/>
        </w:rPr>
        <w:t>SAVINGS PLAN</w:t>
      </w:r>
    </w:p>
    <w:p>
      <w:pPr>
        <w:spacing w:after="0" w:line="286" w:lineRule="exact"/>
        <w:rPr>
          <w:sz w:val="20"/>
          <w:szCs w:val="20"/>
          <w:color w:val="auto"/>
        </w:rPr>
      </w:pPr>
    </w:p>
    <w:p>
      <w:pPr>
        <w:ind w:left="1980"/>
        <w:spacing w:after="0"/>
        <w:tabs>
          <w:tab w:leader="none" w:pos="5020" w:val="left"/>
        </w:tabs>
        <w:rPr>
          <w:sz w:val="20"/>
          <w:szCs w:val="20"/>
          <w:color w:val="auto"/>
        </w:rPr>
      </w:pPr>
      <w:r>
        <w:rPr>
          <w:rFonts w:ascii="Times New Roman" w:cs="Times New Roman" w:eastAsia="Times New Roman" w:hAnsi="Times New Roman"/>
          <w:sz w:val="18"/>
          <w:szCs w:val="18"/>
          <w:color w:val="auto"/>
        </w:rPr>
        <w:t>Date: June 24, 2026</w:t>
      </w:r>
      <w:r>
        <w:rPr>
          <w:sz w:val="20"/>
          <w:szCs w:val="20"/>
          <w:color w:val="auto"/>
        </w:rPr>
        <w:tab/>
      </w:r>
      <w:r>
        <w:rPr>
          <w:rFonts w:ascii="Times New Roman" w:cs="Times New Roman" w:eastAsia="Times New Roman" w:hAnsi="Times New Roman"/>
          <w:sz w:val="17"/>
          <w:szCs w:val="17"/>
          <w:color w:val="auto"/>
        </w:rPr>
        <w:t>/s/ MARK J. SCHEIWER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717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Printed Name: Mark J. Scheiwer</w:t>
      </w:r>
    </w:p>
    <w:p>
      <w:pPr>
        <w:spacing w:after="0" w:line="1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Title: Executive Vice President, Chief Financial Officer &amp;</w:t>
      </w:r>
    </w:p>
    <w:p>
      <w:pPr>
        <w:ind w:left="50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The Scotts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3" w:name="page4"/>
    <w:bookmarkEnd w:id="3"/>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the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158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Page Number</w:t>
            </w:r>
          </w:p>
        </w:tc>
        <w:tc>
          <w:tcPr>
            <w:tcW w:w="0" w:type="dxa"/>
            <w:vAlign w:val="bottom"/>
          </w:tcPr>
          <w:p>
            <w:pPr>
              <w:spacing w:after="0"/>
              <w:rPr>
                <w:sz w:val="1"/>
                <w:szCs w:val="1"/>
                <w:color w:val="auto"/>
              </w:rPr>
            </w:pPr>
          </w:p>
        </w:tc>
      </w:tr>
      <w:tr>
        <w:trPr>
          <w:trHeight w:val="456"/>
        </w:trPr>
        <w:tc>
          <w:tcPr>
            <w:tcW w:w="140" w:type="dxa"/>
            <w:vAlign w:val="bottom"/>
          </w:tcPr>
          <w:p>
            <w:pPr>
              <w:spacing w:after="0"/>
              <w:rPr>
                <w:sz w:val="24"/>
                <w:szCs w:val="24"/>
                <w:color w:val="auto"/>
              </w:rPr>
            </w:pPr>
          </w:p>
        </w:tc>
        <w:tc>
          <w:tcPr>
            <w:tcW w:w="4640" w:type="dxa"/>
            <w:vAlign w:val="bottom"/>
            <w:gridSpan w:val="7"/>
          </w:tcPr>
          <w:p>
            <w:pPr>
              <w:spacing w:after="0"/>
              <w:rPr>
                <w:sz w:val="20"/>
                <w:szCs w:val="20"/>
                <w:color w:val="auto"/>
              </w:rPr>
            </w:pPr>
            <w:r>
              <w:rPr>
                <w:rFonts w:ascii="Times New Roman" w:cs="Times New Roman" w:eastAsia="Times New Roman" w:hAnsi="Times New Roman"/>
                <w:sz w:val="20"/>
                <w:szCs w:val="20"/>
                <w:color w:val="0000FF"/>
                <w:w w:val="98"/>
              </w:rPr>
              <w:t>Report of Independent Registered Public Accounting Firm</w:t>
            </w:r>
          </w:p>
        </w:tc>
        <w:tc>
          <w:tcPr>
            <w:tcW w:w="4880" w:type="dxa"/>
            <w:vAlign w:val="bottom"/>
            <w:gridSpan w:val="3"/>
          </w:tcPr>
          <w:p>
            <w:pPr>
              <w:spacing w:after="0"/>
              <w:rPr>
                <w:sz w:val="24"/>
                <w:szCs w:val="24"/>
                <w:color w:val="auto"/>
              </w:rPr>
            </w:pPr>
          </w:p>
        </w:tc>
        <w:tc>
          <w:tcPr>
            <w:tcW w:w="14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0000FF"/>
              </w:rPr>
              <w:t>1</w:t>
            </w: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40" w:type="dxa"/>
            <w:vAlign w:val="bottom"/>
          </w:tcPr>
          <w:p>
            <w:pPr>
              <w:spacing w:after="0"/>
              <w:rPr>
                <w:sz w:val="24"/>
                <w:szCs w:val="24"/>
                <w:color w:val="auto"/>
              </w:rPr>
            </w:pPr>
          </w:p>
        </w:tc>
        <w:tc>
          <w:tcPr>
            <w:tcW w:w="46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Financial Statements:</w:t>
            </w:r>
          </w:p>
        </w:tc>
        <w:tc>
          <w:tcPr>
            <w:tcW w:w="4880" w:type="dxa"/>
            <w:vAlign w:val="bottom"/>
            <w:gridSpan w:val="3"/>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8"/>
              </w:rPr>
              <w:t>Statements of Net Assets Available for Benefits</w:t>
            </w:r>
          </w:p>
        </w:tc>
        <w:tc>
          <w:tcPr>
            <w:tcW w:w="5640" w:type="dxa"/>
            <w:vAlign w:val="bottom"/>
            <w:gridSpan w:val="4"/>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Statements of Changes in Net Assets Available for Benefits</w:t>
            </w:r>
          </w:p>
        </w:tc>
        <w:tc>
          <w:tcPr>
            <w:tcW w:w="3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w w:val="98"/>
              </w:rPr>
              <w:t>Notes to Financial Statements</w:t>
            </w:r>
          </w:p>
        </w:tc>
        <w:tc>
          <w:tcPr>
            <w:tcW w:w="2720" w:type="dxa"/>
            <w:vAlign w:val="bottom"/>
            <w:gridSpan w:val="4"/>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Borders>
              <w:bottom w:val="single" w:sz="8" w:color="0000FF"/>
            </w:tcBorders>
            <w:gridSpan w:val="4"/>
            <w:vMerge w:val="continue"/>
          </w:tcPr>
          <w:p>
            <w:pPr>
              <w:spacing w:after="0"/>
              <w:rPr>
                <w:sz w:val="24"/>
                <w:szCs w:val="24"/>
                <w:color w:val="auto"/>
              </w:rPr>
            </w:pPr>
          </w:p>
        </w:tc>
        <w:tc>
          <w:tcPr>
            <w:tcW w:w="2720" w:type="dxa"/>
            <w:vAlign w:val="bottom"/>
            <w:gridSpan w:val="4"/>
          </w:tcPr>
          <w:p>
            <w:pPr>
              <w:spacing w:after="0"/>
              <w:rPr>
                <w:sz w:val="24"/>
                <w:szCs w:val="24"/>
                <w:color w:val="auto"/>
              </w:rPr>
            </w:pPr>
          </w:p>
        </w:tc>
        <w:tc>
          <w:tcPr>
            <w:tcW w:w="43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92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w w:val="97"/>
              </w:rPr>
              <w:t>Supplemental Schedule:</w:t>
            </w:r>
          </w:p>
        </w:tc>
        <w:tc>
          <w:tcPr>
            <w:tcW w:w="7600" w:type="dxa"/>
            <w:vAlign w:val="bottom"/>
            <w:gridSpan w:val="6"/>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140" w:type="dxa"/>
            <w:vAlign w:val="bottom"/>
          </w:tcPr>
          <w:p>
            <w:pPr>
              <w:spacing w:after="0"/>
              <w:rPr>
                <w:sz w:val="24"/>
                <w:szCs w:val="24"/>
                <w:color w:val="auto"/>
              </w:rPr>
            </w:pPr>
          </w:p>
        </w:tc>
        <w:tc>
          <w:tcPr>
            <w:tcW w:w="1920" w:type="dxa"/>
            <w:vAlign w:val="bottom"/>
            <w:tcBorders>
              <w:bottom w:val="single" w:sz="8" w:color="0000FF"/>
            </w:tcBorders>
            <w:gridSpan w:val="4"/>
            <w:vMerge w:val="continue"/>
          </w:tcPr>
          <w:p>
            <w:pPr>
              <w:spacing w:after="0"/>
              <w:rPr>
                <w:sz w:val="24"/>
                <w:szCs w:val="24"/>
                <w:color w:val="auto"/>
              </w:rPr>
            </w:pPr>
          </w:p>
        </w:tc>
        <w:tc>
          <w:tcPr>
            <w:tcW w:w="7600" w:type="dxa"/>
            <w:vAlign w:val="bottom"/>
            <w:gridSpan w:val="6"/>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2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Schedule of Assets Held for Investment Purposes at End of Year</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10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840" w:type="dxa"/>
            <w:vAlign w:val="bottom"/>
            <w:gridSpan w:val="7"/>
            <w:shd w:val="clear" w:color="auto" w:fill="0000FF"/>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20" w:type="dxa"/>
            <w:vAlign w:val="bottom"/>
            <w:gridSpan w:val="9"/>
          </w:tcPr>
          <w:p>
            <w:pPr>
              <w:ind w:left="20"/>
              <w:spacing w:after="0"/>
              <w:rPr>
                <w:sz w:val="20"/>
                <w:szCs w:val="20"/>
                <w:color w:val="auto"/>
              </w:rPr>
            </w:pPr>
            <w:r>
              <w:rPr>
                <w:rFonts w:ascii="Times New Roman" w:cs="Times New Roman" w:eastAsia="Times New Roman" w:hAnsi="Times New Roman"/>
                <w:sz w:val="20"/>
                <w:szCs w:val="20"/>
                <w:color w:val="auto"/>
              </w:rPr>
              <w:t>NOTE: Other supplemental schedules required by Section 252.103-10 of the Department of Labor’s Rules and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20" w:type="dxa"/>
            <w:vAlign w:val="bottom"/>
            <w:gridSpan w:val="9"/>
          </w:tcPr>
          <w:p>
            <w:pPr>
              <w:ind w:left="20"/>
              <w:spacing w:after="0"/>
              <w:rPr>
                <w:sz w:val="20"/>
                <w:szCs w:val="20"/>
                <w:color w:val="auto"/>
              </w:rPr>
            </w:pPr>
            <w:r>
              <w:rPr>
                <w:rFonts w:ascii="Times New Roman" w:cs="Times New Roman" w:eastAsia="Times New Roman" w:hAnsi="Times New Roman"/>
                <w:sz w:val="20"/>
                <w:szCs w:val="20"/>
                <w:color w:val="auto"/>
              </w:rPr>
              <w:t>Regulations for Reporting and Disclosure under ERISA have been omitted because they are not applicable.</w:t>
            </w: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14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Index to Exhibits</w:t>
            </w: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0000FF"/>
              </w:rPr>
              <w:t>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0"/>
        </w:trPr>
        <w:tc>
          <w:tcPr>
            <w:tcW w:w="1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6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Administrator and Plan Participants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Scotts Company LLC Retirement Savings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Marysville, Ohio</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Scotts Company LLC Retirement Savings Plan (the “Plan”) as of December 31, 2025 and 2024 and the related statements of changes in net assets available for benefits for the years then ended, and the related notes and schedule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purposes of expressing an opinion on the effectiveness of the Plan’s internal control over financial reporting. Accordingly, we express no such opinion.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supplemental Schedule of Assets Held for Investment Purposes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Department of Labor’s (DOL)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MEADEN &amp; MOORE, LTD.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2004.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5" w:name="page6"/>
    <w:bookmarkEnd w:id="5"/>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Statements of Net Assets Available for Benefits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7100" w:type="dxa"/>
            <w:vAlign w:val="bottom"/>
            <w:vMerge w:val="restart"/>
          </w:tcPr>
          <w:p>
            <w:pPr>
              <w:jc w:val="right"/>
              <w:ind w:right="6441"/>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33"/>
        </w:trPr>
        <w:tc>
          <w:tcPr>
            <w:tcW w:w="71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7100" w:type="dxa"/>
            <w:vAlign w:val="bottom"/>
            <w:shd w:val="clear" w:color="auto" w:fill="CCEEFF"/>
          </w:tcPr>
          <w:p>
            <w:pPr>
              <w:jc w:val="right"/>
              <w:ind w:right="5761"/>
              <w:spacing w:after="0"/>
              <w:rPr>
                <w:sz w:val="20"/>
                <w:szCs w:val="20"/>
                <w:color w:val="auto"/>
              </w:rPr>
            </w:pPr>
            <w:r>
              <w:rPr>
                <w:rFonts w:ascii="Times New Roman" w:cs="Times New Roman" w:eastAsia="Times New Roman" w:hAnsi="Times New Roman"/>
                <w:sz w:val="20"/>
                <w:szCs w:val="20"/>
                <w:color w:val="auto"/>
              </w:rPr>
              <w:t>Receivables:</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00" w:type="dxa"/>
            <w:vAlign w:val="bottom"/>
          </w:tcPr>
          <w:p>
            <w:pPr>
              <w:jc w:val="right"/>
              <w:ind w:right="3801"/>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13,937,173</w:t>
            </w:r>
          </w:p>
        </w:tc>
        <w:tc>
          <w:tcPr>
            <w:tcW w:w="220" w:type="dxa"/>
            <w:vAlign w:val="bottom"/>
          </w:tcPr>
          <w:p>
            <w:pPr>
              <w:spacing w:after="0"/>
              <w:rPr>
                <w:sz w:val="22"/>
                <w:szCs w:val="22"/>
                <w:color w:val="auto"/>
              </w:rPr>
            </w:pPr>
          </w:p>
        </w:tc>
        <w:tc>
          <w:tcPr>
            <w:tcW w:w="62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12,652,948</w:t>
            </w: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jc w:val="right"/>
              <w:ind w:right="3801"/>
              <w:spacing w:after="0"/>
              <w:rPr>
                <w:sz w:val="20"/>
                <w:szCs w:val="20"/>
                <w:color w:val="auto"/>
              </w:rPr>
            </w:pPr>
            <w:r>
              <w:rPr>
                <w:rFonts w:ascii="Times New Roman" w:cs="Times New Roman" w:eastAsia="Times New Roman" w:hAnsi="Times New Roman"/>
                <w:sz w:val="20"/>
                <w:szCs w:val="20"/>
                <w:color w:val="auto"/>
              </w:rPr>
              <w:t>Employer contributions receivable</w:t>
            </w:r>
          </w:p>
        </w:tc>
        <w:tc>
          <w:tcPr>
            <w:tcW w:w="4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814,367</w:t>
            </w:r>
          </w:p>
        </w:tc>
        <w:tc>
          <w:tcPr>
            <w:tcW w:w="22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365,408</w:t>
            </w:r>
          </w:p>
        </w:tc>
        <w:tc>
          <w:tcPr>
            <w:tcW w:w="0" w:type="dxa"/>
            <w:vAlign w:val="bottom"/>
          </w:tcPr>
          <w:p>
            <w:pPr>
              <w:spacing w:after="0"/>
              <w:rPr>
                <w:sz w:val="1"/>
                <w:szCs w:val="1"/>
                <w:color w:val="auto"/>
              </w:rPr>
            </w:pPr>
          </w:p>
        </w:tc>
      </w:tr>
      <w:tr>
        <w:trPr>
          <w:trHeight w:val="250"/>
        </w:trPr>
        <w:tc>
          <w:tcPr>
            <w:tcW w:w="7100" w:type="dxa"/>
            <w:vAlign w:val="bottom"/>
          </w:tcPr>
          <w:p>
            <w:pPr>
              <w:jc w:val="right"/>
              <w:ind w:right="4961"/>
              <w:spacing w:after="0"/>
              <w:rPr>
                <w:sz w:val="20"/>
                <w:szCs w:val="20"/>
                <w:color w:val="auto"/>
              </w:rPr>
            </w:pPr>
            <w:r>
              <w:rPr>
                <w:rFonts w:ascii="Times New Roman" w:cs="Times New Roman" w:eastAsia="Times New Roman" w:hAnsi="Times New Roman"/>
                <w:sz w:val="20"/>
                <w:szCs w:val="20"/>
                <w:color w:val="auto"/>
              </w:rPr>
              <w:t>Total receivables</w:t>
            </w:r>
          </w:p>
        </w:tc>
        <w:tc>
          <w:tcPr>
            <w:tcW w:w="4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14,751,540</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13,018,356</w:t>
            </w:r>
          </w:p>
        </w:tc>
        <w:tc>
          <w:tcPr>
            <w:tcW w:w="0" w:type="dxa"/>
            <w:vAlign w:val="bottom"/>
          </w:tcPr>
          <w:p>
            <w:pPr>
              <w:spacing w:after="0"/>
              <w:rPr>
                <w:sz w:val="1"/>
                <w:szCs w:val="1"/>
                <w:color w:val="auto"/>
              </w:rPr>
            </w:pPr>
          </w:p>
        </w:tc>
      </w:tr>
      <w:tr>
        <w:trPr>
          <w:trHeight w:val="256"/>
        </w:trPr>
        <w:tc>
          <w:tcPr>
            <w:tcW w:w="7100" w:type="dxa"/>
            <w:vAlign w:val="bottom"/>
            <w:shd w:val="clear" w:color="auto" w:fill="CCEEFF"/>
          </w:tcPr>
          <w:p>
            <w:pPr>
              <w:jc w:val="right"/>
              <w:ind w:right="3501"/>
              <w:spacing w:after="0"/>
              <w:rPr>
                <w:sz w:val="20"/>
                <w:szCs w:val="20"/>
                <w:color w:val="auto"/>
              </w:rPr>
            </w:pPr>
            <w:r>
              <w:rPr>
                <w:rFonts w:ascii="Times New Roman" w:cs="Times New Roman" w:eastAsia="Times New Roman" w:hAnsi="Times New Roman"/>
                <w:sz w:val="20"/>
                <w:szCs w:val="20"/>
                <w:color w:val="auto"/>
              </w:rPr>
              <w:t>Investments held by trustee, at fair value</w:t>
            </w:r>
          </w:p>
        </w:tc>
        <w:tc>
          <w:tcPr>
            <w:tcW w:w="4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754,859,173</w:t>
            </w:r>
          </w:p>
        </w:tc>
        <w:tc>
          <w:tcPr>
            <w:tcW w:w="22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678,401,301</w:t>
            </w:r>
          </w:p>
        </w:tc>
        <w:tc>
          <w:tcPr>
            <w:tcW w:w="0" w:type="dxa"/>
            <w:vAlign w:val="bottom"/>
          </w:tcPr>
          <w:p>
            <w:pPr>
              <w:spacing w:after="0"/>
              <w:rPr>
                <w:sz w:val="1"/>
                <w:szCs w:val="1"/>
                <w:color w:val="auto"/>
              </w:rPr>
            </w:pPr>
          </w:p>
        </w:tc>
      </w:tr>
      <w:tr>
        <w:trPr>
          <w:trHeight w:val="250"/>
        </w:trPr>
        <w:tc>
          <w:tcPr>
            <w:tcW w:w="7100" w:type="dxa"/>
            <w:vAlign w:val="bottom"/>
          </w:tcPr>
          <w:p>
            <w:pPr>
              <w:jc w:val="right"/>
              <w:ind w:right="3801"/>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4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769,610,713</w:t>
            </w:r>
          </w:p>
        </w:tc>
        <w:tc>
          <w:tcPr>
            <w:tcW w:w="220" w:type="dxa"/>
            <w:vAlign w:val="bottom"/>
          </w:tcPr>
          <w:p>
            <w:pPr>
              <w:spacing w:after="0"/>
              <w:rPr>
                <w:sz w:val="21"/>
                <w:szCs w:val="21"/>
                <w:color w:val="auto"/>
              </w:rPr>
            </w:pPr>
          </w:p>
        </w:tc>
        <w:tc>
          <w:tcPr>
            <w:tcW w:w="6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691,419,657</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6" w:name="page7"/>
    <w:bookmarkEnd w:id="6"/>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Statements of Changes in Net Assets Available for Benefits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3700" w:type="dxa"/>
            <w:vAlign w:val="bottom"/>
            <w:tcBorders>
              <w:bottom w:val="single" w:sz="8" w:color="auto"/>
            </w:tcBorders>
            <w:gridSpan w:val="4"/>
          </w:tcPr>
          <w:p>
            <w:pPr>
              <w:jc w:val="right"/>
              <w:ind w:right="86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54"/>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Additions to (deductions from) net assets attributed to:</w:t>
            </w: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33"/>
        </w:trPr>
        <w:tc>
          <w:tcPr>
            <w:tcW w:w="71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Contributions:</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Employer</w:t>
            </w:r>
          </w:p>
        </w:tc>
        <w:tc>
          <w:tcPr>
            <w:tcW w:w="4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25,199,220</w:t>
            </w:r>
          </w:p>
        </w:tc>
        <w:tc>
          <w:tcPr>
            <w:tcW w:w="220" w:type="dxa"/>
            <w:vAlign w:val="bottom"/>
          </w:tcPr>
          <w:p>
            <w:pPr>
              <w:spacing w:after="0"/>
              <w:rPr>
                <w:sz w:val="22"/>
                <w:szCs w:val="22"/>
                <w:color w:val="auto"/>
              </w:rPr>
            </w:pPr>
          </w:p>
        </w:tc>
        <w:tc>
          <w:tcPr>
            <w:tcW w:w="4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24,147,144</w:t>
            </w: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Participant</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27,735,708</w:t>
            </w: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26,840,123</w:t>
            </w: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20"/>
                <w:szCs w:val="20"/>
                <w:color w:val="auto"/>
              </w:rPr>
              <w:t>Rollovers</w:t>
            </w: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2,252,095</w:t>
            </w: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3,148,482</w:t>
            </w: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20"/>
                <w:szCs w:val="20"/>
                <w:color w:val="auto"/>
              </w:rPr>
              <w:t>Total contributions</w:t>
            </w:r>
          </w:p>
        </w:tc>
        <w:tc>
          <w:tcPr>
            <w:tcW w:w="4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55,187,023</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54,135,749</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Interest on notes receivable from participants</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1,070,170</w:t>
            </w: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843,553</w:t>
            </w:r>
          </w:p>
        </w:tc>
        <w:tc>
          <w:tcPr>
            <w:tcW w:w="0" w:type="dxa"/>
            <w:vAlign w:val="bottom"/>
          </w:tcPr>
          <w:p>
            <w:pPr>
              <w:spacing w:after="0"/>
              <w:rPr>
                <w:sz w:val="1"/>
                <w:szCs w:val="1"/>
                <w:color w:val="auto"/>
              </w:rPr>
            </w:pPr>
          </w:p>
        </w:tc>
      </w:tr>
      <w:tr>
        <w:trPr>
          <w:trHeight w:val="270"/>
        </w:trPr>
        <w:tc>
          <w:tcPr>
            <w:tcW w:w="7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Investment income:</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Interest and dividend income</w:t>
            </w:r>
          </w:p>
        </w:tc>
        <w:tc>
          <w:tcPr>
            <w:tcW w:w="4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7,570,411</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7,550,318</w:t>
            </w:r>
          </w:p>
        </w:tc>
        <w:tc>
          <w:tcPr>
            <w:tcW w:w="0" w:type="dxa"/>
            <w:vAlign w:val="bottom"/>
          </w:tcPr>
          <w:p>
            <w:pPr>
              <w:spacing w:after="0"/>
              <w:rPr>
                <w:sz w:val="1"/>
                <w:szCs w:val="1"/>
                <w:color w:val="auto"/>
              </w:rPr>
            </w:pPr>
          </w:p>
        </w:tc>
      </w:tr>
      <w:tr>
        <w:trPr>
          <w:trHeight w:val="256"/>
        </w:trPr>
        <w:tc>
          <w:tcPr>
            <w:tcW w:w="7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Net appreciation in fair value of investments</w:t>
            </w:r>
          </w:p>
        </w:tc>
        <w:tc>
          <w:tcPr>
            <w:tcW w:w="4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100,690,955</w:t>
            </w:r>
          </w:p>
        </w:tc>
        <w:tc>
          <w:tcPr>
            <w:tcW w:w="2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88,751,830</w:t>
            </w:r>
          </w:p>
        </w:tc>
        <w:tc>
          <w:tcPr>
            <w:tcW w:w="0" w:type="dxa"/>
            <w:vAlign w:val="bottom"/>
          </w:tcPr>
          <w:p>
            <w:pPr>
              <w:spacing w:after="0"/>
              <w:rPr>
                <w:sz w:val="1"/>
                <w:szCs w:val="1"/>
                <w:color w:val="auto"/>
              </w:rPr>
            </w:pPr>
          </w:p>
        </w:tc>
      </w:tr>
      <w:tr>
        <w:trPr>
          <w:trHeight w:val="250"/>
        </w:trPr>
        <w:tc>
          <w:tcPr>
            <w:tcW w:w="71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Total investment income</w:t>
            </w:r>
          </w:p>
        </w:tc>
        <w:tc>
          <w:tcPr>
            <w:tcW w:w="4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108,261,366</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96,302,148</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4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(86,083,744)</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(81,454,184)</w:t>
            </w: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Administrative expenses</w:t>
            </w:r>
          </w:p>
        </w:tc>
        <w:tc>
          <w:tcPr>
            <w:tcW w:w="4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(243,759)</w:t>
            </w:r>
          </w:p>
        </w:tc>
        <w:tc>
          <w:tcPr>
            <w:tcW w:w="2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(237,740)</w:t>
            </w:r>
          </w:p>
        </w:tc>
        <w:tc>
          <w:tcPr>
            <w:tcW w:w="0" w:type="dxa"/>
            <w:vAlign w:val="bottom"/>
          </w:tcPr>
          <w:p>
            <w:pPr>
              <w:spacing w:after="0"/>
              <w:rPr>
                <w:sz w:val="1"/>
                <w:szCs w:val="1"/>
                <w:color w:val="auto"/>
              </w:rPr>
            </w:pPr>
          </w:p>
        </w:tc>
      </w:tr>
      <w:tr>
        <w:trPr>
          <w:trHeight w:val="250"/>
        </w:trPr>
        <w:tc>
          <w:tcPr>
            <w:tcW w:w="71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Net increase in net assets</w:t>
            </w:r>
          </w:p>
        </w:tc>
        <w:tc>
          <w:tcPr>
            <w:tcW w:w="4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78,191,056</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69,589,526</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1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Beginning of year</w:t>
            </w:r>
          </w:p>
        </w:tc>
        <w:tc>
          <w:tcPr>
            <w:tcW w:w="4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691,419,657</w:t>
            </w:r>
          </w:p>
        </w:tc>
        <w:tc>
          <w:tcPr>
            <w:tcW w:w="2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621,830,131</w:t>
            </w:r>
          </w:p>
        </w:tc>
        <w:tc>
          <w:tcPr>
            <w:tcW w:w="0" w:type="dxa"/>
            <w:vAlign w:val="bottom"/>
          </w:tcPr>
          <w:p>
            <w:pPr>
              <w:spacing w:after="0"/>
              <w:rPr>
                <w:sz w:val="1"/>
                <w:szCs w:val="1"/>
                <w:color w:val="auto"/>
              </w:rPr>
            </w:pPr>
          </w:p>
        </w:tc>
      </w:tr>
      <w:tr>
        <w:trPr>
          <w:trHeight w:val="250"/>
        </w:trPr>
        <w:tc>
          <w:tcPr>
            <w:tcW w:w="7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End of year</w:t>
            </w:r>
          </w:p>
        </w:tc>
        <w:tc>
          <w:tcPr>
            <w:tcW w:w="4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769,610,713</w:t>
            </w:r>
          </w:p>
        </w:tc>
        <w:tc>
          <w:tcPr>
            <w:tcW w:w="220" w:type="dxa"/>
            <w:vAlign w:val="bottom"/>
          </w:tcPr>
          <w:p>
            <w:pPr>
              <w:spacing w:after="0"/>
              <w:rPr>
                <w:sz w:val="21"/>
                <w:szCs w:val="21"/>
                <w:color w:val="auto"/>
              </w:rPr>
            </w:pPr>
          </w:p>
        </w:tc>
        <w:tc>
          <w:tcPr>
            <w:tcW w:w="4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691,419,657</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Notes to Financial Statements.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7" w:name="page8"/>
    <w:bookmarkEnd w:id="7"/>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DESCRIPTION OF PLAN</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Scotts Company LLC Retirement Savings Plan (the “Plan”) is a defined contribution plan covering substantially all employees of The Scotts Company LLC (the “Company”) and certain of its affiliates who meet the eligibility requirements. The Plan is subject to the provisions of the Employee Retirement Income Security Act of 1974, as amended (“ERISA”).</w:t>
      </w:r>
    </w:p>
    <w:p>
      <w:pPr>
        <w:spacing w:after="0" w:line="19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following description of the Plan provides only general information. Participants should refer to the Plan document for a complete description of the Plan’s provisions, such as eligibility, vesting, allocation and funding.</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Effective January 1, 2025, the Plan was amended and restated to incorporate certain changes made available by the SECURE 2.0 Act of 2022, including enhanced catch-up contributions and domestic abuse withdrawal provisions.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Company’s Benefits Administrative Committee is responsible for the general operation and administration of the Plan. Fidelity Management Trust Company serves as the Plan trustee, record keeper, and custodian.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Eligibility</w:t>
      </w:r>
    </w:p>
    <w:p>
      <w:pPr>
        <w:spacing w:after="0" w:line="11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Domestic employees are immediately eligible to participate in the Plan upon date of hire. Certain temporary employees are not eligible to participate in the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Contributions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Plan provides for a participant to make pre-tax contributions of up to 75% of eligible earnings, not to exceed the annual Internal Revenue Service (“IRS”) maximum contribution amount. Participants have the option to designate all or any portion of their contributions as after-tax Roth contributions. Participants who will reach age 50 or older by the end of the calendar year may make catch-up contributions, with an enhanced catch-up limit available to those between ages 60 and 63.</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Eligible employees are automatically enrolled in the Plan at a pre-tax contribution rate of 3% of compensation for those who do not opt out of such participation. The contribution rate is automatically escalated by an additional 1% of compensation up to a maximum of 6% of compensation. Employees also receive the applicable Company matching contribution. The Company provides matching contributions of 200% of employees’ initial 3% contribution and 50% of their remaining contribution up to 6%. At the end of each Plan year, the Company provides, if necessary, an additional true-up matching contribution to employees, based on their total elective contributions and eligible compensation for the Plan year. The Company may make additional discretionary profit sharing matching contributions to eligible employees on their initial 4% contribution. The Company may also make additional discretionary employer special contributions to the Plan on behalf of eligible employees.</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Rollover contributions from other plans are also accepted provided certain specified conditions are met. Participants may direct their contributions and their Company matching contributions into any or all of the investment options under the Plan. Contributions are subject to limitations on annual additions and other limitations imposed by the Internal Revenue Code, as defined in the Plan document.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 Accounts</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Each participant’s account is credited with the participant’s elective contributions, any rollover contributions made by the participant, allocations of the Company’s base, matching and discretionary contributions and Plan earnings. A participant is entitled to the benefit provided from the participant’s vested account balance.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8" w:name="page9"/>
    <w:bookmarkEnd w:id="8"/>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All participants are immediately vested in their contributions to the Plan plus actual earnings thereon. Company matching contributions and discretionary employer special contributions vest immediately, however, base retirement contributions made by the Company prior to January 1, 2011 vested after three years of service or immediately upon death, attainment of age 65 or permanent and total disability.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Forfeitures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non-vested portions of participant account balances are forfeitable and used to reduce Company contributions to the Plan and to pay reasonable Plan expenses. Forfeitures used to reduce Company contributions or to offset plan expenses for the years ended December 31, 2025 and 2024 were immaterial to the financial statements. The total unused balance remaining in the forfeiture account was immaterial to the financial statements at December 31, 2025 and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Receivable from Participants</w:t>
      </w:r>
    </w:p>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Participant loans are permitted under certain circumstances and are subject to limitations. Participants may borrow from their account up to a maximum equal to the lesser of $50,000 or 50% of their account balance. Participant loans are repaid over a period not to exceed 5 years, or 10 years if the loan is for the purchase of a principal residence. The loans are secured by the balance in the participant’s account and bear interest at rates managed by Fidelity Management Trust Company. Principal and interest are paid through payroll deductions. Loans are recorded at unpaid principal plus accrued but unpaid interest.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Payment of Benefits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Participants are eligible to receive benefit payments upon termination, retirement, death or disability equal to the vested balance of the participant’s account as of the business day the trustee processes the distribution. Normal retirement age is 65; however, the Plan also provides for in-service withdrawals for active employees under certain circumstances. Hardship withdrawals are permitted in accordance with IRS guidelines.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Administrative Expenses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Administrative expenses can be paid by the Company or from the assets of the Plan. Participants are responsible for a nominal plan administrative fee each quarter. Transaction fees (such as loan fees or distribution processing fees), are charged directly to the respective participant accounts to which the transactions relate.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9" w:name="page10"/>
    <w:bookmarkEnd w:id="9"/>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SUMMARY OF SIGNIFICANT ACCOUNTING POLICIES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financial statements of the Plan have been prepared on the accrual basis of accounting in accordance with accounting principles generally accepted in the United States of America (“GAAP”).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Plan’s investments are recorded at fair value. Purchases and sales of securities are recorded on a trade-date basis using fair market value.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Dividends are recorded on the ex-dividend date. Interest is recorded as earned.</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Plan holds a stable value investment contract, Fidelity Managed Income Portfolio II (the “Portfolio”), with Fidelity Management Trust Company (“Fidelity”). The Portfolio is an open-end commingled pool dedicated exclusively to the management of assets of defined contribution plans. The Portfolio invests in underlying assets (typically fixed-income securities or bond funds, although investments may also include derivative instruments such as futures contracts and swap agreements) and enters into “wrapper” contracts issued by a third party. The account is credited with earnings on the underlying investments and charged for participant withdrawals and administrative expenses. The wrap issuer agrees to pay the Portfolio an amount sufficient to cover unit holder redemptions and certain other payments (such as portfolio expenses), provided all the terms of the wrapper have been met. Wrappers are normally purchased from issuers rated in the top three long-term rating categories (A- or the equivalent and above). The purpose of the wrappers is to preserve the investors’ principal investment while earning interest income, providing more stability in value than a traditional investment. Net asset value (“NAV”) is determined by the Portfolio each business day. Issues and redemptions of units are recorded, upon receipt of unit holder’s instructions in good order, based on the next determined NAV per unit, normally each day. In unusual market conditions, in accordance with the Portfolio’s Declaration of Trust, Fidelity may in its sole discretion, impose restrictions on issues and redemptions of units.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financial statements. Actual results could differ from those estimates.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Payments of Benefits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and Uncertainties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Plan provides various investment options, which are subject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Statements of Net Assets Available for Benefits.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Subsequent Events</w:t>
      </w:r>
    </w:p>
    <w:p>
      <w:pPr>
        <w:spacing w:after="0" w:line="12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For the year ended December 31, 2025, the Plan has evaluated subsequent events for potential recognition and disclosure through the date the financial statements were available for issuance.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10" w:name="page11"/>
    <w:bookmarkEnd w:id="10"/>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Effective January 1, 2026, the Plan was amended and restated to incorporate several updates, including implementing the Roth catch-up contribution rules required by the SECURE 2.0 Act of 2022, the addition of auto-portability provisions, the addition of a Roth in-plan conversion feature and the removal of provisions no longer in effect.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FAIR VALUE MEASUREMENTS</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i w:val="1"/>
          <w:iCs w:val="1"/>
          <w:color w:val="auto"/>
        </w:rPr>
        <w:t xml:space="preserve">Level 1 - </w:t>
      </w:r>
      <w:r>
        <w:rPr>
          <w:rFonts w:ascii="Times New Roman" w:cs="Times New Roman" w:eastAsia="Times New Roman" w:hAnsi="Times New Roman"/>
          <w:sz w:val="20"/>
          <w:szCs w:val="20"/>
          <w:color w:val="auto"/>
        </w:rPr>
        <w:t>Quoted prices in active markets for identical assets or liabilities.</w:t>
      </w:r>
    </w:p>
    <w:p>
      <w:pPr>
        <w:spacing w:after="0" w:line="81" w:lineRule="exact"/>
        <w:rPr>
          <w:sz w:val="20"/>
          <w:szCs w:val="20"/>
          <w:color w:val="auto"/>
        </w:rPr>
      </w:pPr>
    </w:p>
    <w:p>
      <w:pPr>
        <w:jc w:val="both"/>
        <w:ind w:left="460"/>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Level 2 - </w:t>
      </w:r>
      <w:r>
        <w:rPr>
          <w:rFonts w:ascii="Times New Roman" w:cs="Times New Roman" w:eastAsia="Times New Roman" w:hAnsi="Times New Roman"/>
          <w:sz w:val="20"/>
          <w:szCs w:val="20"/>
          <w:color w:val="auto"/>
        </w:rPr>
        <w:t>Observable inputs other than quoted prices included in Level 1, such as quoted prices for similar assets and liabilities in active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markets; quoted prices for similar assets and liabilities in markets that are not active; or other inputs that are observable or can be corroborated by observable market data.</w:t>
      </w:r>
    </w:p>
    <w:p>
      <w:pPr>
        <w:spacing w:after="0" w:line="20" w:lineRule="exact"/>
        <w:rPr>
          <w:sz w:val="20"/>
          <w:szCs w:val="20"/>
          <w:color w:val="auto"/>
        </w:rPr>
      </w:pPr>
    </w:p>
    <w:p>
      <w:pPr>
        <w:jc w:val="both"/>
        <w:ind w:left="460"/>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Level 3 - </w:t>
      </w:r>
      <w:r>
        <w:rPr>
          <w:rFonts w:ascii="Times New Roman" w:cs="Times New Roman" w:eastAsia="Times New Roman" w:hAnsi="Times New Roman"/>
          <w:sz w:val="20"/>
          <w:szCs w:val="20"/>
          <w:color w:val="auto"/>
        </w:rPr>
        <w:t>Unobservable inputs that are supported by little or no market activity and that are significant to the fair value of the assets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liabilities. This includes pricing models, discounted cash flow methodologies and similar techniques that use significant unobservable inputs.</w:t>
      </w:r>
    </w:p>
    <w:p>
      <w:pPr>
        <w:spacing w:after="0" w:line="28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following describes the valuation methodologies used for assets measured at fair value. There have been no changes in the methodologies used at December 31, 2025 and 2024.</w:t>
      </w:r>
    </w:p>
    <w:p>
      <w:pPr>
        <w:spacing w:after="0" w:line="173"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Mutual funds and common shares: Valued at the closing price reported on the active market on which the securities are traded.</w:t>
      </w:r>
    </w:p>
    <w:p>
      <w:pPr>
        <w:spacing w:after="0" w:line="28" w:lineRule="exact"/>
        <w:rPr>
          <w:rFonts w:ascii="Times New Roman" w:cs="Times New Roman" w:eastAsia="Times New Roman" w:hAnsi="Times New Roman"/>
          <w:sz w:val="20"/>
          <w:szCs w:val="20"/>
          <w:color w:val="auto"/>
        </w:rPr>
      </w:pPr>
    </w:p>
    <w:p>
      <w:pPr>
        <w:ind w:left="660" w:hanging="328"/>
        <w:spacing w:after="0" w:line="246"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Self-directed brokerage account: Includes investments in common stocks, preferred stocks, mutual funds, cash and cash equivalents and bonds, which are valued at quoted market prices at year end.</w:t>
      </w:r>
    </w:p>
    <w:p>
      <w:pPr>
        <w:spacing w:after="0" w:line="1" w:lineRule="exact"/>
        <w:rPr>
          <w:rFonts w:ascii="Times New Roman" w:cs="Times New Roman" w:eastAsia="Times New Roman" w:hAnsi="Times New Roman"/>
          <w:sz w:val="20"/>
          <w:szCs w:val="20"/>
          <w:color w:val="auto"/>
        </w:rPr>
      </w:pPr>
    </w:p>
    <w:p>
      <w:pPr>
        <w:ind w:left="660" w:hanging="328"/>
        <w:spacing w:after="0" w:line="246"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Stable value investment contracts: Valued at fair value by discounting the related cash flows based on current yields of similar instruments with comparable durations considering the creditworthiness of the issuer (see Note 2).</w:t>
      </w:r>
    </w:p>
    <w:p>
      <w:pPr>
        <w:spacing w:after="0" w:line="1" w:lineRule="exact"/>
        <w:rPr>
          <w:rFonts w:ascii="Times New Roman" w:cs="Times New Roman" w:eastAsia="Times New Roman" w:hAnsi="Times New Roman"/>
          <w:sz w:val="20"/>
          <w:szCs w:val="20"/>
          <w:color w:val="auto"/>
        </w:rPr>
      </w:pPr>
    </w:p>
    <w:p>
      <w:pPr>
        <w:ind w:left="660" w:hanging="328"/>
        <w:spacing w:after="0" w:line="263" w:lineRule="auto"/>
        <w:tabs>
          <w:tab w:leader="none" w:pos="64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Money market funds: Valued at amortized cost, which approximates fair value. The amortized cost of an instrument is determined by valuing it at its original cost and thereafter amortizing any discount or premium from its face value at a constant rate until maturity.</w:t>
      </w:r>
    </w:p>
    <w:p>
      <w:pPr>
        <w:jc w:val="both"/>
        <w:ind w:left="660" w:hanging="328"/>
        <w:spacing w:after="0" w:line="251"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Collective investment trusts: The fair value is based on NAV as reported by the trust, which is reported at fair value. Participant transactions (purchases and sales) may occur daily. Issues and redemptions of units are recorded, upon receipt of unit holder’s instructions in good order, based on the next determined NAV per unit, normally each day. In unusual market conditions, in accordance with the trust, the trustee may in its sole discretion impose restrictions on issues and redemptions of units.</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11" w:name="page12"/>
    <w:bookmarkEnd w:id="11"/>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Plan’s investments measured at fair value at December 31, 2025:</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340" w:type="dxa"/>
            <w:vAlign w:val="bottom"/>
          </w:tcPr>
          <w:p>
            <w:pPr>
              <w:spacing w:after="0"/>
              <w:rPr>
                <w:sz w:val="23"/>
                <w:szCs w:val="2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340" w:type="dxa"/>
            <w:vAlign w:val="bottom"/>
          </w:tcPr>
          <w:p>
            <w:pPr>
              <w:spacing w:after="0"/>
              <w:rPr>
                <w:sz w:val="23"/>
                <w:szCs w:val="2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400" w:type="dxa"/>
            <w:vAlign w:val="bottom"/>
          </w:tcPr>
          <w:p>
            <w:pPr>
              <w:spacing w:after="0"/>
              <w:rPr>
                <w:sz w:val="23"/>
                <w:szCs w:val="23"/>
                <w:color w:val="auto"/>
              </w:rPr>
            </w:pPr>
          </w:p>
        </w:tc>
        <w:tc>
          <w:tcPr>
            <w:tcW w:w="1360" w:type="dxa"/>
            <w:vAlign w:val="bottom"/>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54"/>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Mutual funds</w:t>
            </w:r>
          </w:p>
        </w:tc>
        <w:tc>
          <w:tcPr>
            <w:tcW w:w="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94,428,441</w:t>
            </w: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94,428,441</w:t>
            </w:r>
          </w:p>
        </w:tc>
        <w:tc>
          <w:tcPr>
            <w:tcW w:w="0" w:type="dxa"/>
            <w:vAlign w:val="bottom"/>
          </w:tcPr>
          <w:p>
            <w:pPr>
              <w:spacing w:after="0"/>
              <w:rPr>
                <w:sz w:val="1"/>
                <w:szCs w:val="1"/>
                <w:color w:val="auto"/>
              </w:rPr>
            </w:pPr>
          </w:p>
        </w:tc>
      </w:tr>
      <w:tr>
        <w:trPr>
          <w:trHeight w:val="189"/>
        </w:trPr>
        <w:tc>
          <w:tcPr>
            <w:tcW w:w="3660" w:type="dxa"/>
            <w:vAlign w:val="bottom"/>
          </w:tcPr>
          <w:p>
            <w:pPr>
              <w:ind w:left="20"/>
              <w:spacing w:after="0" w:line="189" w:lineRule="exact"/>
              <w:rPr>
                <w:sz w:val="20"/>
                <w:szCs w:val="20"/>
                <w:color w:val="auto"/>
              </w:rPr>
            </w:pPr>
            <w:r>
              <w:rPr>
                <w:rFonts w:ascii="Times New Roman" w:cs="Times New Roman" w:eastAsia="Times New Roman" w:hAnsi="Times New Roman"/>
                <w:sz w:val="20"/>
                <w:szCs w:val="20"/>
                <w:color w:val="auto"/>
              </w:rPr>
              <w:t>The Scotts Miracle-Gro Company common</w:t>
            </w:r>
          </w:p>
        </w:tc>
        <w:tc>
          <w:tcPr>
            <w:tcW w:w="34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21,392,161</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6"/>
                <w:szCs w:val="16"/>
                <w:color w:val="auto"/>
              </w:rPr>
            </w:pPr>
          </w:p>
        </w:tc>
        <w:tc>
          <w:tcPr>
            <w:tcW w:w="1600" w:type="dxa"/>
            <w:vAlign w:val="bottom"/>
            <w:gridSpan w:val="2"/>
            <w:vMerge w:val="restart"/>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21,392,161</w:t>
            </w:r>
          </w:p>
        </w:tc>
        <w:tc>
          <w:tcPr>
            <w:tcW w:w="0" w:type="dxa"/>
            <w:vAlign w:val="bottom"/>
          </w:tcPr>
          <w:p>
            <w:pPr>
              <w:spacing w:after="0"/>
              <w:rPr>
                <w:sz w:val="1"/>
                <w:szCs w:val="1"/>
                <w:color w:val="auto"/>
              </w:rPr>
            </w:pPr>
          </w:p>
        </w:tc>
      </w:tr>
      <w:tr>
        <w:trPr>
          <w:trHeight w:val="257"/>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shares</w:t>
            </w:r>
          </w:p>
        </w:tc>
        <w:tc>
          <w:tcPr>
            <w:tcW w:w="34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2"/>
            <w:vMerge w:val="continue"/>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2"/>
            <w:vMerge w:val="continue"/>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Self-directed brokerage account</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33,026,551</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33,026,551</w:t>
            </w:r>
          </w:p>
        </w:tc>
        <w:tc>
          <w:tcPr>
            <w:tcW w:w="0" w:type="dxa"/>
            <w:vAlign w:val="bottom"/>
          </w:tcPr>
          <w:p>
            <w:pPr>
              <w:spacing w:after="0"/>
              <w:rPr>
                <w:sz w:val="1"/>
                <w:szCs w:val="1"/>
                <w:color w:val="auto"/>
              </w:rPr>
            </w:pPr>
          </w:p>
        </w:tc>
      </w:tr>
      <w:tr>
        <w:trPr>
          <w:trHeight w:val="257"/>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Stable value investment contracts</w:t>
            </w:r>
          </w:p>
        </w:tc>
        <w:tc>
          <w:tcPr>
            <w:tcW w:w="340" w:type="dxa"/>
            <w:vAlign w:val="bottom"/>
          </w:tcPr>
          <w:p>
            <w:pPr>
              <w:spacing w:after="0"/>
              <w:rPr>
                <w:sz w:val="22"/>
                <w:szCs w:val="22"/>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21,409,173</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2"/>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21,409,173</w:t>
            </w:r>
          </w:p>
        </w:tc>
        <w:tc>
          <w:tcPr>
            <w:tcW w:w="0" w:type="dxa"/>
            <w:vAlign w:val="bottom"/>
          </w:tcPr>
          <w:p>
            <w:pPr>
              <w:spacing w:after="0"/>
              <w:rPr>
                <w:sz w:val="1"/>
                <w:szCs w:val="1"/>
                <w:color w:val="auto"/>
              </w:rPr>
            </w:pPr>
          </w:p>
        </w:tc>
      </w:tr>
      <w:tr>
        <w:trPr>
          <w:trHeight w:val="25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Money market funds</w:t>
            </w: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96,029</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96,029</w:t>
            </w: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investments in the fair value hierarchy</w:t>
            </w: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148,847,153</w:t>
            </w:r>
          </w:p>
        </w:tc>
        <w:tc>
          <w:tcPr>
            <w:tcW w:w="2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21,505,202</w:t>
            </w:r>
          </w:p>
        </w:tc>
        <w:tc>
          <w:tcPr>
            <w:tcW w:w="2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40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170,352,355</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Collective investment trusts, measured at</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584,506,818</w:t>
            </w:r>
          </w:p>
        </w:tc>
        <w:tc>
          <w:tcPr>
            <w:tcW w:w="0" w:type="dxa"/>
            <w:vAlign w:val="bottom"/>
          </w:tcPr>
          <w:p>
            <w:pPr>
              <w:spacing w:after="0"/>
              <w:rPr>
                <w:sz w:val="1"/>
                <w:szCs w:val="1"/>
                <w:color w:val="auto"/>
              </w:rPr>
            </w:pPr>
          </w:p>
        </w:tc>
      </w:tr>
      <w:tr>
        <w:trPr>
          <w:trHeight w:val="25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NAV</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754,859,173</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Plan’s investments measured at fair value at December 31, 2024:</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340" w:type="dxa"/>
            <w:vAlign w:val="bottom"/>
          </w:tcPr>
          <w:p>
            <w:pPr>
              <w:spacing w:after="0"/>
              <w:rPr>
                <w:sz w:val="23"/>
                <w:szCs w:val="2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340" w:type="dxa"/>
            <w:vAlign w:val="bottom"/>
          </w:tcPr>
          <w:p>
            <w:pPr>
              <w:spacing w:after="0"/>
              <w:rPr>
                <w:sz w:val="23"/>
                <w:szCs w:val="2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400" w:type="dxa"/>
            <w:vAlign w:val="bottom"/>
          </w:tcPr>
          <w:p>
            <w:pPr>
              <w:spacing w:after="0"/>
              <w:rPr>
                <w:sz w:val="23"/>
                <w:szCs w:val="23"/>
                <w:color w:val="auto"/>
              </w:rPr>
            </w:pPr>
          </w:p>
        </w:tc>
        <w:tc>
          <w:tcPr>
            <w:tcW w:w="1360" w:type="dxa"/>
            <w:vAlign w:val="bottom"/>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54"/>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Mutual funds</w:t>
            </w:r>
          </w:p>
        </w:tc>
        <w:tc>
          <w:tcPr>
            <w:tcW w:w="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152,983,846</w:t>
            </w: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152,983,846</w:t>
            </w:r>
          </w:p>
        </w:tc>
        <w:tc>
          <w:tcPr>
            <w:tcW w:w="0" w:type="dxa"/>
            <w:vAlign w:val="bottom"/>
          </w:tcPr>
          <w:p>
            <w:pPr>
              <w:spacing w:after="0"/>
              <w:rPr>
                <w:sz w:val="1"/>
                <w:szCs w:val="1"/>
                <w:color w:val="auto"/>
              </w:rPr>
            </w:pPr>
          </w:p>
        </w:tc>
      </w:tr>
      <w:tr>
        <w:trPr>
          <w:trHeight w:val="193"/>
        </w:trPr>
        <w:tc>
          <w:tcPr>
            <w:tcW w:w="3660" w:type="dxa"/>
            <w:vAlign w:val="bottom"/>
          </w:tcPr>
          <w:p>
            <w:pPr>
              <w:ind w:left="20"/>
              <w:spacing w:after="0" w:line="193" w:lineRule="exact"/>
              <w:rPr>
                <w:sz w:val="20"/>
                <w:szCs w:val="20"/>
                <w:color w:val="auto"/>
              </w:rPr>
            </w:pPr>
            <w:r>
              <w:rPr>
                <w:rFonts w:ascii="Times New Roman" w:cs="Times New Roman" w:eastAsia="Times New Roman" w:hAnsi="Times New Roman"/>
                <w:sz w:val="20"/>
                <w:szCs w:val="20"/>
                <w:color w:val="auto"/>
              </w:rPr>
              <w:t>The Scotts Miracle-Gro Company common</w:t>
            </w:r>
          </w:p>
        </w:tc>
        <w:tc>
          <w:tcPr>
            <w:tcW w:w="34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23,584,502</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16"/>
                <w:szCs w:val="16"/>
                <w:color w:val="auto"/>
              </w:rPr>
            </w:pPr>
          </w:p>
        </w:tc>
        <w:tc>
          <w:tcPr>
            <w:tcW w:w="1600" w:type="dxa"/>
            <w:vAlign w:val="bottom"/>
            <w:gridSpan w:val="2"/>
            <w:vMerge w:val="restart"/>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23,584,502</w:t>
            </w:r>
          </w:p>
        </w:tc>
        <w:tc>
          <w:tcPr>
            <w:tcW w:w="0" w:type="dxa"/>
            <w:vAlign w:val="bottom"/>
          </w:tcPr>
          <w:p>
            <w:pPr>
              <w:spacing w:after="0"/>
              <w:rPr>
                <w:sz w:val="1"/>
                <w:szCs w:val="1"/>
                <w:color w:val="auto"/>
              </w:rPr>
            </w:pPr>
          </w:p>
        </w:tc>
      </w:tr>
      <w:tr>
        <w:trPr>
          <w:trHeight w:val="252"/>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shares</w:t>
            </w:r>
          </w:p>
        </w:tc>
        <w:tc>
          <w:tcPr>
            <w:tcW w:w="34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Self-directed brokerage account</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31,505,260</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31,505,260</w:t>
            </w:r>
          </w:p>
        </w:tc>
        <w:tc>
          <w:tcPr>
            <w:tcW w:w="0" w:type="dxa"/>
            <w:vAlign w:val="bottom"/>
          </w:tcPr>
          <w:p>
            <w:pPr>
              <w:spacing w:after="0"/>
              <w:rPr>
                <w:sz w:val="1"/>
                <w:szCs w:val="1"/>
                <w:color w:val="auto"/>
              </w:rPr>
            </w:pPr>
          </w:p>
        </w:tc>
      </w:tr>
      <w:tr>
        <w:trPr>
          <w:trHeight w:val="257"/>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Stable value investment contracts</w:t>
            </w:r>
          </w:p>
        </w:tc>
        <w:tc>
          <w:tcPr>
            <w:tcW w:w="340" w:type="dxa"/>
            <w:vAlign w:val="bottom"/>
          </w:tcPr>
          <w:p>
            <w:pPr>
              <w:spacing w:after="0"/>
              <w:rPr>
                <w:sz w:val="22"/>
                <w:szCs w:val="22"/>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22,968,790</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2"/>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22,968,790</w:t>
            </w:r>
          </w:p>
        </w:tc>
        <w:tc>
          <w:tcPr>
            <w:tcW w:w="0" w:type="dxa"/>
            <w:vAlign w:val="bottom"/>
          </w:tcPr>
          <w:p>
            <w:pPr>
              <w:spacing w:after="0"/>
              <w:rPr>
                <w:sz w:val="1"/>
                <w:szCs w:val="1"/>
                <w:color w:val="auto"/>
              </w:rPr>
            </w:pPr>
          </w:p>
        </w:tc>
      </w:tr>
      <w:tr>
        <w:trPr>
          <w:trHeight w:val="25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Money market funds</w:t>
            </w: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325,617</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325,617</w:t>
            </w: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investments in the fair value hierarchy</w:t>
            </w: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208,073,608</w:t>
            </w:r>
          </w:p>
        </w:tc>
        <w:tc>
          <w:tcPr>
            <w:tcW w:w="2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23,294,407</w:t>
            </w:r>
          </w:p>
        </w:tc>
        <w:tc>
          <w:tcPr>
            <w:tcW w:w="2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40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231,368,015</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6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color w:val="auto"/>
              </w:rPr>
              <w:t>Collective investment trusts, measured at</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447,033,286</w:t>
            </w:r>
          </w:p>
        </w:tc>
        <w:tc>
          <w:tcPr>
            <w:tcW w:w="0" w:type="dxa"/>
            <w:vAlign w:val="bottom"/>
          </w:tcPr>
          <w:p>
            <w:pPr>
              <w:spacing w:after="0"/>
              <w:rPr>
                <w:sz w:val="1"/>
                <w:szCs w:val="1"/>
                <w:color w:val="auto"/>
              </w:rPr>
            </w:pPr>
          </w:p>
        </w:tc>
      </w:tr>
      <w:tr>
        <w:trPr>
          <w:trHeight w:val="25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NAV</w:t>
            </w: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investments at fair value</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678,401,301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TAX STATUS</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Plan obtained its latest determination letter on December 5, 2017, based on plan amendments through January 1, 2017, in which the Internal Revenue Service (“IRS”) stated that the Plan, as then designed, was in compliance with the applicable requirements of the Internal Revenue Code. The Plan has been amended, however, the Plan administrator and the Company believe that the Plan is being operated in compliance with the applicable requirements of the Internal Revenue Code. Accordingly, no provision for federal income taxes has been made.</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GAAP requires Plan management to evaluate tax positions taken by the Plan and recognize a tax liability if the Plan has taken uncertain tax positions that more-likely-than-not would not be sustained upon examination by applicable taxing authorities. The Plan administrator has analyzed tax positions taken by the Plan and has concluded that, as of December 31, 2025, there are no uncertain tax positions taken, or expected to be taken, that would require recognition of a liability or that would require disclosure in the financial statements. The Plan is subject to routine audits by taxing jurisdictions. Currently no audits for any tax periods are in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12" w:name="page13"/>
    <w:bookmarkEnd w:id="12"/>
    <w:p>
      <w:pPr>
        <w:ind w:left="4240"/>
        <w:spacing w:after="0"/>
        <w:rPr>
          <w:sz w:val="20"/>
          <w:szCs w:val="20"/>
          <w:color w:val="auto"/>
        </w:rPr>
      </w:pPr>
      <w:r>
        <w:rPr>
          <w:rFonts w:ascii="Times New Roman" w:cs="Times New Roman" w:eastAsia="Times New Roman" w:hAnsi="Times New Roman"/>
          <w:sz w:val="20"/>
          <w:szCs w:val="20"/>
          <w:b w:val="1"/>
          <w:bCs w:val="1"/>
          <w:color w:val="auto"/>
        </w:rPr>
        <w:t>THE SCOTTS COMPANY LLC</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Retirement Savings Plan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PLAN TERMINATION</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Although it has not expressed any intent to do so, the Company has the right under the Plan to terminate the Plan or its contributions subject to the provisions of ERISA. In the event the Plan is terminated, all participants will become fully vested in their accounts.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PARTY-IN-INTEREST TRANSACTIONS</w:t>
      </w:r>
    </w:p>
    <w:p>
      <w:pPr>
        <w:spacing w:after="0" w:line="24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Certain Plan investments are shares of mutual funds managed by Fidelity Management Trust Company, the Trustee as defined by the Plan, and therefore, these transactions qualify as party-in-interest. The fees for the investment management services are paid by the mutual funds.</w:t>
      </w:r>
    </w:p>
    <w:p>
      <w:pPr>
        <w:spacing w:after="0" w:line="18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is also a party-in-interest to the Plan under the definition provided in Section 3(14) of ERISA. Therefore, the Company’s common share transactions qualify as party-in-interest.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the Plan has arrangements with various service providers and these arrangements qualify as party-in-interest transactions.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9"/>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920" w:type="dxa"/>
            <w:vAlign w:val="bottom"/>
            <w:gridSpan w:val="4"/>
          </w:tcPr>
          <w:p>
            <w:pPr>
              <w:jc w:val="center"/>
              <w:ind w:left="1172"/>
              <w:spacing w:after="0"/>
              <w:rPr>
                <w:sz w:val="20"/>
                <w:szCs w:val="20"/>
                <w:color w:val="auto"/>
              </w:rPr>
            </w:pPr>
            <w:r>
              <w:rPr>
                <w:rFonts w:ascii="Times New Roman" w:cs="Times New Roman" w:eastAsia="Times New Roman" w:hAnsi="Times New Roman"/>
                <w:sz w:val="16"/>
                <w:szCs w:val="16"/>
                <w:b w:val="1"/>
                <w:bCs w:val="1"/>
                <w:color w:val="auto"/>
              </w:rPr>
              <w:t>SCHEDULE OF ASSETS HELD FOR INVESTMENT PURPOSES AT END OF YEAR</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gridSpan w:val="4"/>
          </w:tcPr>
          <w:p>
            <w:pPr>
              <w:jc w:val="center"/>
              <w:ind w:left="1152"/>
              <w:spacing w:after="0"/>
              <w:rPr>
                <w:sz w:val="20"/>
                <w:szCs w:val="20"/>
                <w:color w:val="auto"/>
              </w:rPr>
            </w:pPr>
            <w:r>
              <w:rPr>
                <w:rFonts w:ascii="Times New Roman" w:cs="Times New Roman" w:eastAsia="Times New Roman" w:hAnsi="Times New Roman"/>
                <w:sz w:val="16"/>
                <w:szCs w:val="16"/>
                <w:b w:val="1"/>
                <w:bCs w:val="1"/>
                <w:color w:val="auto"/>
              </w:rPr>
              <w:t>Form 5500, Schedule H, Part IV, Line 4i</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920" w:type="dxa"/>
            <w:vAlign w:val="bottom"/>
            <w:gridSpan w:val="4"/>
          </w:tcPr>
          <w:p>
            <w:pPr>
              <w:jc w:val="center"/>
              <w:ind w:left="1152"/>
              <w:spacing w:after="0"/>
              <w:rPr>
                <w:sz w:val="20"/>
                <w:szCs w:val="20"/>
                <w:color w:val="auto"/>
              </w:rPr>
            </w:pPr>
            <w:r>
              <w:rPr>
                <w:rFonts w:ascii="Times New Roman" w:cs="Times New Roman" w:eastAsia="Times New Roman" w:hAnsi="Times New Roman"/>
                <w:sz w:val="16"/>
                <w:szCs w:val="16"/>
                <w:b w:val="1"/>
                <w:bCs w:val="1"/>
                <w:color w:val="auto"/>
              </w:rPr>
              <w:t>The Scotts Company LLC Retirement Savings Plan</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gridSpan w:val="4"/>
          </w:tcPr>
          <w:p>
            <w:pPr>
              <w:jc w:val="center"/>
              <w:ind w:left="1152"/>
              <w:spacing w:after="0"/>
              <w:rPr>
                <w:sz w:val="20"/>
                <w:szCs w:val="20"/>
                <w:color w:val="auto"/>
              </w:rPr>
            </w:pPr>
            <w:r>
              <w:rPr>
                <w:rFonts w:ascii="Times New Roman" w:cs="Times New Roman" w:eastAsia="Times New Roman" w:hAnsi="Times New Roman"/>
                <w:sz w:val="16"/>
                <w:szCs w:val="16"/>
                <w:b w:val="1"/>
                <w:bCs w:val="1"/>
                <w:color w:val="auto"/>
              </w:rPr>
              <w:t>EIN 31-1414921</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920" w:type="dxa"/>
            <w:vAlign w:val="bottom"/>
            <w:gridSpan w:val="4"/>
          </w:tcPr>
          <w:p>
            <w:pPr>
              <w:jc w:val="center"/>
              <w:ind w:left="1172"/>
              <w:spacing w:after="0"/>
              <w:rPr>
                <w:sz w:val="20"/>
                <w:szCs w:val="20"/>
                <w:color w:val="auto"/>
              </w:rPr>
            </w:pPr>
            <w:r>
              <w:rPr>
                <w:rFonts w:ascii="Times New Roman" w:cs="Times New Roman" w:eastAsia="Times New Roman" w:hAnsi="Times New Roman"/>
                <w:sz w:val="16"/>
                <w:szCs w:val="16"/>
                <w:b w:val="1"/>
                <w:bCs w:val="1"/>
                <w:color w:val="auto"/>
              </w:rPr>
              <w:t>Plan Number 001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20" w:type="dxa"/>
            <w:vAlign w:val="bottom"/>
            <w:gridSpan w:val="4"/>
          </w:tcPr>
          <w:p>
            <w:pPr>
              <w:jc w:val="center"/>
              <w:ind w:left="117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(a)</w:t>
            </w:r>
          </w:p>
        </w:tc>
        <w:tc>
          <w:tcPr>
            <w:tcW w:w="4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(b) Identity of Issue, Borrower, Lessor, or Similar Party</w:t>
            </w:r>
          </w:p>
        </w:tc>
        <w:tc>
          <w:tcPr>
            <w:tcW w:w="402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6"/>
                <w:szCs w:val="16"/>
                <w:color w:val="auto"/>
              </w:rPr>
              <w:t>(c) Description of Investment Including Maturity Date,</w:t>
            </w: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w w:val="99"/>
              </w:rPr>
              <w:t>(d) Cost</w:t>
            </w:r>
          </w:p>
        </w:tc>
        <w:tc>
          <w:tcPr>
            <w:tcW w:w="120" w:type="dxa"/>
            <w:vAlign w:val="bottom"/>
          </w:tcPr>
          <w:p>
            <w:pPr>
              <w:spacing w:after="0"/>
              <w:rPr>
                <w:sz w:val="15"/>
                <w:szCs w:val="15"/>
                <w:color w:val="auto"/>
              </w:rPr>
            </w:pPr>
          </w:p>
        </w:tc>
        <w:tc>
          <w:tcPr>
            <w:tcW w:w="980" w:type="dxa"/>
            <w:vAlign w:val="bottom"/>
          </w:tcPr>
          <w:p>
            <w:pPr>
              <w:jc w:val="right"/>
              <w:ind w:right="51"/>
              <w:spacing w:after="0" w:line="181" w:lineRule="exact"/>
              <w:rPr>
                <w:sz w:val="20"/>
                <w:szCs w:val="20"/>
                <w:color w:val="auto"/>
              </w:rPr>
            </w:pPr>
            <w:r>
              <w:rPr>
                <w:rFonts w:ascii="Times New Roman" w:cs="Times New Roman" w:eastAsia="Times New Roman" w:hAnsi="Times New Roman"/>
                <w:sz w:val="16"/>
                <w:szCs w:val="16"/>
                <w:color w:val="auto"/>
              </w:rPr>
              <w:t>(e) Current</w:t>
            </w:r>
          </w:p>
        </w:tc>
        <w:tc>
          <w:tcPr>
            <w:tcW w:w="0" w:type="dxa"/>
            <w:vAlign w:val="bottom"/>
          </w:tcPr>
          <w:p>
            <w:pPr>
              <w:spacing w:after="0"/>
              <w:rPr>
                <w:sz w:val="1"/>
                <w:szCs w:val="1"/>
                <w:color w:val="auto"/>
              </w:rPr>
            </w:pPr>
          </w:p>
        </w:tc>
      </w:tr>
      <w:tr>
        <w:trPr>
          <w:trHeight w:val="213"/>
        </w:trPr>
        <w:tc>
          <w:tcPr>
            <w:tcW w:w="540" w:type="dxa"/>
            <w:vAlign w:val="bottom"/>
            <w:gridSpan w:val="2"/>
            <w:vMerge w:val="continue"/>
          </w:tcPr>
          <w:p>
            <w:pPr>
              <w:spacing w:after="0"/>
              <w:rPr>
                <w:sz w:val="18"/>
                <w:szCs w:val="18"/>
                <w:color w:val="auto"/>
              </w:rPr>
            </w:pPr>
          </w:p>
        </w:tc>
        <w:tc>
          <w:tcPr>
            <w:tcW w:w="4900" w:type="dxa"/>
            <w:vAlign w:val="bottom"/>
            <w:gridSpan w:val="2"/>
            <w:vMerge w:val="continue"/>
          </w:tcPr>
          <w:p>
            <w:pPr>
              <w:spacing w:after="0"/>
              <w:rPr>
                <w:sz w:val="18"/>
                <w:szCs w:val="18"/>
                <w:color w:val="auto"/>
              </w:rPr>
            </w:pPr>
          </w:p>
        </w:tc>
        <w:tc>
          <w:tcPr>
            <w:tcW w:w="40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Rate of Interest, Collateral, Par or Maturity Value</w:t>
            </w: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71"/>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26"/>
        </w:trPr>
        <w:tc>
          <w:tcPr>
            <w:tcW w:w="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7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Boston Trust Walden Small-Mid Cap CIT</w:t>
            </w:r>
          </w:p>
        </w:tc>
        <w:tc>
          <w:tcPr>
            <w:tcW w:w="120" w:type="dxa"/>
            <w:vAlign w:val="bottom"/>
            <w:tcBorders>
              <w:top w:val="single" w:sz="8" w:color="CCEEFF"/>
            </w:tcBorders>
            <w:shd w:val="clear" w:color="auto" w:fill="CCEEFF"/>
          </w:tcPr>
          <w:p>
            <w:pPr>
              <w:spacing w:after="0"/>
              <w:rPr>
                <w:sz w:val="19"/>
                <w:szCs w:val="19"/>
                <w:color w:val="auto"/>
              </w:rPr>
            </w:pPr>
          </w:p>
        </w:tc>
        <w:tc>
          <w:tcPr>
            <w:tcW w:w="39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280,665</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Dodge and Cox Stock Fund Class X</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26,520,680</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EuroPacific Growth Fund Class R6</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13,995,979</w:t>
            </w:r>
          </w:p>
        </w:tc>
        <w:tc>
          <w:tcPr>
            <w:tcW w:w="0" w:type="dxa"/>
            <w:vAlign w:val="bottom"/>
          </w:tcPr>
          <w:p>
            <w:pPr>
              <w:spacing w:after="0"/>
              <w:rPr>
                <w:sz w:val="1"/>
                <w:szCs w:val="1"/>
                <w:color w:val="auto"/>
              </w:rPr>
            </w:pPr>
          </w:p>
        </w:tc>
      </w:tr>
      <w:tr>
        <w:trPr>
          <w:trHeight w:val="229"/>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Fidelity Brokerage Link</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Self-Directed Brokerage Option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33,026,551</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Fidelity Contrafund Commingled Pool Class A</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54,209,591</w:t>
            </w:r>
          </w:p>
        </w:tc>
        <w:tc>
          <w:tcPr>
            <w:tcW w:w="0" w:type="dxa"/>
            <w:vAlign w:val="bottom"/>
          </w:tcPr>
          <w:p>
            <w:pPr>
              <w:spacing w:after="0"/>
              <w:rPr>
                <w:sz w:val="1"/>
                <w:szCs w:val="1"/>
                <w:color w:val="auto"/>
              </w:rPr>
            </w:pPr>
          </w:p>
        </w:tc>
      </w:tr>
      <w:tr>
        <w:trPr>
          <w:trHeight w:val="230"/>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Fidelity Managed Income Portfolio II</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21,409,173</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Fidelity Puritan Fund Class K</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17,643,745</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Loomis Sayles Core Plus Fixed Income Class F</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9,395,386</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Spartan 500 Index Pool Class C</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64,001,027</w:t>
            </w:r>
          </w:p>
        </w:tc>
        <w:tc>
          <w:tcPr>
            <w:tcW w:w="0" w:type="dxa"/>
            <w:vAlign w:val="bottom"/>
          </w:tcPr>
          <w:p>
            <w:pPr>
              <w:spacing w:after="0"/>
              <w:rPr>
                <w:sz w:val="1"/>
                <w:szCs w:val="1"/>
                <w:color w:val="auto"/>
              </w:rPr>
            </w:pPr>
          </w:p>
        </w:tc>
      </w:tr>
      <w:tr>
        <w:trPr>
          <w:trHeight w:val="229"/>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Spartan Total International Index Pool Class C</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5,871,711</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 Rowe Price Large-Cap Growth Trust B</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52,683,022</w:t>
            </w:r>
          </w:p>
        </w:tc>
        <w:tc>
          <w:tcPr>
            <w:tcW w:w="0" w:type="dxa"/>
            <w:vAlign w:val="bottom"/>
          </w:tcPr>
          <w:p>
            <w:pPr>
              <w:spacing w:after="0"/>
              <w:rPr>
                <w:sz w:val="1"/>
                <w:szCs w:val="1"/>
                <w:color w:val="auto"/>
              </w:rPr>
            </w:pPr>
          </w:p>
        </w:tc>
      </w:tr>
      <w:tr>
        <w:trPr>
          <w:trHeight w:val="229"/>
        </w:trPr>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Scotts Miracle-Gro Company Common Shares</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Employer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21,392,161</w:t>
            </w:r>
          </w:p>
        </w:tc>
        <w:tc>
          <w:tcPr>
            <w:tcW w:w="0" w:type="dxa"/>
            <w:vAlign w:val="bottom"/>
          </w:tcPr>
          <w:p>
            <w:pPr>
              <w:spacing w:after="0"/>
              <w:rPr>
                <w:sz w:val="1"/>
                <w:szCs w:val="1"/>
                <w:color w:val="auto"/>
              </w:rPr>
            </w:pPr>
          </w:p>
        </w:tc>
      </w:tr>
      <w:tr>
        <w:trPr>
          <w:trHeight w:val="184"/>
        </w:trPr>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900" w:type="dxa"/>
            <w:vAlign w:val="bottom"/>
            <w:gridSpan w:val="2"/>
            <w:shd w:val="clear" w:color="auto" w:fill="CCEEFF"/>
          </w:tcPr>
          <w:p>
            <w:pPr>
              <w:ind w:left="280"/>
              <w:spacing w:after="0" w:line="184" w:lineRule="exact"/>
              <w:rPr>
                <w:sz w:val="20"/>
                <w:szCs w:val="20"/>
                <w:color w:val="auto"/>
              </w:rPr>
            </w:pPr>
            <w:r>
              <w:rPr>
                <w:rFonts w:ascii="Times New Roman" w:cs="Times New Roman" w:eastAsia="Times New Roman" w:hAnsi="Times New Roman"/>
                <w:sz w:val="18"/>
                <w:szCs w:val="18"/>
                <w:color w:val="auto"/>
              </w:rPr>
              <w:t>Vanguard Cash Reserves Federal Money Market Fund -</w:t>
            </w:r>
          </w:p>
        </w:tc>
        <w:tc>
          <w:tcPr>
            <w:tcW w:w="3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Admiral</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96,029</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Vanguard Extended Market Index Fund</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30,877,495</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Vanguard Short Term Inflation Protected Securities Fund</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2,073,067</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2020 Trust II</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7,739,621</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2025 Trust II</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20,714,651</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2030 Trust II</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48,753,294</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2035 Trust II</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52,698,683</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2040 Trust II</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56,061,327</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2045 Trust II</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63,963,687</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2050 Trust II</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62,268,686</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2055 Trust II</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48,666,545</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2060 Trust II</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21,240,973</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2065 Trust II</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10,075,660</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Vanguard Target Retirement 2070 Trust II</w:t>
            </w:r>
          </w:p>
        </w:tc>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960,277</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Vanguard Target Retirement Income Trust II</w:t>
            </w:r>
          </w:p>
        </w:tc>
        <w:tc>
          <w:tcPr>
            <w:tcW w:w="4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Collective Trust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4,922,012</w:t>
            </w:r>
          </w:p>
        </w:tc>
        <w:tc>
          <w:tcPr>
            <w:tcW w:w="0" w:type="dxa"/>
            <w:vAlign w:val="bottom"/>
          </w:tcPr>
          <w:p>
            <w:pPr>
              <w:spacing w:after="0"/>
              <w:rPr>
                <w:sz w:val="1"/>
                <w:szCs w:val="1"/>
                <w:color w:val="auto"/>
              </w:rPr>
            </w:pPr>
          </w:p>
        </w:tc>
      </w:tr>
      <w:tr>
        <w:trPr>
          <w:trHeight w:val="230"/>
        </w:trPr>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Vanguard Total Bond Market Index Fund Institutional Shares</w:t>
            </w:r>
          </w:p>
        </w:tc>
        <w:tc>
          <w:tcPr>
            <w:tcW w:w="40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5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3,317,475</w:t>
            </w:r>
          </w:p>
        </w:tc>
        <w:tc>
          <w:tcPr>
            <w:tcW w:w="0" w:type="dxa"/>
            <w:vAlign w:val="bottom"/>
          </w:tcPr>
          <w:p>
            <w:pPr>
              <w:spacing w:after="0"/>
              <w:rPr>
                <w:sz w:val="1"/>
                <w:szCs w:val="1"/>
                <w:color w:val="auto"/>
              </w:rPr>
            </w:pPr>
          </w:p>
        </w:tc>
      </w:tr>
      <w:tr>
        <w:trPr>
          <w:trHeight w:val="223"/>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754,859,173</w:t>
            </w:r>
          </w:p>
        </w:tc>
        <w:tc>
          <w:tcPr>
            <w:tcW w:w="0" w:type="dxa"/>
            <w:vAlign w:val="bottom"/>
          </w:tcPr>
          <w:p>
            <w:pPr>
              <w:spacing w:after="0"/>
              <w:rPr>
                <w:sz w:val="1"/>
                <w:szCs w:val="1"/>
                <w:color w:val="auto"/>
              </w:rPr>
            </w:pPr>
          </w:p>
        </w:tc>
      </w:t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Participant loans (interest rates ranging from 4.25%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Participant loans</w:t>
            </w:r>
          </w:p>
        </w:tc>
        <w:tc>
          <w:tcPr>
            <w:tcW w:w="402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to 9.50% with varying maturity dates through</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13,937,173</w:t>
            </w:r>
          </w:p>
        </w:tc>
        <w:tc>
          <w:tcPr>
            <w:tcW w:w="0" w:type="dxa"/>
            <w:vAlign w:val="bottom"/>
          </w:tcPr>
          <w:p>
            <w:pPr>
              <w:spacing w:after="0"/>
              <w:rPr>
                <w:sz w:val="1"/>
                <w:szCs w:val="1"/>
                <w:color w:val="auto"/>
              </w:rPr>
            </w:pPr>
          </w:p>
        </w:tc>
      </w:tr>
      <w:tr>
        <w:trPr>
          <w:trHeight w:val="229"/>
        </w:trPr>
        <w:tc>
          <w:tcPr>
            <w:tcW w:w="4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900" w:type="dxa"/>
            <w:vAlign w:val="bottom"/>
            <w:tcBorders>
              <w:bottom w:val="single" w:sz="8" w:color="CCEEFF"/>
            </w:tcBorders>
            <w:gridSpan w:val="2"/>
            <w:vMerge w:val="continue"/>
          </w:tcPr>
          <w:p>
            <w:pPr>
              <w:spacing w:after="0"/>
              <w:rPr>
                <w:sz w:val="19"/>
                <w:szCs w:val="19"/>
                <w:color w:val="auto"/>
              </w:rPr>
            </w:pPr>
          </w:p>
        </w:tc>
        <w:tc>
          <w:tcPr>
            <w:tcW w:w="4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March 6, 2035)</w:t>
            </w:r>
          </w:p>
        </w:tc>
        <w:tc>
          <w:tcPr>
            <w:tcW w:w="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768,796,346</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 Party-in-interest to the Plan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 Information not represented because investments are participant directed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500" w:type="dxa"/>
            <w:vAlign w:val="bottom"/>
          </w:tcPr>
          <w:p>
            <w:pPr>
              <w:jc w:val="center"/>
              <w:ind w:right="1821"/>
              <w:spacing w:after="0"/>
              <w:rPr>
                <w:sz w:val="20"/>
                <w:szCs w:val="20"/>
                <w:color w:val="auto"/>
              </w:rPr>
            </w:pPr>
            <w:r>
              <w:rPr>
                <w:rFonts w:ascii="Times New Roman" w:cs="Times New Roman" w:eastAsia="Times New Roman" w:hAnsi="Times New Roman"/>
                <w:sz w:val="20"/>
                <w:szCs w:val="20"/>
                <w:b w:val="1"/>
                <w:bCs w:val="1"/>
                <w:color w:val="auto"/>
                <w:w w:val="98"/>
              </w:rPr>
              <w:t>THE SCOTTS COMPANY LLC RETIREMENT SAVINGS PLAN</w:t>
            </w:r>
          </w:p>
        </w:tc>
      </w:tr>
      <w:tr>
        <w:trPr>
          <w:trHeight w:val="229"/>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500" w:type="dxa"/>
            <w:vAlign w:val="bottom"/>
          </w:tcPr>
          <w:p>
            <w:pPr>
              <w:jc w:val="center"/>
              <w:ind w:right="1841"/>
              <w:spacing w:after="0"/>
              <w:rPr>
                <w:sz w:val="20"/>
                <w:szCs w:val="20"/>
                <w:color w:val="auto"/>
              </w:rPr>
            </w:pPr>
            <w:r>
              <w:rPr>
                <w:rFonts w:ascii="Times New Roman" w:cs="Times New Roman" w:eastAsia="Times New Roman" w:hAnsi="Times New Roman"/>
                <w:sz w:val="20"/>
                <w:szCs w:val="20"/>
                <w:b w:val="1"/>
                <w:bCs w:val="1"/>
                <w:color w:val="auto"/>
                <w:w w:val="98"/>
              </w:rPr>
              <w:t>ANNUAL REPORT ON FORM 11-K</w:t>
            </w:r>
          </w:p>
        </w:tc>
      </w:tr>
      <w:tr>
        <w:trPr>
          <w:trHeight w:val="24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500" w:type="dxa"/>
            <w:vAlign w:val="bottom"/>
          </w:tcPr>
          <w:p>
            <w:pPr>
              <w:jc w:val="center"/>
              <w:ind w:right="1841"/>
              <w:spacing w:after="0"/>
              <w:rPr>
                <w:sz w:val="20"/>
                <w:szCs w:val="20"/>
                <w:color w:val="auto"/>
              </w:rPr>
            </w:pPr>
            <w:r>
              <w:rPr>
                <w:rFonts w:ascii="Times New Roman" w:cs="Times New Roman" w:eastAsia="Times New Roman" w:hAnsi="Times New Roman"/>
                <w:sz w:val="20"/>
                <w:szCs w:val="20"/>
                <w:b w:val="1"/>
                <w:bCs w:val="1"/>
                <w:color w:val="auto"/>
                <w:w w:val="98"/>
              </w:rPr>
              <w:t>FOR FISCAL YEAR ENDED DECEMBER 31, 2025</w:t>
            </w:r>
          </w:p>
        </w:tc>
      </w:tr>
      <w:tr>
        <w:trPr>
          <w:trHeight w:val="262"/>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500" w:type="dxa"/>
            <w:vAlign w:val="bottom"/>
          </w:tcPr>
          <w:p>
            <w:pPr>
              <w:jc w:val="center"/>
              <w:ind w:right="1821"/>
              <w:spacing w:after="0"/>
              <w:rPr>
                <w:sz w:val="20"/>
                <w:szCs w:val="20"/>
                <w:color w:val="auto"/>
              </w:rPr>
            </w:pPr>
            <w:r>
              <w:rPr>
                <w:rFonts w:ascii="Times New Roman" w:cs="Times New Roman" w:eastAsia="Times New Roman" w:hAnsi="Times New Roman"/>
                <w:sz w:val="20"/>
                <w:szCs w:val="20"/>
                <w:b w:val="1"/>
                <w:bCs w:val="1"/>
                <w:color w:val="auto"/>
                <w:w w:val="98"/>
              </w:rPr>
              <w:t>INDEX TO EXHIBITS</w:t>
            </w:r>
          </w:p>
        </w:tc>
      </w:tr>
      <w:tr>
        <w:trPr>
          <w:trHeight w:val="760"/>
        </w:trPr>
        <w:tc>
          <w:tcPr>
            <w:tcW w:w="20" w:type="dxa"/>
            <w:vAlign w:val="bottom"/>
          </w:tcPr>
          <w:p>
            <w:pPr>
              <w:spacing w:after="0"/>
              <w:rPr>
                <w:sz w:val="24"/>
                <w:szCs w:val="24"/>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5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0"/>
        </w:trPr>
        <w:tc>
          <w:tcPr>
            <w:tcW w:w="360" w:type="dxa"/>
            <w:vAlign w:val="bottom"/>
            <w:tcBorders>
              <w:top w:val="single" w:sz="8" w:color="auto"/>
            </w:tcBorders>
            <w:gridSpan w:val="2"/>
          </w:tcPr>
          <w:p>
            <w:pPr>
              <w:ind w:left="20"/>
              <w:spacing w:after="0" w:line="200" w:lineRule="exact"/>
              <w:rPr>
                <w:sz w:val="20"/>
                <w:szCs w:val="20"/>
                <w:color w:val="auto"/>
              </w:rPr>
            </w:pPr>
            <w:r>
              <w:rPr>
                <w:rFonts w:ascii="Times New Roman" w:cs="Times New Roman" w:eastAsia="Times New Roman" w:hAnsi="Times New Roman"/>
                <w:sz w:val="20"/>
                <w:szCs w:val="20"/>
                <w:color w:val="0000FF"/>
                <w:w w:val="91"/>
              </w:rPr>
              <w:t>23.</w:t>
            </w:r>
            <w:r>
              <w:rPr>
                <w:rFonts w:ascii="Times New Roman" w:cs="Times New Roman" w:eastAsia="Times New Roman" w:hAnsi="Times New Roman"/>
                <w:sz w:val="20"/>
                <w:szCs w:val="20"/>
                <w:u w:val="single" w:color="auto"/>
                <w:color w:val="0000FF"/>
                <w:w w:val="91"/>
              </w:rPr>
              <w:t>1</w:t>
            </w:r>
          </w:p>
        </w:tc>
        <w:tc>
          <w:tcPr>
            <w:tcW w:w="1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500" w:type="dxa"/>
            <w:vAlign w:val="bottom"/>
            <w:tcBorders>
              <w:top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Consent of Independent Registered Public Accounting Firm</w:t>
            </w: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40"/>
          </w:cols>
          <w:pgMar w:left="720" w:top="1004" w:right="7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(Form S-8 No. 333-154364) pertaining to The Scotts Miracle-Gro Company of our report dated June 24, 2026, with respect to the financial statements of The Scotts Company LLC Retirement Savings Plan included in this Annual Report (Form 11-K) for the year ended December 31,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MEADEN &amp; MOORE, LTD.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Cleveland, Ohio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24, 2026</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2026-06-24T16:06:28Z</dcterms:created>
  <dcterms:modified xsi:type="dcterms:W3CDTF">2026-06-24T16:06:28Z</dcterms:modified>
</cp:coreProperties>
</file>