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jc w:val="center"/>
        <w:ind w:right="2259"/>
        <w:spacing w:after="0" w:line="238" w:lineRule="auto"/>
        <w:rPr>
          <w:sz w:val="20"/>
          <w:szCs w:val="20"/>
          <w:color w:val="auto"/>
        </w:rPr>
      </w:pPr>
      <w:r>
        <w:rPr>
          <w:rFonts w:ascii="Courier New" w:cs="Courier New" w:eastAsia="Courier New" w:hAnsi="Courier New"/>
          <w:sz w:val="17"/>
          <w:szCs w:val="17"/>
          <w:color w:val="auto"/>
        </w:rPr>
        <w:t>SECURITIES AND EXCHANGE COMMISSION</w:t>
      </w:r>
    </w:p>
    <w:p>
      <w:pPr>
        <w:spacing w:after="0" w:line="190"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372"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8-K/A</w:t>
      </w:r>
    </w:p>
    <w:p>
      <w:pPr>
        <w:spacing w:after="0" w:line="190" w:lineRule="exact"/>
        <w:rPr>
          <w:sz w:val="24"/>
          <w:szCs w:val="24"/>
          <w:color w:val="auto"/>
        </w:rPr>
      </w:pPr>
    </w:p>
    <w:p>
      <w:pPr>
        <w:ind w:left="3280"/>
        <w:spacing w:after="0"/>
        <w:rPr>
          <w:sz w:val="20"/>
          <w:szCs w:val="20"/>
          <w:color w:val="auto"/>
        </w:rPr>
      </w:pPr>
      <w:r>
        <w:rPr>
          <w:rFonts w:ascii="Courier New" w:cs="Courier New" w:eastAsia="Courier New" w:hAnsi="Courier New"/>
          <w:sz w:val="17"/>
          <w:szCs w:val="17"/>
          <w:color w:val="auto"/>
        </w:rPr>
        <w:t>CURRENT REPORT</w:t>
      </w:r>
    </w:p>
    <w:p>
      <w:pPr>
        <w:ind w:left="2100"/>
        <w:spacing w:after="0" w:line="238" w:lineRule="auto"/>
        <w:rPr>
          <w:sz w:val="20"/>
          <w:szCs w:val="20"/>
          <w:color w:val="auto"/>
        </w:rPr>
      </w:pPr>
      <w:r>
        <w:rPr>
          <w:rFonts w:ascii="Courier New" w:cs="Courier New" w:eastAsia="Courier New" w:hAnsi="Courier New"/>
          <w:sz w:val="17"/>
          <w:szCs w:val="17"/>
          <w:color w:val="auto"/>
        </w:rPr>
        <w:t>Pursuant to Section 13 or 15(d) of the</w:t>
      </w:r>
    </w:p>
    <w:p>
      <w:pPr>
        <w:ind w:left="2480"/>
        <w:spacing w:after="0" w:line="238" w:lineRule="auto"/>
        <w:rPr>
          <w:sz w:val="20"/>
          <w:szCs w:val="20"/>
          <w:color w:val="auto"/>
        </w:rPr>
      </w:pPr>
      <w:r>
        <w:rPr>
          <w:rFonts w:ascii="Courier New" w:cs="Courier New" w:eastAsia="Courier New" w:hAnsi="Courier New"/>
          <w:sz w:val="17"/>
          <w:szCs w:val="17"/>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 December 21, 1998 (October 7, 1998)</w:t>
      </w:r>
    </w:p>
    <w:p>
      <w:pPr>
        <w:spacing w:after="0" w:line="10" w:lineRule="exact"/>
        <w:rPr>
          <w:sz w:val="24"/>
          <w:szCs w:val="24"/>
          <w:color w:val="auto"/>
        </w:rPr>
      </w:pPr>
    </w:p>
    <w:p>
      <w:pPr>
        <w:ind w:left="49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SCOTTS COMPANY</w:t>
      </w:r>
    </w:p>
    <w:p>
      <w:pPr>
        <w:ind w:left="1300"/>
        <w:spacing w:after="0" w:line="238" w:lineRule="auto"/>
        <w:rPr>
          <w:sz w:val="20"/>
          <w:szCs w:val="20"/>
          <w:color w:val="auto"/>
        </w:rPr>
      </w:pPr>
      <w:r>
        <w:rPr>
          <w:rFonts w:ascii="Courier New" w:cs="Courier New" w:eastAsia="Courier New" w:hAnsi="Courier New"/>
          <w:sz w:val="17"/>
          <w:szCs w:val="17"/>
          <w:color w:val="auto"/>
        </w:rPr>
        <w:t>------------------------------------------------------</w:t>
      </w:r>
    </w:p>
    <w:p>
      <w:pPr>
        <w:ind w:left="130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280" w:type="dxa"/>
            <w:vAlign w:val="bottom"/>
          </w:tcPr>
          <w:p>
            <w:pPr>
              <w:ind w:left="1200"/>
              <w:spacing w:after="0"/>
              <w:rPr>
                <w:sz w:val="20"/>
                <w:szCs w:val="20"/>
                <w:color w:val="auto"/>
              </w:rPr>
            </w:pPr>
            <w:r>
              <w:rPr>
                <w:rFonts w:ascii="Courier New" w:cs="Courier New" w:eastAsia="Courier New" w:hAnsi="Courier New"/>
                <w:sz w:val="17"/>
                <w:szCs w:val="17"/>
                <w:color w:val="auto"/>
              </w:rPr>
              <w:t>OHIO</w:t>
            </w:r>
          </w:p>
        </w:tc>
        <w:tc>
          <w:tcPr>
            <w:tcW w:w="2440" w:type="dxa"/>
            <w:vAlign w:val="bottom"/>
          </w:tcPr>
          <w:p>
            <w:pPr>
              <w:ind w:left="800"/>
              <w:spacing w:after="0"/>
              <w:rPr>
                <w:sz w:val="20"/>
                <w:szCs w:val="20"/>
                <w:color w:val="auto"/>
              </w:rPr>
            </w:pPr>
            <w:r>
              <w:rPr>
                <w:rFonts w:ascii="Courier New" w:cs="Courier New" w:eastAsia="Courier New" w:hAnsi="Courier New"/>
                <w:sz w:val="17"/>
                <w:szCs w:val="17"/>
                <w:color w:val="auto"/>
              </w:rPr>
              <w:t>1-11593</w:t>
            </w:r>
          </w:p>
        </w:tc>
        <w:tc>
          <w:tcPr>
            <w:tcW w:w="24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31-1414921</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2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(State or other jurisdiction</w:t>
            </w:r>
          </w:p>
        </w:tc>
        <w:tc>
          <w:tcPr>
            <w:tcW w:w="24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(Commission File</w:t>
            </w:r>
          </w:p>
        </w:tc>
        <w:tc>
          <w:tcPr>
            <w:tcW w:w="24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8"/>
              </w:rPr>
              <w:t>(IRS Employer</w:t>
            </w:r>
          </w:p>
        </w:tc>
      </w:tr>
      <w:tr>
        <w:trPr>
          <w:trHeight w:val="191"/>
        </w:trPr>
        <w:tc>
          <w:tcPr>
            <w:tcW w:w="32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of incorporation)</w:t>
            </w:r>
          </w:p>
        </w:tc>
        <w:tc>
          <w:tcPr>
            <w:tcW w:w="24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Number)</w:t>
            </w:r>
          </w:p>
        </w:tc>
        <w:tc>
          <w:tcPr>
            <w:tcW w:w="24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8"/>
              </w:rPr>
              <w:t>Identification No.)</w:t>
            </w:r>
          </w:p>
        </w:tc>
      </w:tr>
    </w:tbl>
    <w:p>
      <w:pPr>
        <w:spacing w:after="0" w:line="381"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14111 SCOTTSLAWN ROAD, MARYSVILLE, OHIO 43041</w:t>
      </w:r>
    </w:p>
    <w:p>
      <w:pPr>
        <w:ind w:left="1500"/>
        <w:spacing w:after="0" w:line="238" w:lineRule="auto"/>
        <w:rPr>
          <w:sz w:val="20"/>
          <w:szCs w:val="20"/>
          <w:color w:val="auto"/>
        </w:rPr>
      </w:pPr>
      <w:r>
        <w:rPr>
          <w:rFonts w:ascii="Courier New" w:cs="Courier New" w:eastAsia="Courier New" w:hAnsi="Courier New"/>
          <w:sz w:val="17"/>
          <w:szCs w:val="17"/>
          <w:color w:val="auto"/>
        </w:rPr>
        <w:t>---------------------------------------------------</w:t>
      </w:r>
    </w:p>
    <w:p>
      <w:pPr>
        <w:ind w:left="1500"/>
        <w:spacing w:after="0" w:line="238" w:lineRule="auto"/>
        <w:rPr>
          <w:sz w:val="20"/>
          <w:szCs w:val="20"/>
          <w:color w:val="auto"/>
        </w:rPr>
      </w:pPr>
      <w:r>
        <w:rPr>
          <w:rFonts w:ascii="Courier New" w:cs="Courier New" w:eastAsia="Courier New" w:hAnsi="Courier New"/>
          <w:sz w:val="17"/>
          <w:szCs w:val="17"/>
          <w:color w:val="auto"/>
        </w:rPr>
        <w:t>(Address of principal executive offices) (Zip Code)</w:t>
      </w:r>
    </w:p>
    <w:p>
      <w:pPr>
        <w:spacing w:after="0" w:line="382"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Registrant's telephone number, including area code (937) 644-0011</w:t>
      </w:r>
    </w:p>
    <w:p>
      <w:pPr>
        <w:ind w:left="586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NOT APPLICABLE</w:t>
      </w:r>
    </w:p>
    <w:p>
      <w:pPr>
        <w:ind w:left="900"/>
        <w:spacing w:after="0" w:line="238" w:lineRule="auto"/>
        <w:rPr>
          <w:sz w:val="20"/>
          <w:szCs w:val="20"/>
          <w:color w:val="auto"/>
        </w:rPr>
      </w:pPr>
      <w:r>
        <w:rPr>
          <w:rFonts w:ascii="Courier New" w:cs="Courier New" w:eastAsia="Courier New" w:hAnsi="Courier New"/>
          <w:sz w:val="17"/>
          <w:szCs w:val="17"/>
          <w:color w:val="auto"/>
        </w:rPr>
        <w:t>--------------------------------------------------------------</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(Former name or former address, if changed since last report.)</w:t>
      </w:r>
    </w:p>
    <w:p>
      <w:pPr>
        <w:spacing w:after="0" w:line="190"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Index to Exhibits is on Page 26.</w:t>
      </w:r>
    </w:p>
    <w:p>
      <w:pPr>
        <w:sectPr>
          <w:pgSz w:w="11900" w:h="16838" w:orient="portrait"/>
          <w:cols w:equalWidth="0" w:num="1">
            <w:col w:w="10219"/>
          </w:cols>
          <w:pgMar w:left="240" w:top="237"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ind w:right="2259" w:firstLine="1392"/>
        <w:spacing w:after="0" w:line="253" w:lineRule="auto"/>
        <w:rPr>
          <w:sz w:val="20"/>
          <w:szCs w:val="20"/>
          <w:color w:val="auto"/>
        </w:rPr>
      </w:pPr>
      <w:r>
        <w:rPr>
          <w:rFonts w:ascii="Courier New" w:cs="Courier New" w:eastAsia="Courier New" w:hAnsi="Courier New"/>
          <w:sz w:val="16"/>
          <w:szCs w:val="16"/>
          <w:color w:val="auto"/>
        </w:rPr>
        <w:t>This Current Report on Form 8-K/A of The Scotts Company (the "Registrant") furnishes the financial statements and the pro forma financial information which were omitted from the Current Report on Form 8-K of the Registrant filed with the Securities and Exchange Commission (the "Commission") on October 22, 1998 (the "Registrant's October 1998 Form 8-K") in accordance with Items 7(a)(4) and 7(b)(2) of Form 8-K which allow the Registrant a 60-day extension of the time for the filing of such financial statements and pro forma financial information. The financial statements and pro forma financial information relate to the purchase by Scotts France Holdings SARL and Scotts France SARL, wholly-owned indirect subsidiaries of the Registrant, of all of the outstanding shares of Rhone-Poulenc Jardin SAS from Rhone-Poulenc Agro ("RPA"); Scotts Celaflor GmbH &amp; Co. KG, a wholly-owned indirect subsidiary of the Registrant, of all of the outstanding shares of Celaflor GmbH from Rhone-Poulenc Agro Europe GmbH ("RPAEG"); "David" Sechsundfunfzigste Beteiligungs und Verwaltungsgesellschaft GmbH (now known as Scotts Holding GmbH), a wholly-owned indirect subsidiary of the Registrant, of all of the outstanding shares of Celaflor Handelsgesellschaft m.b.H.; and Scotts Belgium 2 B.V.B.A., a wholly-owned indirect subsidiary of the Registrant, from Rhone-Poulenc Agro S.A. ("RPA S.A.") of the home and garden business of RPA S.A. in Belgium and the assets related thereto (collectively, the "RPJ Acquisition"), as described in Item 2 of the Registrant's October 1998 Form 8-K.</w:t>
      </w:r>
    </w:p>
    <w:p>
      <w:pPr>
        <w:spacing w:after="0" w:line="18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ind w:left="200" w:hanging="198"/>
        <w:spacing w:after="0" w:line="238"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rFonts w:ascii="Courier New" w:cs="Courier New" w:eastAsia="Courier New" w:hAnsi="Courier New"/>
          <w:sz w:val="17"/>
          <w:szCs w:val="17"/>
          <w:color w:val="auto"/>
        </w:rPr>
      </w:pPr>
    </w:p>
    <w:p>
      <w:pPr>
        <w:ind w:left="2180" w:hanging="786"/>
        <w:spacing w:after="0"/>
        <w:tabs>
          <w:tab w:leader="none" w:pos="218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of Businesses Acquired:</w:t>
      </w:r>
    </w:p>
    <w:p>
      <w:pPr>
        <w:ind w:left="218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2180" w:right="26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Please see Index to Financial Statements and Pro Forma Financial Information at page 5.</w:t>
      </w:r>
    </w:p>
    <w:p>
      <w:pPr>
        <w:spacing w:after="0" w:line="190" w:lineRule="exact"/>
        <w:rPr>
          <w:rFonts w:ascii="Courier New" w:cs="Courier New" w:eastAsia="Courier New" w:hAnsi="Courier New"/>
          <w:sz w:val="17"/>
          <w:szCs w:val="17"/>
          <w:color w:val="auto"/>
        </w:rPr>
      </w:pPr>
    </w:p>
    <w:p>
      <w:pPr>
        <w:ind w:left="2180" w:hanging="786"/>
        <w:spacing w:after="0"/>
        <w:tabs>
          <w:tab w:leader="none" w:pos="218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Information:</w:t>
      </w:r>
    </w:p>
    <w:p>
      <w:pPr>
        <w:ind w:left="218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2180" w:right="26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Please see Index to Financial Statements and Pro Forma Financial Information at page 5.</w:t>
      </w:r>
    </w:p>
    <w:p>
      <w:pPr>
        <w:spacing w:after="0" w:line="190" w:lineRule="exact"/>
        <w:rPr>
          <w:rFonts w:ascii="Courier New" w:cs="Courier New" w:eastAsia="Courier New" w:hAnsi="Courier New"/>
          <w:sz w:val="17"/>
          <w:szCs w:val="17"/>
          <w:color w:val="auto"/>
        </w:rPr>
      </w:pPr>
    </w:p>
    <w:p>
      <w:pPr>
        <w:ind w:left="2180" w:hanging="786"/>
        <w:spacing w:after="0"/>
        <w:tabs>
          <w:tab w:leader="none" w:pos="218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ind w:left="218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The following documents were filed as exhibits to the</w:t>
      </w:r>
    </w:p>
    <w:p>
      <w:pPr>
        <w:spacing w:after="0" w:line="238" w:lineRule="auto"/>
        <w:rPr>
          <w:sz w:val="20"/>
          <w:szCs w:val="20"/>
          <w:color w:val="auto"/>
        </w:rPr>
      </w:pPr>
      <w:r>
        <w:rPr>
          <w:rFonts w:ascii="Courier New" w:cs="Courier New" w:eastAsia="Courier New" w:hAnsi="Courier New"/>
          <w:sz w:val="17"/>
          <w:szCs w:val="17"/>
          <w:color w:val="auto"/>
        </w:rPr>
        <w:t>Registrant's October 1998 Form 8-K:</w:t>
      </w:r>
    </w:p>
    <w:p>
      <w:pPr>
        <w:sectPr>
          <w:pgSz w:w="11900" w:h="16838" w:orient="portrait"/>
          <w:cols w:equalWidth="0" w:num="1">
            <w:col w:w="10219"/>
          </w:cols>
          <w:pgMar w:left="240" w:top="301" w:right="1440" w:bottom="1440" w:gutter="0" w:footer="0" w:header="0"/>
        </w:sectPr>
      </w:pPr>
    </w:p>
    <w:p>
      <w:pPr>
        <w:spacing w:after="0" w:line="197"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Exhibit No.</w:t>
      </w:r>
    </w:p>
    <w:p>
      <w:pPr>
        <w:spacing w:after="0" w:line="10"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ind w:left="2280" w:right="2259" w:hanging="886"/>
        <w:spacing w:after="0" w:line="237" w:lineRule="auto"/>
        <w:tabs>
          <w:tab w:leader="none" w:pos="22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Master Contract, dated September 30, 1998, by and between Rhone-Poulenc Agro; The Scotts Company; Scotts Celaflor GmbH &amp; Co. K.G.; "David" Sechsundfunfzigste Beteiligungs und Verwaltungsgesellschaft GmbH; Rhone-Poulenc Agro Europe GmbH; Scotts France Holdings S.A.R.L.; Scotts France S.A.R.L.; and Scotts Belgium 2 B.V.B.A. (the "Master Contract")</w:t>
      </w:r>
    </w:p>
    <w:p>
      <w:pPr>
        <w:spacing w:after="0" w:line="192" w:lineRule="exact"/>
        <w:rPr>
          <w:sz w:val="20"/>
          <w:szCs w:val="20"/>
          <w:color w:val="auto"/>
        </w:rPr>
      </w:pPr>
    </w:p>
    <w:p>
      <w:pPr>
        <w:ind w:left="2280" w:hanging="886"/>
        <w:spacing w:after="0"/>
        <w:tabs>
          <w:tab w:leader="none" w:pos="22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 Independent Accountants</w:t>
      </w:r>
    </w:p>
    <w:p>
      <w:pPr>
        <w:spacing w:after="0" w:line="189" w:lineRule="exact"/>
        <w:rPr>
          <w:rFonts w:ascii="Courier New" w:cs="Courier New" w:eastAsia="Courier New" w:hAnsi="Courier New"/>
          <w:sz w:val="17"/>
          <w:szCs w:val="17"/>
          <w:color w:val="auto"/>
        </w:rPr>
      </w:pPr>
    </w:p>
    <w:p>
      <w:pPr>
        <w:ind w:left="2280" w:hanging="886"/>
        <w:spacing w:after="0"/>
        <w:tabs>
          <w:tab w:leader="none" w:pos="228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Press Release issued October 7, 1998</w:t>
      </w:r>
    </w:p>
    <w:p>
      <w:pPr>
        <w:spacing w:after="0" w:line="196" w:lineRule="exact"/>
        <w:rPr>
          <w:sz w:val="20"/>
          <w:szCs w:val="20"/>
          <w:color w:val="auto"/>
        </w:rPr>
      </w:pPr>
    </w:p>
    <w:p>
      <w:pPr>
        <w:ind w:left="900" w:right="2259"/>
        <w:spacing w:after="0" w:line="237" w:lineRule="auto"/>
        <w:rPr>
          <w:sz w:val="20"/>
          <w:szCs w:val="20"/>
          <w:color w:val="auto"/>
        </w:rPr>
      </w:pPr>
      <w:r>
        <w:rPr>
          <w:rFonts w:ascii="Courier New" w:cs="Courier New" w:eastAsia="Courier New" w:hAnsi="Courier New"/>
          <w:sz w:val="17"/>
          <w:szCs w:val="17"/>
          <w:color w:val="auto"/>
        </w:rPr>
        <w:t>Schedules to the Master Contract were not filed. A list of the omitted Schedules was attached to the Master Contract briefly identifying their content. The Registrant agreed, and hereby agrees, to furnish supplementally a copy of any omitted Schedule to the Securities and Exchange Commission upon its request.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type w:val="continuous"/>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The following document is being filed as an additional exhibit to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Report on Form 8-K/A:</w:t>
      </w:r>
    </w:p>
    <w:p>
      <w:pPr>
        <w:sectPr>
          <w:pgSz w:w="11900" w:h="16838" w:orient="portrait"/>
          <w:cols w:equalWidth="0" w:num="1">
            <w:col w:w="10219"/>
          </w:cols>
          <w:pgMar w:left="240" w:top="301" w:right="1440" w:bottom="1440" w:gutter="0" w:footer="0" w:header="0"/>
        </w:sectPr>
      </w:pP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Exhibit No.</w:t>
      </w:r>
    </w:p>
    <w:p>
      <w:pPr>
        <w:spacing w:after="0" w:line="10"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ectPr>
          <w:pgSz w:w="11900" w:h="16838" w:orient="portrait"/>
          <w:cols w:equalWidth="0" w:num="2">
            <w:col w:w="3760" w:space="720"/>
            <w:col w:w="5739"/>
          </w:cols>
          <w:pgMar w:left="240" w:top="301" w:right="1440" w:bottom="1440" w:gutter="0" w:footer="0" w:header="0"/>
          <w:type w:val="continuous"/>
        </w:sectPr>
      </w:pPr>
    </w:p>
    <w:p>
      <w:pPr>
        <w:jc w:val="center"/>
        <w:ind w:left="3880" w:right="4539" w:hanging="2486"/>
        <w:spacing w:after="0" w:line="468" w:lineRule="auto"/>
        <w:tabs>
          <w:tab w:leader="none" w:pos="228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 Independent Accountants 3</w:t>
      </w:r>
    </w:p>
    <w:p>
      <w:pPr>
        <w:sectPr>
          <w:pgSz w:w="11900" w:h="16838" w:orient="portrait"/>
          <w:cols w:equalWidth="0" w:num="1">
            <w:col w:w="10219"/>
          </w:cols>
          <w:pgMar w:left="240" w:top="301" w:right="1440"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ind w:left="3480"/>
        <w:spacing w:after="0" w:line="238" w:lineRule="auto"/>
        <w:rPr>
          <w:sz w:val="20"/>
          <w:szCs w:val="20"/>
          <w:color w:val="auto"/>
        </w:rPr>
      </w:pPr>
      <w:r>
        <w:rPr>
          <w:rFonts w:ascii="Courier New" w:cs="Courier New" w:eastAsia="Courier New" w:hAnsi="Courier New"/>
          <w:sz w:val="17"/>
          <w:szCs w:val="17"/>
          <w:color w:val="auto"/>
        </w:rPr>
        <w:t>SIGNATURES</w:t>
      </w:r>
    </w:p>
    <w:p>
      <w:pPr>
        <w:ind w:left="34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Pursuant to the requirements of the Securities Exchange Act of 1934,</w:t>
      </w:r>
    </w:p>
    <w:tbl>
      <w:tblPr>
        <w:tblLayout w:type="fixed"/>
        <w:tblInd w:w="0" w:type="dxa"/>
        <w:tblCellMar>
          <w:top w:w="0" w:type="dxa"/>
          <w:left w:w="0" w:type="dxa"/>
          <w:bottom w:w="0" w:type="dxa"/>
          <w:right w:w="0" w:type="dxa"/>
        </w:tblCellMar>
      </w:tblPr>
      <w:tr>
        <w:trPr>
          <w:trHeight w:val="191"/>
        </w:trPr>
        <w:tc>
          <w:tcPr>
            <w:tcW w:w="42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the Registrant has duly caused this report</w:t>
            </w:r>
          </w:p>
        </w:tc>
        <w:tc>
          <w:tcPr>
            <w:tcW w:w="3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to be signed on its behalf by the</w:t>
            </w:r>
          </w:p>
        </w:tc>
      </w:tr>
      <w:tr>
        <w:trPr>
          <w:trHeight w:val="191"/>
        </w:trPr>
        <w:tc>
          <w:tcPr>
            <w:tcW w:w="37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undersigned hereunto duly authorized.</w:t>
            </w:r>
          </w:p>
        </w:tc>
        <w:tc>
          <w:tcPr>
            <w:tcW w:w="4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574"/>
        </w:trPr>
        <w:tc>
          <w:tcPr>
            <w:tcW w:w="378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7"/>
                <w:szCs w:val="17"/>
                <w:color w:val="auto"/>
              </w:rPr>
              <w:t>THE</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rPr>
              <w:t>SCOTTS COMPANY</w:t>
            </w:r>
          </w:p>
        </w:tc>
      </w:tr>
      <w:tr>
        <w:trPr>
          <w:trHeight w:val="383"/>
        </w:trPr>
        <w:tc>
          <w:tcPr>
            <w:tcW w:w="3780" w:type="dxa"/>
            <w:vAlign w:val="bottom"/>
          </w:tcPr>
          <w:p>
            <w:pPr>
              <w:spacing w:after="0"/>
              <w:rPr>
                <w:sz w:val="20"/>
                <w:szCs w:val="20"/>
                <w:color w:val="auto"/>
              </w:rPr>
            </w:pPr>
            <w:r>
              <w:rPr>
                <w:rFonts w:ascii="Courier New" w:cs="Courier New" w:eastAsia="Courier New" w:hAnsi="Courier New"/>
                <w:sz w:val="17"/>
                <w:szCs w:val="17"/>
                <w:color w:val="auto"/>
              </w:rPr>
              <w:t>Date:  December 21, 1998</w:t>
            </w:r>
          </w:p>
        </w:tc>
        <w:tc>
          <w:tcPr>
            <w:tcW w:w="440" w:type="dxa"/>
            <w:vAlign w:val="bottom"/>
          </w:tcPr>
          <w:p>
            <w:pPr>
              <w:ind w:left="100"/>
              <w:spacing w:after="0"/>
              <w:rPr>
                <w:sz w:val="20"/>
                <w:szCs w:val="20"/>
                <w:color w:val="auto"/>
              </w:rPr>
            </w:pPr>
            <w:r>
              <w:rPr>
                <w:rFonts w:ascii="Courier New" w:cs="Courier New" w:eastAsia="Courier New" w:hAnsi="Courier New"/>
                <w:sz w:val="17"/>
                <w:szCs w:val="17"/>
                <w:color w:val="auto"/>
              </w:rPr>
              <w:t>By:</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rPr>
              <w:t>/s/ Jean H. Mordo</w:t>
            </w:r>
          </w:p>
        </w:tc>
      </w:tr>
    </w:tbl>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Jean H. Mordo, Executive Vice</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President and Chief Financial Officer</w:t>
      </w:r>
    </w:p>
    <w:p>
      <w:pPr>
        <w:spacing w:after="0" w:line="1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1"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ind w:left="2580"/>
        <w:spacing w:after="0" w:line="238" w:lineRule="auto"/>
        <w:rPr>
          <w:sz w:val="20"/>
          <w:szCs w:val="20"/>
          <w:color w:val="auto"/>
        </w:rPr>
      </w:pPr>
      <w:r>
        <w:rPr>
          <w:rFonts w:ascii="Courier New" w:cs="Courier New" w:eastAsia="Courier New" w:hAnsi="Courier New"/>
          <w:sz w:val="17"/>
          <w:szCs w:val="17"/>
          <w:color w:val="auto"/>
        </w:rPr>
        <w:t>INDEX TO FINANCIAL STATEMENTS</w:t>
      </w:r>
    </w:p>
    <w:p>
      <w:pPr>
        <w:ind w:left="25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Page(s)</w:t>
            </w:r>
          </w:p>
        </w:tc>
      </w:tr>
      <w:tr>
        <w:trPr>
          <w:trHeight w:val="191"/>
        </w:trPr>
        <w:tc>
          <w:tcPr>
            <w:tcW w:w="636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Item 7(a) Financial Statements of Businesses Acquired:</w:t>
            </w:r>
          </w:p>
        </w:tc>
        <w:tc>
          <w:tcPr>
            <w:tcW w:w="1500" w:type="dxa"/>
            <w:vAlign w:val="bottom"/>
          </w:tcPr>
          <w:p>
            <w:pPr>
              <w:spacing w:after="0"/>
              <w:rPr>
                <w:sz w:val="24"/>
                <w:szCs w:val="24"/>
                <w:color w:val="auto"/>
              </w:rPr>
            </w:pPr>
          </w:p>
        </w:tc>
      </w:tr>
      <w:tr>
        <w:trPr>
          <w:trHeight w:val="191"/>
        </w:trPr>
        <w:tc>
          <w:tcPr>
            <w:tcW w:w="636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500" w:type="dxa"/>
            <w:vAlign w:val="bottom"/>
          </w:tcPr>
          <w:p>
            <w:pPr>
              <w:spacing w:after="0"/>
              <w:rPr>
                <w:sz w:val="16"/>
                <w:szCs w:val="16"/>
                <w:color w:val="auto"/>
              </w:rPr>
            </w:pPr>
          </w:p>
        </w:tc>
      </w:tr>
      <w:tr>
        <w:trPr>
          <w:trHeight w:val="383"/>
        </w:trPr>
        <w:tc>
          <w:tcPr>
            <w:tcW w:w="6360" w:type="dxa"/>
            <w:vAlign w:val="bottom"/>
          </w:tcPr>
          <w:p>
            <w:pPr>
              <w:ind w:left="1000"/>
              <w:spacing w:after="0"/>
              <w:rPr>
                <w:sz w:val="20"/>
                <w:szCs w:val="20"/>
                <w:color w:val="auto"/>
              </w:rPr>
            </w:pPr>
            <w:r>
              <w:rPr>
                <w:rFonts w:ascii="Courier New" w:cs="Courier New" w:eastAsia="Courier New" w:hAnsi="Courier New"/>
                <w:sz w:val="17"/>
                <w:szCs w:val="17"/>
                <w:color w:val="auto"/>
              </w:rPr>
              <w:t>Report of Independent Accountants</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6</w:t>
            </w:r>
          </w:p>
        </w:tc>
      </w:tr>
      <w:tr>
        <w:trPr>
          <w:trHeight w:val="383"/>
        </w:trPr>
        <w:tc>
          <w:tcPr>
            <w:tcW w:w="6360" w:type="dxa"/>
            <w:vAlign w:val="bottom"/>
          </w:tcPr>
          <w:p>
            <w:pPr>
              <w:ind w:left="1000"/>
              <w:spacing w:after="0"/>
              <w:rPr>
                <w:sz w:val="20"/>
                <w:szCs w:val="20"/>
                <w:color w:val="auto"/>
              </w:rPr>
            </w:pPr>
            <w:r>
              <w:rPr>
                <w:rFonts w:ascii="Courier New" w:cs="Courier New" w:eastAsia="Courier New" w:hAnsi="Courier New"/>
                <w:sz w:val="17"/>
                <w:szCs w:val="17"/>
                <w:color w:val="auto"/>
              </w:rPr>
              <w:t>Rhone-Poulenc Jardin Combined Balance Sheets</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w:t>
            </w: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as of December 31, 1997 and September</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30, 1998 (in thousands of French Francs)</w:t>
            </w:r>
          </w:p>
        </w:tc>
        <w:tc>
          <w:tcPr>
            <w:tcW w:w="1500" w:type="dxa"/>
            <w:vAlign w:val="bottom"/>
          </w:tcPr>
          <w:p>
            <w:pPr>
              <w:spacing w:after="0"/>
              <w:rPr>
                <w:sz w:val="16"/>
                <w:szCs w:val="16"/>
                <w:color w:val="auto"/>
              </w:rPr>
            </w:pPr>
          </w:p>
        </w:tc>
      </w:tr>
      <w:tr>
        <w:trPr>
          <w:trHeight w:val="383"/>
        </w:trPr>
        <w:tc>
          <w:tcPr>
            <w:tcW w:w="6360" w:type="dxa"/>
            <w:vAlign w:val="bottom"/>
          </w:tcPr>
          <w:p>
            <w:pPr>
              <w:ind w:left="1000"/>
              <w:spacing w:after="0"/>
              <w:rPr>
                <w:sz w:val="20"/>
                <w:szCs w:val="20"/>
                <w:color w:val="auto"/>
              </w:rPr>
            </w:pPr>
            <w:r>
              <w:rPr>
                <w:rFonts w:ascii="Courier New" w:cs="Courier New" w:eastAsia="Courier New" w:hAnsi="Courier New"/>
                <w:sz w:val="17"/>
                <w:szCs w:val="17"/>
                <w:color w:val="auto"/>
              </w:rPr>
              <w:t>Rhone-Poulenc Jardin Combined Statements of</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8</w:t>
            </w: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of Operations for the year ended</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December 31, 1997 and the nine months</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ended September 30, 1998 (in thousands</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of French Francs)</w:t>
            </w:r>
          </w:p>
        </w:tc>
        <w:tc>
          <w:tcPr>
            <w:tcW w:w="1500" w:type="dxa"/>
            <w:vAlign w:val="bottom"/>
          </w:tcPr>
          <w:p>
            <w:pPr>
              <w:spacing w:after="0"/>
              <w:rPr>
                <w:sz w:val="16"/>
                <w:szCs w:val="16"/>
                <w:color w:val="auto"/>
              </w:rPr>
            </w:pPr>
          </w:p>
        </w:tc>
      </w:tr>
      <w:tr>
        <w:trPr>
          <w:trHeight w:val="383"/>
        </w:trPr>
        <w:tc>
          <w:tcPr>
            <w:tcW w:w="6360" w:type="dxa"/>
            <w:vAlign w:val="bottom"/>
          </w:tcPr>
          <w:p>
            <w:pPr>
              <w:ind w:left="1000"/>
              <w:spacing w:after="0"/>
              <w:rPr>
                <w:sz w:val="20"/>
                <w:szCs w:val="20"/>
                <w:color w:val="auto"/>
              </w:rPr>
            </w:pPr>
            <w:r>
              <w:rPr>
                <w:rFonts w:ascii="Courier New" w:cs="Courier New" w:eastAsia="Courier New" w:hAnsi="Courier New"/>
                <w:sz w:val="17"/>
                <w:szCs w:val="17"/>
                <w:color w:val="auto"/>
              </w:rPr>
              <w:t>Rhone-Poulenc Jardin Combined Statements of</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9</w:t>
            </w: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Cash Flows for the year ended December</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31, 1997 and the nine months ended</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September 30, 1998 (in thousands of</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French Francs)</w:t>
            </w:r>
          </w:p>
        </w:tc>
        <w:tc>
          <w:tcPr>
            <w:tcW w:w="1500" w:type="dxa"/>
            <w:vAlign w:val="bottom"/>
          </w:tcPr>
          <w:p>
            <w:pPr>
              <w:spacing w:after="0"/>
              <w:rPr>
                <w:sz w:val="16"/>
                <w:szCs w:val="16"/>
                <w:color w:val="auto"/>
              </w:rPr>
            </w:pPr>
          </w:p>
        </w:tc>
      </w:tr>
      <w:tr>
        <w:trPr>
          <w:trHeight w:val="383"/>
        </w:trPr>
        <w:tc>
          <w:tcPr>
            <w:tcW w:w="6360" w:type="dxa"/>
            <w:vAlign w:val="bottom"/>
          </w:tcPr>
          <w:p>
            <w:pPr>
              <w:ind w:left="1000"/>
              <w:spacing w:after="0"/>
              <w:rPr>
                <w:sz w:val="20"/>
                <w:szCs w:val="20"/>
                <w:color w:val="auto"/>
              </w:rPr>
            </w:pPr>
            <w:r>
              <w:rPr>
                <w:rFonts w:ascii="Courier New" w:cs="Courier New" w:eastAsia="Courier New" w:hAnsi="Courier New"/>
                <w:sz w:val="17"/>
                <w:szCs w:val="17"/>
                <w:color w:val="auto"/>
              </w:rPr>
              <w:t>Rhone-Poulenc Jardin Combined Statements of</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10</w:t>
            </w: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Divisional Equity for the year ended</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December 31, 1997 and the nine months</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ended September 30, 1998 (in thousands</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of French Francs)</w:t>
            </w:r>
          </w:p>
        </w:tc>
        <w:tc>
          <w:tcPr>
            <w:tcW w:w="1500" w:type="dxa"/>
            <w:vAlign w:val="bottom"/>
          </w:tcPr>
          <w:p>
            <w:pPr>
              <w:spacing w:after="0"/>
              <w:rPr>
                <w:sz w:val="16"/>
                <w:szCs w:val="16"/>
                <w:color w:val="auto"/>
              </w:rPr>
            </w:pPr>
          </w:p>
        </w:tc>
      </w:tr>
      <w:tr>
        <w:trPr>
          <w:trHeight w:val="382"/>
        </w:trPr>
        <w:tc>
          <w:tcPr>
            <w:tcW w:w="6360" w:type="dxa"/>
            <w:vAlign w:val="bottom"/>
          </w:tcPr>
          <w:p>
            <w:pPr>
              <w:ind w:left="1000"/>
              <w:spacing w:after="0"/>
              <w:rPr>
                <w:sz w:val="20"/>
                <w:szCs w:val="20"/>
                <w:color w:val="auto"/>
              </w:rPr>
            </w:pPr>
            <w:r>
              <w:rPr>
                <w:rFonts w:ascii="Courier New" w:cs="Courier New" w:eastAsia="Courier New" w:hAnsi="Courier New"/>
                <w:sz w:val="17"/>
                <w:szCs w:val="17"/>
                <w:color w:val="auto"/>
              </w:rPr>
              <w:t>Rhone-Poulenc Jardin Notes to Combined</w:t>
            </w:r>
          </w:p>
        </w:tc>
        <w:tc>
          <w:tcPr>
            <w:tcW w:w="1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11-20</w:t>
            </w: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Financial Statements</w:t>
            </w:r>
          </w:p>
        </w:tc>
        <w:tc>
          <w:tcPr>
            <w:tcW w:w="1500" w:type="dxa"/>
            <w:vAlign w:val="bottom"/>
          </w:tcPr>
          <w:p>
            <w:pPr>
              <w:spacing w:after="0"/>
              <w:rPr>
                <w:sz w:val="16"/>
                <w:szCs w:val="16"/>
                <w:color w:val="auto"/>
              </w:rPr>
            </w:pP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Item 7(b) Pro Forma Financial Information:</w:t>
            </w:r>
          </w:p>
        </w:tc>
        <w:tc>
          <w:tcPr>
            <w:tcW w:w="1500" w:type="dxa"/>
            <w:vAlign w:val="bottom"/>
          </w:tcPr>
          <w:p>
            <w:pPr>
              <w:spacing w:after="0"/>
              <w:rPr>
                <w:sz w:val="24"/>
                <w:szCs w:val="24"/>
                <w:color w:val="auto"/>
              </w:rPr>
            </w:pPr>
          </w:p>
        </w:tc>
      </w:tr>
      <w:tr>
        <w:trPr>
          <w:trHeight w:val="191"/>
        </w:trPr>
        <w:tc>
          <w:tcPr>
            <w:tcW w:w="636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500" w:type="dxa"/>
            <w:vAlign w:val="bottom"/>
          </w:tcPr>
          <w:p>
            <w:pPr>
              <w:spacing w:after="0"/>
              <w:rPr>
                <w:sz w:val="16"/>
                <w:szCs w:val="16"/>
                <w:color w:val="auto"/>
              </w:rPr>
            </w:pPr>
          </w:p>
        </w:tc>
      </w:tr>
      <w:tr>
        <w:trPr>
          <w:trHeight w:val="383"/>
        </w:trPr>
        <w:tc>
          <w:tcPr>
            <w:tcW w:w="6360" w:type="dxa"/>
            <w:vAlign w:val="bottom"/>
          </w:tcPr>
          <w:p>
            <w:pPr>
              <w:ind w:left="1000"/>
              <w:spacing w:after="0"/>
              <w:rPr>
                <w:sz w:val="20"/>
                <w:szCs w:val="20"/>
                <w:color w:val="auto"/>
              </w:rPr>
            </w:pPr>
            <w:r>
              <w:rPr>
                <w:rFonts w:ascii="Courier New" w:cs="Courier New" w:eastAsia="Courier New" w:hAnsi="Courier New"/>
                <w:sz w:val="17"/>
                <w:szCs w:val="17"/>
                <w:color w:val="auto"/>
              </w:rPr>
              <w:t>The Scotts Company Unaudited Pro Forma</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21</w:t>
            </w: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Combined Financial Information</w:t>
            </w:r>
          </w:p>
        </w:tc>
        <w:tc>
          <w:tcPr>
            <w:tcW w:w="1500" w:type="dxa"/>
            <w:vAlign w:val="bottom"/>
          </w:tcPr>
          <w:p>
            <w:pPr>
              <w:spacing w:after="0"/>
              <w:rPr>
                <w:sz w:val="16"/>
                <w:szCs w:val="16"/>
                <w:color w:val="auto"/>
              </w:rPr>
            </w:pPr>
          </w:p>
        </w:tc>
      </w:tr>
      <w:tr>
        <w:trPr>
          <w:trHeight w:val="383"/>
        </w:trPr>
        <w:tc>
          <w:tcPr>
            <w:tcW w:w="6360" w:type="dxa"/>
            <w:vAlign w:val="bottom"/>
          </w:tcPr>
          <w:p>
            <w:pPr>
              <w:ind w:left="1000"/>
              <w:spacing w:after="0"/>
              <w:rPr>
                <w:sz w:val="20"/>
                <w:szCs w:val="20"/>
                <w:color w:val="auto"/>
              </w:rPr>
            </w:pPr>
            <w:r>
              <w:rPr>
                <w:rFonts w:ascii="Courier New" w:cs="Courier New" w:eastAsia="Courier New" w:hAnsi="Courier New"/>
                <w:sz w:val="17"/>
                <w:szCs w:val="17"/>
                <w:color w:val="auto"/>
              </w:rPr>
              <w:t>The Scotts Company Unaudited Pro Forma</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22</w:t>
            </w: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Combined Statement of Operations for</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the twelve months ended September 30,</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1998 (in millions)</w:t>
            </w:r>
          </w:p>
        </w:tc>
        <w:tc>
          <w:tcPr>
            <w:tcW w:w="1500" w:type="dxa"/>
            <w:vAlign w:val="bottom"/>
          </w:tcPr>
          <w:p>
            <w:pPr>
              <w:spacing w:after="0"/>
              <w:rPr>
                <w:sz w:val="16"/>
                <w:szCs w:val="16"/>
                <w:color w:val="auto"/>
              </w:rPr>
            </w:pPr>
          </w:p>
        </w:tc>
      </w:tr>
      <w:tr>
        <w:trPr>
          <w:trHeight w:val="383"/>
        </w:trPr>
        <w:tc>
          <w:tcPr>
            <w:tcW w:w="6360" w:type="dxa"/>
            <w:vAlign w:val="bottom"/>
          </w:tcPr>
          <w:p>
            <w:pPr>
              <w:ind w:left="1000"/>
              <w:spacing w:after="0"/>
              <w:rPr>
                <w:sz w:val="20"/>
                <w:szCs w:val="20"/>
                <w:color w:val="auto"/>
              </w:rPr>
            </w:pPr>
            <w:r>
              <w:rPr>
                <w:rFonts w:ascii="Courier New" w:cs="Courier New" w:eastAsia="Courier New" w:hAnsi="Courier New"/>
                <w:sz w:val="17"/>
                <w:szCs w:val="17"/>
                <w:color w:val="auto"/>
              </w:rPr>
              <w:t>The Scotts Company Notes to the Unaudited</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23</w:t>
            </w: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Pro Forma Combined Statement of</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Operations (in millions)</w:t>
            </w:r>
          </w:p>
        </w:tc>
        <w:tc>
          <w:tcPr>
            <w:tcW w:w="1500" w:type="dxa"/>
            <w:vAlign w:val="bottom"/>
          </w:tcPr>
          <w:p>
            <w:pPr>
              <w:spacing w:after="0"/>
              <w:rPr>
                <w:sz w:val="16"/>
                <w:szCs w:val="16"/>
                <w:color w:val="auto"/>
              </w:rPr>
            </w:pPr>
          </w:p>
        </w:tc>
      </w:tr>
      <w:tr>
        <w:trPr>
          <w:trHeight w:val="383"/>
        </w:trPr>
        <w:tc>
          <w:tcPr>
            <w:tcW w:w="6360" w:type="dxa"/>
            <w:vAlign w:val="bottom"/>
          </w:tcPr>
          <w:p>
            <w:pPr>
              <w:ind w:left="1000"/>
              <w:spacing w:after="0"/>
              <w:rPr>
                <w:sz w:val="20"/>
                <w:szCs w:val="20"/>
                <w:color w:val="auto"/>
              </w:rPr>
            </w:pPr>
            <w:r>
              <w:rPr>
                <w:rFonts w:ascii="Courier New" w:cs="Courier New" w:eastAsia="Courier New" w:hAnsi="Courier New"/>
                <w:sz w:val="17"/>
                <w:szCs w:val="17"/>
                <w:color w:val="auto"/>
              </w:rPr>
              <w:t>The Scotts Company Unaudited Pro Forma</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24</w:t>
            </w: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Combined Balance Sheet as of September</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30, 1998 (in millions)</w:t>
            </w:r>
          </w:p>
        </w:tc>
        <w:tc>
          <w:tcPr>
            <w:tcW w:w="1500" w:type="dxa"/>
            <w:vAlign w:val="bottom"/>
          </w:tcPr>
          <w:p>
            <w:pPr>
              <w:spacing w:after="0"/>
              <w:rPr>
                <w:sz w:val="16"/>
                <w:szCs w:val="16"/>
                <w:color w:val="auto"/>
              </w:rPr>
            </w:pPr>
          </w:p>
        </w:tc>
      </w:tr>
      <w:tr>
        <w:trPr>
          <w:trHeight w:val="383"/>
        </w:trPr>
        <w:tc>
          <w:tcPr>
            <w:tcW w:w="6360" w:type="dxa"/>
            <w:vAlign w:val="bottom"/>
          </w:tcPr>
          <w:p>
            <w:pPr>
              <w:ind w:left="1000"/>
              <w:spacing w:after="0"/>
              <w:rPr>
                <w:sz w:val="20"/>
                <w:szCs w:val="20"/>
                <w:color w:val="auto"/>
              </w:rPr>
            </w:pPr>
            <w:r>
              <w:rPr>
                <w:rFonts w:ascii="Courier New" w:cs="Courier New" w:eastAsia="Courier New" w:hAnsi="Courier New"/>
                <w:sz w:val="17"/>
                <w:szCs w:val="17"/>
                <w:color w:val="auto"/>
              </w:rPr>
              <w:t>The Scotts Company Notes to the Unaudited</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25</w:t>
            </w: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Pro Forma Combined Balance Sheet</w:t>
            </w:r>
          </w:p>
        </w:tc>
        <w:tc>
          <w:tcPr>
            <w:tcW w:w="1500" w:type="dxa"/>
            <w:vAlign w:val="bottom"/>
          </w:tcPr>
          <w:p>
            <w:pPr>
              <w:spacing w:after="0"/>
              <w:rPr>
                <w:sz w:val="16"/>
                <w:szCs w:val="16"/>
                <w:color w:val="auto"/>
              </w:rPr>
            </w:pPr>
          </w:p>
        </w:tc>
      </w:tr>
      <w:tr>
        <w:trPr>
          <w:trHeight w:val="191"/>
        </w:trPr>
        <w:tc>
          <w:tcPr>
            <w:tcW w:w="6360" w:type="dxa"/>
            <w:vAlign w:val="bottom"/>
          </w:tcPr>
          <w:p>
            <w:pPr>
              <w:ind w:left="1500"/>
              <w:spacing w:after="0" w:line="191" w:lineRule="exact"/>
              <w:rPr>
                <w:sz w:val="20"/>
                <w:szCs w:val="20"/>
                <w:color w:val="auto"/>
              </w:rPr>
            </w:pPr>
            <w:r>
              <w:rPr>
                <w:rFonts w:ascii="Courier New" w:cs="Courier New" w:eastAsia="Courier New" w:hAnsi="Courier New"/>
                <w:sz w:val="17"/>
                <w:szCs w:val="17"/>
                <w:color w:val="auto"/>
              </w:rPr>
              <w:t>(in millions)</w:t>
            </w:r>
          </w:p>
        </w:tc>
        <w:tc>
          <w:tcPr>
            <w:tcW w:w="1500" w:type="dxa"/>
            <w:vAlign w:val="bottom"/>
          </w:tcPr>
          <w:p>
            <w:pPr>
              <w:spacing w:after="0"/>
              <w:rPr>
                <w:sz w:val="16"/>
                <w:szCs w:val="16"/>
                <w:color w:val="auto"/>
              </w:rPr>
            </w:pPr>
          </w:p>
        </w:tc>
      </w:tr>
      <w:tr>
        <w:trPr>
          <w:trHeight w:val="574"/>
        </w:trPr>
        <w:tc>
          <w:tcPr>
            <w:tcW w:w="6360" w:type="dxa"/>
            <w:vAlign w:val="bottom"/>
          </w:tcPr>
          <w:p>
            <w:pPr>
              <w:ind w:left="3880"/>
              <w:spacing w:after="0"/>
              <w:rPr>
                <w:sz w:val="20"/>
                <w:szCs w:val="20"/>
                <w:color w:val="auto"/>
              </w:rPr>
            </w:pPr>
            <w:r>
              <w:rPr>
                <w:rFonts w:ascii="Courier New" w:cs="Courier New" w:eastAsia="Courier New" w:hAnsi="Courier New"/>
                <w:sz w:val="17"/>
                <w:szCs w:val="17"/>
                <w:color w:val="auto"/>
              </w:rPr>
              <w:t>5</w:t>
            </w:r>
          </w:p>
        </w:tc>
        <w:tc>
          <w:tcPr>
            <w:tcW w:w="1500" w:type="dxa"/>
            <w:vAlign w:val="bottom"/>
          </w:tcPr>
          <w:p>
            <w:pPr>
              <w:spacing w:after="0"/>
              <w:rPr>
                <w:sz w:val="24"/>
                <w:szCs w:val="24"/>
                <w:color w:val="auto"/>
              </w:rPr>
            </w:pPr>
          </w:p>
        </w:tc>
      </w:tr>
    </w:tbl>
    <w:p>
      <w:pPr>
        <w:sectPr>
          <w:pgSz w:w="11900" w:h="16838" w:orient="portrait"/>
          <w:cols w:equalWidth="0" w:num="1">
            <w:col w:w="10219"/>
          </w:cols>
          <w:pgMar w:left="240" w:top="301"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372"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Shareholders</w:t>
      </w:r>
    </w:p>
    <w:p>
      <w:pPr>
        <w:spacing w:after="0" w:line="238" w:lineRule="auto"/>
        <w:rPr>
          <w:sz w:val="20"/>
          <w:szCs w:val="20"/>
          <w:color w:val="auto"/>
        </w:rPr>
      </w:pPr>
      <w:r>
        <w:rPr>
          <w:rFonts w:ascii="Courier New" w:cs="Courier New" w:eastAsia="Courier New" w:hAnsi="Courier New"/>
          <w:sz w:val="17"/>
          <w:szCs w:val="17"/>
          <w:color w:val="auto"/>
        </w:rPr>
        <w:t>Rhone-Poulenc Jardin</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We have audited the accompanying combined balance sheet of Rhone-Poulenc Jardin, a business line of Rhone-Poulenc Agro, as of December 31, 1997, and the related combined statements of operations, divisional equity, and cash flows for the year then ended. These historical combined financial statements are derived from the historical financial statements of Rhone-Poulenc Jardin SA and Celaflor GmbH, which were audited by us, and Celaflor Handelsgesellschaft, which was audited by other auditors. These combined financial statements are the responsibility of Rhone-Poulenc Jardin's management. Our responsibility is to express an opinion on these combined financial statements based on our audit.</w:t>
      </w:r>
    </w:p>
    <w:p>
      <w:pPr>
        <w:spacing w:after="0" w:line="186"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financial statements are free from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our opinion, based on our audit and the report of the other auditors, the combined financial statements referred to above present fairly, in all material respects, the combined financial position of Rhone-Poulenc Jardin as of December 31, 1997, and the combined results of its operations and its cash flows for the year then ended in conformity with United States generally accepted accounting principles.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Coopers &amp; Lybrand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Lyons, France</w:t>
      </w:r>
    </w:p>
    <w:p>
      <w:pPr>
        <w:spacing w:after="0" w:line="238" w:lineRule="auto"/>
        <w:rPr>
          <w:sz w:val="20"/>
          <w:szCs w:val="20"/>
          <w:color w:val="auto"/>
        </w:rPr>
      </w:pPr>
      <w:r>
        <w:rPr>
          <w:rFonts w:ascii="Courier New" w:cs="Courier New" w:eastAsia="Courier New" w:hAnsi="Courier New"/>
          <w:sz w:val="17"/>
          <w:szCs w:val="17"/>
          <w:color w:val="auto"/>
        </w:rPr>
        <w:t>September 11, 1998</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tabs>
          <w:tab w:leader="none" w:pos="1380" w:val="left"/>
        </w:tabs>
        <w:rPr>
          <w:sz w:val="20"/>
          <w:szCs w:val="20"/>
          <w:color w:val="auto"/>
        </w:rPr>
      </w:pPr>
      <w:r>
        <w:rPr>
          <w:rFonts w:ascii="Courier New" w:cs="Courier New" w:eastAsia="Courier New" w:hAnsi="Courier New"/>
          <w:sz w:val="17"/>
          <w:szCs w:val="17"/>
          <w:color w:val="auto"/>
        </w:rPr>
        <w:t>Item 7(a)</w:t>
      </w:r>
      <w:r>
        <w:rPr>
          <w:sz w:val="20"/>
          <w:szCs w:val="20"/>
          <w:color w:val="auto"/>
        </w:rPr>
        <w:tab/>
      </w:r>
      <w:r>
        <w:rPr>
          <w:rFonts w:ascii="Courier New" w:cs="Courier New" w:eastAsia="Courier New" w:hAnsi="Courier New"/>
          <w:sz w:val="16"/>
          <w:szCs w:val="16"/>
          <w:color w:val="auto"/>
        </w:rPr>
        <w:t>Financial Statements of Businesses Acquired</w:t>
      </w:r>
    </w:p>
    <w:p>
      <w:pPr>
        <w:ind w:left="1400"/>
        <w:spacing w:after="0" w:line="238" w:lineRule="auto"/>
        <w:rPr>
          <w:sz w:val="20"/>
          <w:szCs w:val="20"/>
          <w:color w:val="auto"/>
        </w:rPr>
      </w:pPr>
      <w:r>
        <w:rPr>
          <w:rFonts w:ascii="Courier New" w:cs="Courier New" w:eastAsia="Courier New" w:hAnsi="Courier New"/>
          <w:sz w:val="17"/>
          <w:szCs w:val="17"/>
          <w:color w:val="auto"/>
        </w:rPr>
        <w:t>-------------------------------------------</w:t>
      </w:r>
    </w:p>
    <w:p>
      <w:pPr>
        <w:spacing w:after="0" w:line="382"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RHONE-POULENC JARDIN</w:t>
      </w:r>
    </w:p>
    <w:p>
      <w:pPr>
        <w:ind w:left="2880"/>
        <w:spacing w:after="0" w:line="238" w:lineRule="auto"/>
        <w:rPr>
          <w:sz w:val="20"/>
          <w:szCs w:val="20"/>
          <w:color w:val="auto"/>
        </w:rPr>
      </w:pPr>
      <w:r>
        <w:rPr>
          <w:rFonts w:ascii="Courier New" w:cs="Courier New" w:eastAsia="Courier New" w:hAnsi="Courier New"/>
          <w:sz w:val="17"/>
          <w:szCs w:val="17"/>
          <w:color w:val="auto"/>
        </w:rPr>
        <w:t>COMBINED BALANCE SHEETS</w:t>
      </w:r>
    </w:p>
    <w:p>
      <w:pPr>
        <w:ind w:left="2680"/>
        <w:spacing w:after="0" w:line="238" w:lineRule="auto"/>
        <w:rPr>
          <w:sz w:val="20"/>
          <w:szCs w:val="20"/>
          <w:color w:val="auto"/>
        </w:rPr>
      </w:pPr>
      <w:r>
        <w:rPr>
          <w:rFonts w:ascii="Courier New" w:cs="Courier New" w:eastAsia="Courier New" w:hAnsi="Courier New"/>
          <w:sz w:val="17"/>
          <w:szCs w:val="17"/>
          <w:color w:val="auto"/>
        </w:rPr>
        <w:t>AS OF DECEMBER 31, 1997 AND</w:t>
      </w:r>
    </w:p>
    <w:p>
      <w:pPr>
        <w:ind w:left="3080"/>
        <w:spacing w:after="0"/>
        <w:rPr>
          <w:sz w:val="20"/>
          <w:szCs w:val="20"/>
          <w:color w:val="auto"/>
        </w:rPr>
      </w:pPr>
      <w:r>
        <w:rPr>
          <w:rFonts w:ascii="Courier New" w:cs="Courier New" w:eastAsia="Courier New" w:hAnsi="Courier New"/>
          <w:sz w:val="17"/>
          <w:szCs w:val="17"/>
          <w:color w:val="auto"/>
        </w:rPr>
        <w:t>SEPTEMBER 30, 1998</w:t>
      </w:r>
    </w:p>
    <w:p>
      <w:pPr>
        <w:ind w:left="2480"/>
        <w:spacing w:after="0" w:line="237" w:lineRule="auto"/>
        <w:rPr>
          <w:sz w:val="20"/>
          <w:szCs w:val="20"/>
          <w:color w:val="auto"/>
        </w:rPr>
      </w:pPr>
      <w:r>
        <w:rPr>
          <w:rFonts w:ascii="Courier New" w:cs="Courier New" w:eastAsia="Courier New" w:hAnsi="Courier New"/>
          <w:sz w:val="17"/>
          <w:szCs w:val="17"/>
          <w:color w:val="auto"/>
        </w:rPr>
        <w:t>(in thousands of French Francs)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7"/>
                <w:szCs w:val="17"/>
                <w:color w:val="auto"/>
                <w:w w:val="96"/>
              </w:rPr>
              <w:t>September 30,</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ASSETS</w:t>
            </w:r>
          </w:p>
        </w:tc>
        <w:tc>
          <w:tcPr>
            <w:tcW w:w="1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December 31,</w:t>
            </w:r>
          </w:p>
        </w:tc>
        <w:tc>
          <w:tcPr>
            <w:tcW w:w="16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4680" w:type="dxa"/>
            <w:vAlign w:val="bottom"/>
          </w:tcPr>
          <w:p>
            <w:pPr>
              <w:spacing w:after="0"/>
              <w:rPr>
                <w:sz w:val="16"/>
                <w:szCs w:val="16"/>
                <w:color w:val="auto"/>
              </w:rPr>
            </w:pPr>
          </w:p>
        </w:tc>
        <w:tc>
          <w:tcPr>
            <w:tcW w:w="19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1997</w:t>
            </w:r>
          </w:p>
        </w:tc>
        <w:tc>
          <w:tcPr>
            <w:tcW w:w="1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4680" w:type="dxa"/>
            <w:vAlign w:val="bottom"/>
          </w:tcPr>
          <w:p>
            <w:pPr>
              <w:spacing w:after="0"/>
              <w:rPr>
                <w:sz w:val="16"/>
                <w:szCs w:val="16"/>
                <w:color w:val="auto"/>
              </w:rPr>
            </w:pP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Cash and cash pool</w:t>
            </w:r>
          </w:p>
        </w:tc>
        <w:tc>
          <w:tcPr>
            <w:tcW w:w="19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48,161</w:t>
            </w:r>
          </w:p>
        </w:tc>
        <w:tc>
          <w:tcPr>
            <w:tcW w:w="16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56,754</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Marketable securities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525</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Trade accounts receivable, net</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34,160</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92,186</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Receivable from affiliates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2,089</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2,437</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Inventories, net</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179,662</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165,555</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tax asset</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8,116</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23,808</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current assets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38,546</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32,688</w:t>
            </w:r>
          </w:p>
        </w:tc>
      </w:tr>
      <w:tr>
        <w:trPr>
          <w:trHeight w:val="191"/>
        </w:trPr>
        <w:tc>
          <w:tcPr>
            <w:tcW w:w="4680" w:type="dxa"/>
            <w:vAlign w:val="bottom"/>
          </w:tcPr>
          <w:p>
            <w:pPr>
              <w:spacing w:after="0"/>
              <w:rPr>
                <w:sz w:val="16"/>
                <w:szCs w:val="16"/>
                <w:color w:val="auto"/>
              </w:rPr>
            </w:pP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311,259</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373,428</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19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26,810</w:t>
            </w:r>
          </w:p>
        </w:tc>
        <w:tc>
          <w:tcPr>
            <w:tcW w:w="16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24,642</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Intangible assets, net</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471,779</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459,659</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tax assets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21,200</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4,667</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8,021</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7,778</w:t>
            </w:r>
          </w:p>
        </w:tc>
      </w:tr>
      <w:tr>
        <w:trPr>
          <w:trHeight w:val="191"/>
        </w:trPr>
        <w:tc>
          <w:tcPr>
            <w:tcW w:w="4680" w:type="dxa"/>
            <w:vAlign w:val="bottom"/>
          </w:tcPr>
          <w:p>
            <w:pPr>
              <w:spacing w:after="0"/>
              <w:rPr>
                <w:sz w:val="16"/>
                <w:szCs w:val="16"/>
                <w:color w:val="auto"/>
              </w:rPr>
            </w:pP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assets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839,069</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870,174</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LIABILITIES AND DIVISIONAL EQUITY</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Short-term borrowings</w:t>
            </w:r>
          </w:p>
        </w:tc>
        <w:tc>
          <w:tcPr>
            <w:tcW w:w="19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12,075</w:t>
            </w:r>
          </w:p>
        </w:tc>
        <w:tc>
          <w:tcPr>
            <w:tcW w:w="16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13,916</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Trade accounts payable</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114,595</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115,187</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Payable to affiliates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6,618</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11,141</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current liabilities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54,985</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67,002</w:t>
            </w:r>
          </w:p>
        </w:tc>
      </w:tr>
      <w:tr>
        <w:trPr>
          <w:trHeight w:val="191"/>
        </w:trPr>
        <w:tc>
          <w:tcPr>
            <w:tcW w:w="4680" w:type="dxa"/>
            <w:vAlign w:val="bottom"/>
          </w:tcPr>
          <w:p>
            <w:pPr>
              <w:spacing w:after="0"/>
              <w:rPr>
                <w:sz w:val="16"/>
                <w:szCs w:val="16"/>
                <w:color w:val="auto"/>
              </w:rPr>
            </w:pP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188,273</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207,246</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Deferred tax liability</w:t>
            </w:r>
          </w:p>
        </w:tc>
        <w:tc>
          <w:tcPr>
            <w:tcW w:w="19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48,556</w:t>
            </w:r>
          </w:p>
        </w:tc>
        <w:tc>
          <w:tcPr>
            <w:tcW w:w="16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51,601</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Accrued pension liability</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51,869</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58,183</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provisions and long-term liabilities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19,242</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19,935</w:t>
            </w:r>
          </w:p>
        </w:tc>
      </w:tr>
      <w:tr>
        <w:trPr>
          <w:trHeight w:val="191"/>
        </w:trPr>
        <w:tc>
          <w:tcPr>
            <w:tcW w:w="4680" w:type="dxa"/>
            <w:vAlign w:val="bottom"/>
          </w:tcPr>
          <w:p>
            <w:pPr>
              <w:spacing w:after="0"/>
              <w:rPr>
                <w:sz w:val="16"/>
                <w:szCs w:val="16"/>
                <w:color w:val="auto"/>
              </w:rPr>
            </w:pP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liabilities</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307,940</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336,965</w:t>
            </w: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83"/>
        </w:trPr>
        <w:tc>
          <w:tcPr>
            <w:tcW w:w="4680" w:type="dxa"/>
            <w:vAlign w:val="bottom"/>
          </w:tcPr>
          <w:p>
            <w:pPr>
              <w:spacing w:after="0"/>
              <w:rPr>
                <w:sz w:val="20"/>
                <w:szCs w:val="20"/>
                <w:color w:val="auto"/>
              </w:rPr>
            </w:pPr>
            <w:r>
              <w:rPr>
                <w:rFonts w:ascii="Courier New" w:cs="Courier New" w:eastAsia="Courier New" w:hAnsi="Courier New"/>
                <w:sz w:val="17"/>
                <w:szCs w:val="17"/>
                <w:color w:val="auto"/>
              </w:rPr>
              <w:t>Divisional equity</w:t>
            </w:r>
          </w:p>
        </w:tc>
        <w:tc>
          <w:tcPr>
            <w:tcW w:w="19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536,186</w:t>
            </w:r>
          </w:p>
        </w:tc>
        <w:tc>
          <w:tcPr>
            <w:tcW w:w="16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537,616</w:t>
            </w: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Cumulative foreign translation adjustment</w:t>
            </w:r>
          </w:p>
        </w:tc>
        <w:tc>
          <w:tcPr>
            <w:tcW w:w="1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(5,057)</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(4,407)</w:t>
            </w:r>
          </w:p>
        </w:tc>
      </w:tr>
      <w:tr>
        <w:trPr>
          <w:trHeight w:val="191"/>
        </w:trPr>
        <w:tc>
          <w:tcPr>
            <w:tcW w:w="4680" w:type="dxa"/>
            <w:vAlign w:val="bottom"/>
          </w:tcPr>
          <w:p>
            <w:pPr>
              <w:spacing w:after="0"/>
              <w:rPr>
                <w:sz w:val="16"/>
                <w:szCs w:val="16"/>
                <w:color w:val="auto"/>
              </w:rPr>
            </w:pP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divisional equity</w:t>
            </w: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531,129</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533,209</w:t>
            </w:r>
          </w:p>
        </w:tc>
      </w:tr>
      <w:tr>
        <w:trPr>
          <w:trHeight w:val="191"/>
        </w:trPr>
        <w:tc>
          <w:tcPr>
            <w:tcW w:w="4680" w:type="dxa"/>
            <w:vAlign w:val="bottom"/>
          </w:tcPr>
          <w:p>
            <w:pPr>
              <w:spacing w:after="0"/>
              <w:rPr>
                <w:sz w:val="16"/>
                <w:szCs w:val="16"/>
                <w:color w:val="auto"/>
              </w:rPr>
            </w:pP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4680" w:type="dxa"/>
            <w:vAlign w:val="bottom"/>
          </w:tcPr>
          <w:p>
            <w:pPr>
              <w:ind w:left="200"/>
              <w:spacing w:after="0"/>
              <w:rPr>
                <w:sz w:val="20"/>
                <w:szCs w:val="20"/>
                <w:color w:val="auto"/>
              </w:rPr>
            </w:pPr>
            <w:r>
              <w:rPr>
                <w:rFonts w:ascii="Courier New" w:cs="Courier New" w:eastAsia="Courier New" w:hAnsi="Courier New"/>
                <w:sz w:val="17"/>
                <w:szCs w:val="17"/>
                <w:color w:val="auto"/>
              </w:rPr>
              <w:t>Total liabilities and divisional equity</w:t>
            </w:r>
          </w:p>
        </w:tc>
        <w:tc>
          <w:tcPr>
            <w:tcW w:w="19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839,069</w:t>
            </w:r>
          </w:p>
        </w:tc>
        <w:tc>
          <w:tcPr>
            <w:tcW w:w="16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870,174</w:t>
            </w:r>
          </w:p>
        </w:tc>
      </w:tr>
      <w:tr>
        <w:trPr>
          <w:trHeight w:val="191"/>
        </w:trPr>
        <w:tc>
          <w:tcPr>
            <w:tcW w:w="4680" w:type="dxa"/>
            <w:vAlign w:val="bottom"/>
          </w:tcPr>
          <w:p>
            <w:pPr>
              <w:spacing w:after="0"/>
              <w:rPr>
                <w:sz w:val="16"/>
                <w:szCs w:val="16"/>
                <w:color w:val="auto"/>
              </w:rPr>
            </w:pPr>
          </w:p>
        </w:tc>
        <w:tc>
          <w:tcPr>
            <w:tcW w:w="19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7"/>
          <w:szCs w:val="17"/>
          <w:color w:val="auto"/>
        </w:rPr>
        <w:t>The accompanying notes are an integral part of the combined financial statements.</w:t>
      </w:r>
    </w:p>
    <w:p>
      <w:pPr>
        <w:sectPr>
          <w:pgSz w:w="11900" w:h="16838" w:orient="portrait"/>
          <w:cols w:equalWidth="0" w:num="1">
            <w:col w:w="10219"/>
          </w:cols>
          <w:pgMar w:left="240" w:top="301"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1" w:right="1440"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RHONE-POULENC JARDIN</w:t>
      </w:r>
    </w:p>
    <w:p>
      <w:pPr>
        <w:ind w:left="2380"/>
        <w:spacing w:after="0" w:line="238" w:lineRule="auto"/>
        <w:rPr>
          <w:sz w:val="20"/>
          <w:szCs w:val="20"/>
          <w:color w:val="auto"/>
        </w:rPr>
      </w:pPr>
      <w:r>
        <w:rPr>
          <w:rFonts w:ascii="Courier New" w:cs="Courier New" w:eastAsia="Courier New" w:hAnsi="Courier New"/>
          <w:sz w:val="17"/>
          <w:szCs w:val="17"/>
          <w:color w:val="auto"/>
        </w:rPr>
        <w:t>COMBINED STATEMENTS OF OPERATIONS</w:t>
      </w:r>
    </w:p>
    <w:p>
      <w:pPr>
        <w:ind w:left="2000"/>
        <w:spacing w:after="0" w:line="238" w:lineRule="auto"/>
        <w:rPr>
          <w:sz w:val="20"/>
          <w:szCs w:val="20"/>
          <w:color w:val="auto"/>
        </w:rPr>
      </w:pPr>
      <w:r>
        <w:rPr>
          <w:rFonts w:ascii="Courier New" w:cs="Courier New" w:eastAsia="Courier New" w:hAnsi="Courier New"/>
          <w:sz w:val="17"/>
          <w:szCs w:val="17"/>
          <w:color w:val="auto"/>
        </w:rPr>
        <w:t>FOR THE YEAR ENDED DECEMBER 31, 1997 AND</w:t>
      </w:r>
    </w:p>
    <w:p>
      <w:pPr>
        <w:ind w:left="2000"/>
        <w:spacing w:after="0"/>
        <w:rPr>
          <w:sz w:val="20"/>
          <w:szCs w:val="20"/>
          <w:color w:val="auto"/>
        </w:rPr>
      </w:pPr>
      <w:r>
        <w:rPr>
          <w:rFonts w:ascii="Courier New" w:cs="Courier New" w:eastAsia="Courier New" w:hAnsi="Courier New"/>
          <w:sz w:val="17"/>
          <w:szCs w:val="17"/>
          <w:color w:val="auto"/>
        </w:rPr>
        <w:t>THE NINE MONTHS ENDED SEPTEMBER 30, 1998</w:t>
      </w:r>
    </w:p>
    <w:p>
      <w:pPr>
        <w:ind w:left="2480"/>
        <w:spacing w:after="0" w:line="237" w:lineRule="auto"/>
        <w:rPr>
          <w:sz w:val="20"/>
          <w:szCs w:val="20"/>
          <w:color w:val="auto"/>
        </w:rPr>
      </w:pPr>
      <w:r>
        <w:rPr>
          <w:rFonts w:ascii="Courier New" w:cs="Courier New" w:eastAsia="Courier New" w:hAnsi="Courier New"/>
          <w:sz w:val="17"/>
          <w:szCs w:val="17"/>
          <w:color w:val="auto"/>
        </w:rPr>
        <w:t>(in thousands of French Francs)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w w:val="99"/>
              </w:rPr>
              <w:t>Nine Months ended</w:t>
            </w:r>
          </w:p>
        </w:tc>
      </w:tr>
      <w:tr>
        <w:trPr>
          <w:trHeight w:val="191"/>
        </w:trPr>
        <w:tc>
          <w:tcPr>
            <w:tcW w:w="4820" w:type="dxa"/>
            <w:vAlign w:val="bottom"/>
          </w:tcPr>
          <w:p>
            <w:pPr>
              <w:spacing w:after="0"/>
              <w:rPr>
                <w:sz w:val="16"/>
                <w:szCs w:val="16"/>
                <w:color w:val="auto"/>
              </w:rPr>
            </w:pPr>
          </w:p>
        </w:tc>
        <w:tc>
          <w:tcPr>
            <w:tcW w:w="17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Year ended</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4820" w:type="dxa"/>
            <w:vAlign w:val="bottom"/>
          </w:tcPr>
          <w:p>
            <w:pPr>
              <w:spacing w:after="0"/>
              <w:rPr>
                <w:sz w:val="16"/>
                <w:szCs w:val="16"/>
                <w:color w:val="auto"/>
              </w:rPr>
            </w:pPr>
          </w:p>
        </w:tc>
        <w:tc>
          <w:tcPr>
            <w:tcW w:w="17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99"/>
              </w:rPr>
              <w:t>December 31,</w:t>
            </w: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4820" w:type="dxa"/>
            <w:vAlign w:val="bottom"/>
          </w:tcPr>
          <w:p>
            <w:pPr>
              <w:spacing w:after="0"/>
              <w:rPr>
                <w:sz w:val="16"/>
                <w:szCs w:val="16"/>
                <w:color w:val="auto"/>
              </w:rPr>
            </w:pP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1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4820" w:type="dxa"/>
            <w:vAlign w:val="bottom"/>
          </w:tcPr>
          <w:p>
            <w:pPr>
              <w:spacing w:after="0"/>
              <w:rPr>
                <w:sz w:val="16"/>
                <w:szCs w:val="16"/>
                <w:color w:val="auto"/>
              </w:rPr>
            </w:pP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7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824,357</w:t>
            </w:r>
          </w:p>
        </w:tc>
        <w:tc>
          <w:tcPr>
            <w:tcW w:w="17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670,521</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Cost of sales</w:t>
            </w: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426,466</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352,509</w:t>
            </w:r>
          </w:p>
        </w:tc>
      </w:tr>
      <w:tr>
        <w:trPr>
          <w:trHeight w:val="191"/>
        </w:trPr>
        <w:tc>
          <w:tcPr>
            <w:tcW w:w="4820" w:type="dxa"/>
            <w:vAlign w:val="bottom"/>
          </w:tcPr>
          <w:p>
            <w:pPr>
              <w:spacing w:after="0"/>
              <w:rPr>
                <w:sz w:val="16"/>
                <w:szCs w:val="16"/>
                <w:color w:val="auto"/>
              </w:rPr>
            </w:pP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Gross profit</w:t>
            </w: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397,891</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318,012</w:t>
            </w: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w:t>
            </w:r>
          </w:p>
        </w:tc>
        <w:tc>
          <w:tcPr>
            <w:tcW w:w="17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292,196</w:t>
            </w:r>
          </w:p>
        </w:tc>
        <w:tc>
          <w:tcPr>
            <w:tcW w:w="17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239,124</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Research and development expenses</w:t>
            </w: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15,571</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13,111</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Amortization of intangibles</w:t>
            </w: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13,996</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10,487</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Restructuring expenses</w:t>
            </w: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2,044</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8,977</w:t>
            </w:r>
          </w:p>
        </w:tc>
      </w:tr>
      <w:tr>
        <w:trPr>
          <w:trHeight w:val="191"/>
        </w:trPr>
        <w:tc>
          <w:tcPr>
            <w:tcW w:w="4820" w:type="dxa"/>
            <w:vAlign w:val="bottom"/>
          </w:tcPr>
          <w:p>
            <w:pPr>
              <w:spacing w:after="0"/>
              <w:rPr>
                <w:sz w:val="16"/>
                <w:szCs w:val="16"/>
                <w:color w:val="auto"/>
              </w:rPr>
            </w:pP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74,084</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46,313</w:t>
            </w:r>
          </w:p>
        </w:tc>
      </w:tr>
      <w:tr>
        <w:trPr>
          <w:trHeight w:val="382"/>
        </w:trPr>
        <w:tc>
          <w:tcPr>
            <w:tcW w:w="482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17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4,033</w:t>
            </w:r>
          </w:p>
        </w:tc>
        <w:tc>
          <w:tcPr>
            <w:tcW w:w="17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485</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foreign currency transaction gains</w:t>
            </w:r>
          </w:p>
        </w:tc>
        <w:tc>
          <w:tcPr>
            <w:tcW w:w="17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(52)</w:t>
            </w:r>
          </w:p>
        </w:tc>
        <w:tc>
          <w:tcPr>
            <w:tcW w:w="17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(97)</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net</w:t>
            </w: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2,450</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2,293</w:t>
            </w:r>
          </w:p>
        </w:tc>
      </w:tr>
      <w:tr>
        <w:trPr>
          <w:trHeight w:val="191"/>
        </w:trPr>
        <w:tc>
          <w:tcPr>
            <w:tcW w:w="4820" w:type="dxa"/>
            <w:vAlign w:val="bottom"/>
          </w:tcPr>
          <w:p>
            <w:pPr>
              <w:spacing w:after="0"/>
              <w:rPr>
                <w:sz w:val="16"/>
                <w:szCs w:val="16"/>
                <w:color w:val="auto"/>
              </w:rPr>
            </w:pP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before income taxes</w:t>
            </w: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67,653</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43,632</w:t>
            </w: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17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28,590</w:t>
            </w:r>
          </w:p>
        </w:tc>
        <w:tc>
          <w:tcPr>
            <w:tcW w:w="17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23,052</w:t>
            </w:r>
          </w:p>
        </w:tc>
      </w:tr>
      <w:tr>
        <w:trPr>
          <w:trHeight w:val="191"/>
        </w:trPr>
        <w:tc>
          <w:tcPr>
            <w:tcW w:w="4820" w:type="dxa"/>
            <w:vAlign w:val="bottom"/>
          </w:tcPr>
          <w:p>
            <w:pPr>
              <w:spacing w:after="0"/>
              <w:rPr>
                <w:sz w:val="16"/>
                <w:szCs w:val="16"/>
                <w:color w:val="auto"/>
              </w:rPr>
            </w:pP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income</w:t>
            </w: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39,063</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20,580</w:t>
            </w:r>
          </w:p>
        </w:tc>
      </w:tr>
      <w:tr>
        <w:trPr>
          <w:trHeight w:val="191"/>
        </w:trPr>
        <w:tc>
          <w:tcPr>
            <w:tcW w:w="4820" w:type="dxa"/>
            <w:vAlign w:val="bottom"/>
          </w:tcPr>
          <w:p>
            <w:pPr>
              <w:spacing w:after="0"/>
              <w:rPr>
                <w:sz w:val="16"/>
                <w:szCs w:val="16"/>
                <w:color w:val="auto"/>
              </w:rPr>
            </w:pPr>
          </w:p>
        </w:tc>
        <w:tc>
          <w:tcPr>
            <w:tcW w:w="17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7"/>
          <w:szCs w:val="17"/>
          <w:color w:val="auto"/>
        </w:rPr>
        <w:t>The accompanying notes are an integral part of the combined financial statements.</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1"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RHONE-POULENC JARDIN</w:t>
      </w:r>
    </w:p>
    <w:p>
      <w:pPr>
        <w:ind w:left="2380"/>
        <w:spacing w:after="0" w:line="238" w:lineRule="auto"/>
        <w:rPr>
          <w:sz w:val="20"/>
          <w:szCs w:val="20"/>
          <w:color w:val="auto"/>
        </w:rPr>
      </w:pPr>
      <w:r>
        <w:rPr>
          <w:rFonts w:ascii="Courier New" w:cs="Courier New" w:eastAsia="Courier New" w:hAnsi="Courier New"/>
          <w:sz w:val="17"/>
          <w:szCs w:val="17"/>
          <w:color w:val="auto"/>
        </w:rPr>
        <w:t>COMBINED STATEMENTS OF CASH FLOWS</w:t>
      </w:r>
    </w:p>
    <w:p>
      <w:pPr>
        <w:ind w:left="2000"/>
        <w:spacing w:after="0" w:line="238" w:lineRule="auto"/>
        <w:rPr>
          <w:sz w:val="20"/>
          <w:szCs w:val="20"/>
          <w:color w:val="auto"/>
        </w:rPr>
      </w:pPr>
      <w:r>
        <w:rPr>
          <w:rFonts w:ascii="Courier New" w:cs="Courier New" w:eastAsia="Courier New" w:hAnsi="Courier New"/>
          <w:sz w:val="17"/>
          <w:szCs w:val="17"/>
          <w:color w:val="auto"/>
        </w:rPr>
        <w:t>FOR THE YEAR ENDED DECEMBER 31, 1997 AND</w:t>
      </w:r>
    </w:p>
    <w:p>
      <w:pPr>
        <w:ind w:left="2000"/>
        <w:spacing w:after="0"/>
        <w:rPr>
          <w:sz w:val="20"/>
          <w:szCs w:val="20"/>
          <w:color w:val="auto"/>
        </w:rPr>
      </w:pPr>
      <w:r>
        <w:rPr>
          <w:rFonts w:ascii="Courier New" w:cs="Courier New" w:eastAsia="Courier New" w:hAnsi="Courier New"/>
          <w:sz w:val="17"/>
          <w:szCs w:val="17"/>
          <w:color w:val="auto"/>
        </w:rPr>
        <w:t>THE NINE MONTHS ENDED SEPTEMBER 30, 1998</w:t>
      </w:r>
    </w:p>
    <w:p>
      <w:pPr>
        <w:ind w:left="2480"/>
        <w:spacing w:after="0" w:line="237" w:lineRule="auto"/>
        <w:rPr>
          <w:sz w:val="20"/>
          <w:szCs w:val="20"/>
          <w:color w:val="auto"/>
        </w:rPr>
      </w:pPr>
      <w:r>
        <w:rPr>
          <w:rFonts w:ascii="Courier New" w:cs="Courier New" w:eastAsia="Courier New" w:hAnsi="Courier New"/>
          <w:sz w:val="17"/>
          <w:szCs w:val="17"/>
          <w:color w:val="auto"/>
        </w:rPr>
        <w:t>(in thousands of French Francs)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w w:val="98"/>
              </w:rPr>
              <w:t>Nine Months ended</w:t>
            </w:r>
          </w:p>
        </w:tc>
      </w:tr>
      <w:tr>
        <w:trPr>
          <w:trHeight w:val="191"/>
        </w:trPr>
        <w:tc>
          <w:tcPr>
            <w:tcW w:w="8260" w:type="dxa"/>
            <w:vAlign w:val="bottom"/>
          </w:tcPr>
          <w:p>
            <w:pPr>
              <w:spacing w:after="0"/>
              <w:rPr>
                <w:sz w:val="16"/>
                <w:szCs w:val="16"/>
                <w:color w:val="auto"/>
              </w:rPr>
            </w:pPr>
          </w:p>
        </w:tc>
        <w:tc>
          <w:tcPr>
            <w:tcW w:w="1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Year ended</w:t>
            </w:r>
          </w:p>
        </w:tc>
        <w:tc>
          <w:tcPr>
            <w:tcW w:w="1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8260" w:type="dxa"/>
            <w:vAlign w:val="bottom"/>
          </w:tcPr>
          <w:p>
            <w:pPr>
              <w:spacing w:after="0"/>
              <w:rPr>
                <w:sz w:val="16"/>
                <w:szCs w:val="16"/>
                <w:color w:val="auto"/>
              </w:rPr>
            </w:pPr>
          </w:p>
        </w:tc>
        <w:tc>
          <w:tcPr>
            <w:tcW w:w="1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9"/>
              </w:rPr>
              <w:t>December 31,</w:t>
            </w:r>
          </w:p>
        </w:tc>
        <w:tc>
          <w:tcPr>
            <w:tcW w:w="17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826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1997</w:t>
            </w:r>
          </w:p>
        </w:tc>
        <w:tc>
          <w:tcPr>
            <w:tcW w:w="17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8260" w:type="dxa"/>
            <w:vAlign w:val="bottom"/>
          </w:tcPr>
          <w:p>
            <w:pPr>
              <w:spacing w:after="0"/>
              <w:rPr>
                <w:sz w:val="16"/>
                <w:szCs w:val="16"/>
                <w:color w:val="auto"/>
              </w:rPr>
            </w:pP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826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39,063</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20,580</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Adjustments to reconcile net income to net cash provided by operating activities</w:t>
            </w: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1"/>
        </w:trPr>
        <w:tc>
          <w:tcPr>
            <w:tcW w:w="82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24,804</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20,803</w:t>
            </w:r>
          </w:p>
        </w:tc>
      </w:tr>
      <w:tr>
        <w:trPr>
          <w:trHeight w:val="191"/>
        </w:trPr>
        <w:tc>
          <w:tcPr>
            <w:tcW w:w="82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Change in reserve for inventory</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514</w:t>
            </w:r>
          </w:p>
        </w:tc>
        <w:tc>
          <w:tcPr>
            <w:tcW w:w="17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(503)</w:t>
            </w:r>
          </w:p>
        </w:tc>
      </w:tr>
      <w:tr>
        <w:trPr>
          <w:trHeight w:val="191"/>
        </w:trPr>
        <w:tc>
          <w:tcPr>
            <w:tcW w:w="82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Change in allowance for doubtful accounts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(164)</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590</w:t>
            </w:r>
          </w:p>
        </w:tc>
      </w:tr>
      <w:tr>
        <w:trPr>
          <w:trHeight w:val="191"/>
        </w:trPr>
        <w:tc>
          <w:tcPr>
            <w:tcW w:w="82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Changes in long-term provisions</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12,371</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6,522</w:t>
            </w:r>
          </w:p>
        </w:tc>
      </w:tr>
      <w:tr>
        <w:trPr>
          <w:trHeight w:val="191"/>
        </w:trPr>
        <w:tc>
          <w:tcPr>
            <w:tcW w:w="82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25,516</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3,779</w:t>
            </w:r>
          </w:p>
        </w:tc>
      </w:tr>
      <w:tr>
        <w:trPr>
          <w:trHeight w:val="191"/>
        </w:trPr>
        <w:tc>
          <w:tcPr>
            <w:tcW w:w="82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Loss on sales of property, plant and equipment</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43</w:t>
            </w:r>
          </w:p>
        </w:tc>
      </w:tr>
      <w:tr>
        <w:trPr>
          <w:trHeight w:val="191"/>
        </w:trPr>
        <w:tc>
          <w:tcPr>
            <w:tcW w:w="82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Increase/decrease in operating assets and liabilities:</w:t>
            </w: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1"/>
        </w:trPr>
        <w:tc>
          <w:tcPr>
            <w:tcW w:w="8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(Increase) decrease in trade accounts receivable</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5,452</w:t>
            </w:r>
          </w:p>
        </w:tc>
        <w:tc>
          <w:tcPr>
            <w:tcW w:w="17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(58,616)</w:t>
            </w:r>
          </w:p>
        </w:tc>
      </w:tr>
      <w:tr>
        <w:trPr>
          <w:trHeight w:val="191"/>
        </w:trPr>
        <w:tc>
          <w:tcPr>
            <w:tcW w:w="8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(Increase) in receivable from affiliates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(1,962)</w:t>
            </w:r>
          </w:p>
        </w:tc>
        <w:tc>
          <w:tcPr>
            <w:tcW w:w="17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(348)</w:t>
            </w:r>
          </w:p>
        </w:tc>
      </w:tr>
      <w:tr>
        <w:trPr>
          <w:trHeight w:val="191"/>
        </w:trPr>
        <w:tc>
          <w:tcPr>
            <w:tcW w:w="8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Decrease in inventories</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17,945</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14,610</w:t>
            </w:r>
          </w:p>
        </w:tc>
      </w:tr>
      <w:tr>
        <w:trPr>
          <w:trHeight w:val="191"/>
        </w:trPr>
        <w:tc>
          <w:tcPr>
            <w:tcW w:w="8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(Increase) decrease in other current assets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(5,572)</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5,858</w:t>
            </w:r>
          </w:p>
        </w:tc>
      </w:tr>
      <w:tr>
        <w:trPr>
          <w:trHeight w:val="191"/>
        </w:trPr>
        <w:tc>
          <w:tcPr>
            <w:tcW w:w="8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Increase in trade accounts payable</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17,491</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592</w:t>
            </w:r>
          </w:p>
        </w:tc>
      </w:tr>
      <w:tr>
        <w:trPr>
          <w:trHeight w:val="191"/>
        </w:trPr>
        <w:tc>
          <w:tcPr>
            <w:tcW w:w="8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Increase (decrease) in payable to affiliates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(5,333)</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4,523</w:t>
            </w:r>
          </w:p>
        </w:tc>
      </w:tr>
      <w:tr>
        <w:trPr>
          <w:trHeight w:val="191"/>
        </w:trPr>
        <w:tc>
          <w:tcPr>
            <w:tcW w:w="82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Increase in other current liabilities</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19,780</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12,017</w:t>
            </w:r>
          </w:p>
        </w:tc>
      </w:tr>
      <w:tr>
        <w:trPr>
          <w:trHeight w:val="191"/>
        </w:trPr>
        <w:tc>
          <w:tcPr>
            <w:tcW w:w="8260" w:type="dxa"/>
            <w:vAlign w:val="bottom"/>
          </w:tcPr>
          <w:p>
            <w:pPr>
              <w:spacing w:after="0"/>
              <w:rPr>
                <w:sz w:val="16"/>
                <w:szCs w:val="16"/>
                <w:color w:val="auto"/>
              </w:rPr>
            </w:pP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2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NET CASH PROVIDED BY OPERATING ACTIVITIES</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149,909</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30,450</w:t>
            </w:r>
          </w:p>
        </w:tc>
      </w:tr>
      <w:tr>
        <w:trPr>
          <w:trHeight w:val="191"/>
        </w:trPr>
        <w:tc>
          <w:tcPr>
            <w:tcW w:w="8260" w:type="dxa"/>
            <w:vAlign w:val="bottom"/>
          </w:tcPr>
          <w:p>
            <w:pPr>
              <w:spacing w:after="0"/>
              <w:rPr>
                <w:sz w:val="16"/>
                <w:szCs w:val="16"/>
                <w:color w:val="auto"/>
              </w:rPr>
            </w:pP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826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 of marketable securities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(52)</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 of property, plant and equipment</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(4,048)</w:t>
            </w:r>
          </w:p>
        </w:tc>
        <w:tc>
          <w:tcPr>
            <w:tcW w:w="17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(3,487)</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Acquisitions of intangible assets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(5,109)</w:t>
            </w:r>
          </w:p>
        </w:tc>
        <w:tc>
          <w:tcPr>
            <w:tcW w:w="17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(2,302)</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Proceeds from sales of marketable securities</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525</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Proceeds from sales of property, plant and equipment</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18</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84</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Proceeds from sale of investment in affiliate</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41,407</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Disbursement for loans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(3,574)</w:t>
            </w:r>
          </w:p>
        </w:tc>
        <w:tc>
          <w:tcPr>
            <w:tcW w:w="17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(200)</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Reimbursements of loans</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1,730</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1,286</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Reimbursement of French value added taxes</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570</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288</w:t>
            </w:r>
          </w:p>
        </w:tc>
      </w:tr>
      <w:tr>
        <w:trPr>
          <w:trHeight w:val="191"/>
        </w:trPr>
        <w:tc>
          <w:tcPr>
            <w:tcW w:w="8260" w:type="dxa"/>
            <w:vAlign w:val="bottom"/>
          </w:tcPr>
          <w:p>
            <w:pPr>
              <w:spacing w:after="0"/>
              <w:rPr>
                <w:sz w:val="16"/>
                <w:szCs w:val="16"/>
                <w:color w:val="auto"/>
              </w:rPr>
            </w:pP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2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NET CASH PROVIDED BY INVESTING ACTIVITIES</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30,942</w:t>
            </w:r>
          </w:p>
        </w:tc>
        <w:tc>
          <w:tcPr>
            <w:tcW w:w="17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(3,806)</w:t>
            </w:r>
          </w:p>
        </w:tc>
      </w:tr>
      <w:tr>
        <w:trPr>
          <w:trHeight w:val="191"/>
        </w:trPr>
        <w:tc>
          <w:tcPr>
            <w:tcW w:w="8260" w:type="dxa"/>
            <w:vAlign w:val="bottom"/>
          </w:tcPr>
          <w:p>
            <w:pPr>
              <w:spacing w:after="0"/>
              <w:rPr>
                <w:sz w:val="16"/>
                <w:szCs w:val="16"/>
                <w:color w:val="auto"/>
              </w:rPr>
            </w:pP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826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 (decrease) in short-term borrowings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(99,251)</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1,841</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paid</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(24,616)</w:t>
            </w:r>
          </w:p>
        </w:tc>
        <w:tc>
          <w:tcPr>
            <w:tcW w:w="17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(10,650)</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Withholding tax paid on dividends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(9,049)</w:t>
            </w:r>
          </w:p>
        </w:tc>
        <w:tc>
          <w:tcPr>
            <w:tcW w:w="17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(8,500)</w:t>
            </w:r>
          </w:p>
        </w:tc>
      </w:tr>
      <w:tr>
        <w:trPr>
          <w:trHeight w:val="191"/>
        </w:trPr>
        <w:tc>
          <w:tcPr>
            <w:tcW w:w="8260" w:type="dxa"/>
            <w:vAlign w:val="bottom"/>
          </w:tcPr>
          <w:p>
            <w:pPr>
              <w:spacing w:after="0"/>
              <w:rPr>
                <w:sz w:val="16"/>
                <w:szCs w:val="16"/>
                <w:color w:val="auto"/>
              </w:rPr>
            </w:pP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2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NET CASH PROVIDED BY FINANCING ACTIVITIES</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(132,916)</w:t>
            </w:r>
          </w:p>
        </w:tc>
        <w:tc>
          <w:tcPr>
            <w:tcW w:w="17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(17,309)</w:t>
            </w:r>
          </w:p>
        </w:tc>
      </w:tr>
      <w:tr>
        <w:trPr>
          <w:trHeight w:val="191"/>
        </w:trPr>
        <w:tc>
          <w:tcPr>
            <w:tcW w:w="8260" w:type="dxa"/>
            <w:vAlign w:val="bottom"/>
          </w:tcPr>
          <w:p>
            <w:pPr>
              <w:spacing w:after="0"/>
              <w:rPr>
                <w:sz w:val="16"/>
                <w:szCs w:val="16"/>
                <w:color w:val="auto"/>
              </w:rPr>
            </w:pP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8260" w:type="dxa"/>
            <w:vAlign w:val="bottom"/>
          </w:tcPr>
          <w:p>
            <w:pPr>
              <w:spacing w:after="0"/>
              <w:rPr>
                <w:sz w:val="20"/>
                <w:szCs w:val="20"/>
                <w:color w:val="auto"/>
              </w:rPr>
            </w:pPr>
            <w:r>
              <w:rPr>
                <w:rFonts w:ascii="Courier New" w:cs="Courier New" w:eastAsia="Courier New" w:hAnsi="Courier New"/>
                <w:sz w:val="17"/>
                <w:szCs w:val="17"/>
                <w:color w:val="auto"/>
              </w:rPr>
              <w:t>Net effect of exchange rate changes on cash</w:t>
            </w:r>
          </w:p>
        </w:tc>
        <w:tc>
          <w:tcPr>
            <w:tcW w:w="15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(1,013)</w:t>
            </w:r>
          </w:p>
        </w:tc>
        <w:tc>
          <w:tcPr>
            <w:tcW w:w="1720" w:type="dxa"/>
            <w:vAlign w:val="bottom"/>
          </w:tcPr>
          <w:p>
            <w:pPr>
              <w:jc w:val="right"/>
              <w:ind w:right="97"/>
              <w:spacing w:after="0"/>
              <w:rPr>
                <w:sz w:val="20"/>
                <w:szCs w:val="20"/>
                <w:color w:val="auto"/>
              </w:rPr>
            </w:pPr>
            <w:r>
              <w:rPr>
                <w:rFonts w:ascii="Courier New" w:cs="Courier New" w:eastAsia="Courier New" w:hAnsi="Courier New"/>
                <w:sz w:val="17"/>
                <w:szCs w:val="17"/>
                <w:color w:val="auto"/>
              </w:rPr>
              <w:t>(742)</w:t>
            </w:r>
          </w:p>
        </w:tc>
      </w:tr>
      <w:tr>
        <w:trPr>
          <w:trHeight w:val="191"/>
        </w:trPr>
        <w:tc>
          <w:tcPr>
            <w:tcW w:w="8260" w:type="dxa"/>
            <w:vAlign w:val="bottom"/>
          </w:tcPr>
          <w:p>
            <w:pPr>
              <w:spacing w:after="0"/>
              <w:rPr>
                <w:sz w:val="16"/>
                <w:szCs w:val="16"/>
                <w:color w:val="auto"/>
              </w:rPr>
            </w:pP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8260" w:type="dxa"/>
            <w:vAlign w:val="bottom"/>
          </w:tcPr>
          <w:p>
            <w:pPr>
              <w:spacing w:after="0"/>
              <w:rPr>
                <w:sz w:val="20"/>
                <w:szCs w:val="20"/>
                <w:color w:val="auto"/>
              </w:rPr>
            </w:pPr>
            <w:r>
              <w:rPr>
                <w:rFonts w:ascii="Courier New" w:cs="Courier New" w:eastAsia="Courier New" w:hAnsi="Courier New"/>
                <w:sz w:val="17"/>
                <w:szCs w:val="17"/>
                <w:color w:val="auto"/>
              </w:rPr>
              <w:t>NET INCREASE IN CASH</w:t>
            </w:r>
          </w:p>
        </w:tc>
        <w:tc>
          <w:tcPr>
            <w:tcW w:w="15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46,922</w:t>
            </w:r>
          </w:p>
        </w:tc>
        <w:tc>
          <w:tcPr>
            <w:tcW w:w="172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8,593</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beginning of period</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1,239</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48,161</w:t>
            </w:r>
          </w:p>
        </w:tc>
      </w:tr>
      <w:tr>
        <w:trPr>
          <w:trHeight w:val="191"/>
        </w:trPr>
        <w:tc>
          <w:tcPr>
            <w:tcW w:w="8260" w:type="dxa"/>
            <w:vAlign w:val="bottom"/>
          </w:tcPr>
          <w:p>
            <w:pPr>
              <w:spacing w:after="0"/>
              <w:rPr>
                <w:sz w:val="16"/>
                <w:szCs w:val="16"/>
                <w:color w:val="auto"/>
              </w:rPr>
            </w:pP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26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END OF PERIOD</w:t>
            </w: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48,161</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56,754</w:t>
            </w:r>
          </w:p>
        </w:tc>
      </w:tr>
      <w:tr>
        <w:trPr>
          <w:trHeight w:val="191"/>
        </w:trPr>
        <w:tc>
          <w:tcPr>
            <w:tcW w:w="8260" w:type="dxa"/>
            <w:vAlign w:val="bottom"/>
          </w:tcPr>
          <w:p>
            <w:pPr>
              <w:spacing w:after="0"/>
              <w:rPr>
                <w:sz w:val="16"/>
                <w:szCs w:val="16"/>
                <w:color w:val="auto"/>
              </w:rPr>
            </w:pPr>
          </w:p>
        </w:tc>
        <w:tc>
          <w:tcPr>
            <w:tcW w:w="15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9" w:lineRule="exact"/>
        <w:rPr>
          <w:sz w:val="20"/>
          <w:szCs w:val="20"/>
          <w:color w:val="auto"/>
        </w:rPr>
      </w:pPr>
    </w:p>
    <w:p>
      <w:pPr>
        <w:ind w:right="4660"/>
        <w:spacing w:after="0" w:line="235" w:lineRule="auto"/>
        <w:rPr>
          <w:sz w:val="20"/>
          <w:szCs w:val="20"/>
          <w:color w:val="auto"/>
        </w:rPr>
      </w:pPr>
      <w:r>
        <w:rPr>
          <w:rFonts w:ascii="Courier New" w:cs="Courier New" w:eastAsia="Courier New" w:hAnsi="Courier New"/>
          <w:sz w:val="17"/>
          <w:szCs w:val="17"/>
          <w:color w:val="auto"/>
        </w:rPr>
        <w:t>The accompanying notes are an integral part of the combined financial statements.</w:t>
      </w:r>
    </w:p>
    <w:p>
      <w:pPr>
        <w:sectPr>
          <w:pgSz w:w="11900" w:h="16838" w:orient="portrait"/>
          <w:cols w:equalWidth="0" w:num="1">
            <w:col w:w="11520"/>
          </w:cols>
          <w:pgMar w:left="240" w:top="301" w:right="139" w:bottom="485" w:gutter="0" w:footer="0" w:header="0"/>
        </w:sectPr>
      </w:pPr>
    </w:p>
    <w:p>
      <w:pPr>
        <w:spacing w:after="0" w:line="200" w:lineRule="exact"/>
        <w:rPr>
          <w:sz w:val="20"/>
          <w:szCs w:val="20"/>
          <w:color w:val="auto"/>
        </w:rPr>
      </w:pP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520"/>
          </w:cols>
          <w:pgMar w:left="240" w:top="301" w:right="139" w:bottom="485"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372"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RHONE-POULENC JARDIN</w:t>
      </w:r>
    </w:p>
    <w:p>
      <w:pPr>
        <w:jc w:val="center"/>
        <w:ind w:right="2259"/>
        <w:spacing w:after="0" w:line="238" w:lineRule="auto"/>
        <w:rPr>
          <w:sz w:val="20"/>
          <w:szCs w:val="20"/>
          <w:color w:val="auto"/>
        </w:rPr>
      </w:pPr>
      <w:r>
        <w:rPr>
          <w:rFonts w:ascii="Courier New" w:cs="Courier New" w:eastAsia="Courier New" w:hAnsi="Courier New"/>
          <w:sz w:val="17"/>
          <w:szCs w:val="17"/>
          <w:color w:val="auto"/>
        </w:rPr>
        <w:t>COMBINED STATEMENTS OF DIVISIONAL EQUITY</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 THE YEAR ENDED DECEMBER 31, 1997 AND</w:t>
      </w:r>
    </w:p>
    <w:p>
      <w:pPr>
        <w:jc w:val="center"/>
        <w:ind w:right="2259"/>
        <w:spacing w:after="0"/>
        <w:rPr>
          <w:sz w:val="20"/>
          <w:szCs w:val="20"/>
          <w:color w:val="auto"/>
        </w:rPr>
      </w:pPr>
      <w:r>
        <w:rPr>
          <w:rFonts w:ascii="Courier New" w:cs="Courier New" w:eastAsia="Courier New" w:hAnsi="Courier New"/>
          <w:sz w:val="17"/>
          <w:szCs w:val="17"/>
          <w:color w:val="auto"/>
        </w:rPr>
        <w:t>THE NINE MONTHS ENDED SEPTEMBER 30, 1998</w:t>
      </w:r>
    </w:p>
    <w:p>
      <w:pPr>
        <w:jc w:val="center"/>
        <w:ind w:right="2159"/>
        <w:spacing w:after="0" w:line="237" w:lineRule="auto"/>
        <w:rPr>
          <w:sz w:val="20"/>
          <w:szCs w:val="20"/>
          <w:color w:val="auto"/>
        </w:rPr>
      </w:pPr>
      <w:r>
        <w:rPr>
          <w:rFonts w:ascii="Courier New" w:cs="Courier New" w:eastAsia="Courier New" w:hAnsi="Courier New"/>
          <w:sz w:val="17"/>
          <w:szCs w:val="17"/>
          <w:color w:val="auto"/>
        </w:rPr>
        <w:t>(in thousands of French Francs)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Cumulative</w:t>
            </w:r>
          </w:p>
        </w:tc>
        <w:tc>
          <w:tcPr>
            <w:tcW w:w="1380" w:type="dxa"/>
            <w:vAlign w:val="bottom"/>
          </w:tcPr>
          <w:p>
            <w:pPr>
              <w:spacing w:after="0"/>
              <w:rPr>
                <w:sz w:val="16"/>
                <w:szCs w:val="16"/>
                <w:color w:val="auto"/>
              </w:rPr>
            </w:pPr>
          </w:p>
        </w:tc>
      </w:tr>
      <w:tr>
        <w:trPr>
          <w:trHeight w:val="191"/>
        </w:trPr>
        <w:tc>
          <w:tcPr>
            <w:tcW w:w="44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Foreign</w:t>
            </w:r>
          </w:p>
        </w:tc>
        <w:tc>
          <w:tcPr>
            <w:tcW w:w="1380" w:type="dxa"/>
            <w:vAlign w:val="bottom"/>
          </w:tcPr>
          <w:p>
            <w:pPr>
              <w:spacing w:after="0"/>
              <w:rPr>
                <w:sz w:val="16"/>
                <w:szCs w:val="16"/>
                <w:color w:val="auto"/>
              </w:rPr>
            </w:pPr>
          </w:p>
        </w:tc>
      </w:tr>
      <w:tr>
        <w:trPr>
          <w:trHeight w:val="191"/>
        </w:trPr>
        <w:tc>
          <w:tcPr>
            <w:tcW w:w="4420" w:type="dxa"/>
            <w:vAlign w:val="bottom"/>
          </w:tcPr>
          <w:p>
            <w:pPr>
              <w:spacing w:after="0"/>
              <w:rPr>
                <w:sz w:val="16"/>
                <w:szCs w:val="16"/>
                <w:color w:val="auto"/>
              </w:rPr>
            </w:pPr>
          </w:p>
        </w:tc>
        <w:tc>
          <w:tcPr>
            <w:tcW w:w="2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Divisional</w:t>
            </w:r>
          </w:p>
        </w:tc>
        <w:tc>
          <w:tcPr>
            <w:tcW w:w="22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Translation</w:t>
            </w:r>
          </w:p>
        </w:tc>
        <w:tc>
          <w:tcPr>
            <w:tcW w:w="1380" w:type="dxa"/>
            <w:vAlign w:val="bottom"/>
          </w:tcPr>
          <w:p>
            <w:pPr>
              <w:spacing w:after="0"/>
              <w:rPr>
                <w:sz w:val="16"/>
                <w:szCs w:val="16"/>
                <w:color w:val="auto"/>
              </w:rPr>
            </w:pPr>
          </w:p>
        </w:tc>
      </w:tr>
      <w:tr>
        <w:trPr>
          <w:trHeight w:val="191"/>
        </w:trPr>
        <w:tc>
          <w:tcPr>
            <w:tcW w:w="4420" w:type="dxa"/>
            <w:vAlign w:val="bottom"/>
          </w:tcPr>
          <w:p>
            <w:pPr>
              <w:spacing w:after="0"/>
              <w:rPr>
                <w:sz w:val="16"/>
                <w:szCs w:val="16"/>
                <w:color w:val="auto"/>
              </w:rPr>
            </w:pPr>
          </w:p>
        </w:tc>
        <w:tc>
          <w:tcPr>
            <w:tcW w:w="20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Equity</w:t>
            </w:r>
          </w:p>
        </w:tc>
        <w:tc>
          <w:tcPr>
            <w:tcW w:w="22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Adjustment</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4420" w:type="dxa"/>
            <w:vAlign w:val="bottom"/>
          </w:tcPr>
          <w:p>
            <w:pPr>
              <w:spacing w:after="0"/>
              <w:rPr>
                <w:sz w:val="16"/>
                <w:szCs w:val="16"/>
                <w:color w:val="auto"/>
              </w:rPr>
            </w:pPr>
          </w:p>
        </w:tc>
        <w:tc>
          <w:tcPr>
            <w:tcW w:w="20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4420" w:type="dxa"/>
            <w:vAlign w:val="bottom"/>
          </w:tcPr>
          <w:p>
            <w:pPr>
              <w:spacing w:after="0"/>
              <w:rPr>
                <w:sz w:val="20"/>
                <w:szCs w:val="20"/>
                <w:color w:val="auto"/>
              </w:rPr>
            </w:pPr>
            <w:r>
              <w:rPr>
                <w:rFonts w:ascii="Courier New" w:cs="Courier New" w:eastAsia="Courier New" w:hAnsi="Courier New"/>
                <w:sz w:val="17"/>
                <w:szCs w:val="17"/>
                <w:color w:val="auto"/>
              </w:rPr>
              <w:t>Balance as of December 31, 1996</w:t>
            </w:r>
          </w:p>
        </w:tc>
        <w:tc>
          <w:tcPr>
            <w:tcW w:w="200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530,580</w:t>
            </w:r>
          </w:p>
        </w:tc>
        <w:tc>
          <w:tcPr>
            <w:tcW w:w="224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(2,739)</w:t>
            </w:r>
          </w:p>
        </w:tc>
        <w:tc>
          <w:tcPr>
            <w:tcW w:w="13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527,841</w:t>
            </w:r>
          </w:p>
        </w:tc>
      </w:tr>
      <w:tr>
        <w:trPr>
          <w:trHeight w:val="191"/>
        </w:trPr>
        <w:tc>
          <w:tcPr>
            <w:tcW w:w="44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20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39,063</w:t>
            </w:r>
          </w:p>
        </w:tc>
        <w:tc>
          <w:tcPr>
            <w:tcW w:w="2240" w:type="dxa"/>
            <w:vAlign w:val="bottom"/>
          </w:tcPr>
          <w:p>
            <w:pPr>
              <w:spacing w:after="0"/>
              <w:rPr>
                <w:sz w:val="16"/>
                <w:szCs w:val="16"/>
                <w:color w:val="auto"/>
              </w:rPr>
            </w:pP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39,063</w:t>
            </w:r>
          </w:p>
        </w:tc>
      </w:tr>
      <w:tr>
        <w:trPr>
          <w:trHeight w:val="191"/>
        </w:trPr>
        <w:tc>
          <w:tcPr>
            <w:tcW w:w="442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paid</w:t>
            </w:r>
          </w:p>
        </w:tc>
        <w:tc>
          <w:tcPr>
            <w:tcW w:w="20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(33,457)</w:t>
            </w:r>
          </w:p>
        </w:tc>
        <w:tc>
          <w:tcPr>
            <w:tcW w:w="224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(33,457)</w:t>
            </w:r>
          </w:p>
        </w:tc>
      </w:tr>
      <w:tr>
        <w:trPr>
          <w:trHeight w:val="191"/>
        </w:trPr>
        <w:tc>
          <w:tcPr>
            <w:tcW w:w="442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 in foreign translation adjustment</w:t>
            </w:r>
          </w:p>
        </w:tc>
        <w:tc>
          <w:tcPr>
            <w:tcW w:w="2000" w:type="dxa"/>
            <w:vAlign w:val="bottom"/>
          </w:tcPr>
          <w:p>
            <w:pPr>
              <w:spacing w:after="0"/>
              <w:rPr>
                <w:sz w:val="16"/>
                <w:szCs w:val="16"/>
                <w:color w:val="auto"/>
              </w:rPr>
            </w:pPr>
          </w:p>
        </w:tc>
        <w:tc>
          <w:tcPr>
            <w:tcW w:w="22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(2,318)</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(2,318)</w:t>
            </w:r>
          </w:p>
        </w:tc>
      </w:tr>
      <w:tr>
        <w:trPr>
          <w:trHeight w:val="191"/>
        </w:trPr>
        <w:tc>
          <w:tcPr>
            <w:tcW w:w="4420" w:type="dxa"/>
            <w:vAlign w:val="bottom"/>
          </w:tcPr>
          <w:p>
            <w:pPr>
              <w:spacing w:after="0"/>
              <w:rPr>
                <w:sz w:val="16"/>
                <w:szCs w:val="16"/>
                <w:color w:val="auto"/>
              </w:rPr>
            </w:pPr>
          </w:p>
        </w:tc>
        <w:tc>
          <w:tcPr>
            <w:tcW w:w="20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42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 as of December 31, 1997</w:t>
            </w:r>
          </w:p>
        </w:tc>
        <w:tc>
          <w:tcPr>
            <w:tcW w:w="20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536,186</w:t>
            </w:r>
          </w:p>
        </w:tc>
        <w:tc>
          <w:tcPr>
            <w:tcW w:w="22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(5,057)</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531,129</w:t>
            </w:r>
          </w:p>
        </w:tc>
      </w:tr>
      <w:tr>
        <w:trPr>
          <w:trHeight w:val="383"/>
        </w:trPr>
        <w:tc>
          <w:tcPr>
            <w:tcW w:w="4420" w:type="dxa"/>
            <w:vAlign w:val="bottom"/>
          </w:tcPr>
          <w:p>
            <w:pPr>
              <w:spacing w:after="0"/>
              <w:rPr>
                <w:sz w:val="20"/>
                <w:szCs w:val="20"/>
                <w:color w:val="auto"/>
              </w:rPr>
            </w:pPr>
            <w:r>
              <w:rPr>
                <w:rFonts w:ascii="Courier New" w:cs="Courier New" w:eastAsia="Courier New" w:hAnsi="Courier New"/>
                <w:sz w:val="17"/>
                <w:szCs w:val="17"/>
                <w:color w:val="auto"/>
              </w:rPr>
              <w:t>Net income for nine month period</w:t>
            </w:r>
          </w:p>
        </w:tc>
        <w:tc>
          <w:tcPr>
            <w:tcW w:w="200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20,580</w:t>
            </w:r>
          </w:p>
        </w:tc>
        <w:tc>
          <w:tcPr>
            <w:tcW w:w="224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20,580</w:t>
            </w:r>
          </w:p>
        </w:tc>
      </w:tr>
      <w:tr>
        <w:trPr>
          <w:trHeight w:val="191"/>
        </w:trPr>
        <w:tc>
          <w:tcPr>
            <w:tcW w:w="442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paid</w:t>
            </w:r>
          </w:p>
        </w:tc>
        <w:tc>
          <w:tcPr>
            <w:tcW w:w="20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(19,150)</w:t>
            </w:r>
          </w:p>
        </w:tc>
        <w:tc>
          <w:tcPr>
            <w:tcW w:w="224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(19,150)</w:t>
            </w:r>
          </w:p>
        </w:tc>
      </w:tr>
      <w:tr>
        <w:trPr>
          <w:trHeight w:val="191"/>
        </w:trPr>
        <w:tc>
          <w:tcPr>
            <w:tcW w:w="442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 in foreign translation adjustment</w:t>
            </w:r>
          </w:p>
        </w:tc>
        <w:tc>
          <w:tcPr>
            <w:tcW w:w="2000" w:type="dxa"/>
            <w:vAlign w:val="bottom"/>
          </w:tcPr>
          <w:p>
            <w:pPr>
              <w:spacing w:after="0"/>
              <w:rPr>
                <w:sz w:val="16"/>
                <w:szCs w:val="16"/>
                <w:color w:val="auto"/>
              </w:rPr>
            </w:pPr>
          </w:p>
        </w:tc>
        <w:tc>
          <w:tcPr>
            <w:tcW w:w="224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650</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650</w:t>
            </w:r>
          </w:p>
        </w:tc>
      </w:tr>
      <w:tr>
        <w:trPr>
          <w:trHeight w:val="191"/>
        </w:trPr>
        <w:tc>
          <w:tcPr>
            <w:tcW w:w="4420" w:type="dxa"/>
            <w:vAlign w:val="bottom"/>
          </w:tcPr>
          <w:p>
            <w:pPr>
              <w:spacing w:after="0"/>
              <w:rPr>
                <w:sz w:val="16"/>
                <w:szCs w:val="16"/>
                <w:color w:val="auto"/>
              </w:rPr>
            </w:pPr>
          </w:p>
        </w:tc>
        <w:tc>
          <w:tcPr>
            <w:tcW w:w="20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42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 as of September 30, 1998</w:t>
            </w:r>
          </w:p>
        </w:tc>
        <w:tc>
          <w:tcPr>
            <w:tcW w:w="20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537,616</w:t>
            </w:r>
          </w:p>
        </w:tc>
        <w:tc>
          <w:tcPr>
            <w:tcW w:w="22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(4,407)</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533,209</w:t>
            </w:r>
          </w:p>
        </w:tc>
      </w:tr>
      <w:tr>
        <w:trPr>
          <w:trHeight w:val="191"/>
        </w:trPr>
        <w:tc>
          <w:tcPr>
            <w:tcW w:w="4420" w:type="dxa"/>
            <w:vAlign w:val="bottom"/>
          </w:tcPr>
          <w:p>
            <w:pPr>
              <w:spacing w:after="0"/>
              <w:rPr>
                <w:sz w:val="16"/>
                <w:szCs w:val="16"/>
                <w:color w:val="auto"/>
              </w:rPr>
            </w:pPr>
          </w:p>
        </w:tc>
        <w:tc>
          <w:tcPr>
            <w:tcW w:w="20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7"/>
          <w:szCs w:val="17"/>
          <w:color w:val="auto"/>
        </w:rPr>
        <w:t>The accompanying notes are an integral part of the combined financial statements.</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RHONE-POULENC JARDIN</w:t>
      </w:r>
    </w:p>
    <w:p>
      <w:pPr>
        <w:spacing w:after="0" w:line="238" w:lineRule="auto"/>
        <w:rPr>
          <w:sz w:val="20"/>
          <w:szCs w:val="20"/>
          <w:color w:val="auto"/>
        </w:rPr>
      </w:pPr>
      <w:r>
        <w:rPr>
          <w:rFonts w:ascii="Courier New" w:cs="Courier New" w:eastAsia="Courier New" w:hAnsi="Courier New"/>
          <w:sz w:val="17"/>
          <w:szCs w:val="17"/>
          <w:color w:val="auto"/>
        </w:rPr>
        <w:t>NOTES TO COMBINED FINANCIAL STATEMENTS</w:t>
      </w:r>
    </w:p>
    <w:p>
      <w:pPr>
        <w:spacing w:after="0" w:line="238" w:lineRule="auto"/>
        <w:rPr>
          <w:sz w:val="20"/>
          <w:szCs w:val="20"/>
          <w:color w:val="auto"/>
        </w:rPr>
      </w:pPr>
      <w:r>
        <w:rPr>
          <w:rFonts w:ascii="Courier New" w:cs="Courier New" w:eastAsia="Courier New" w:hAnsi="Courier New"/>
          <w:sz w:val="17"/>
          <w:szCs w:val="17"/>
          <w:color w:val="auto"/>
        </w:rPr>
        <w:t>(All amounts are in thousands of French Francs unless otherwise noted)</w:t>
      </w:r>
    </w:p>
    <w:p>
      <w:pPr>
        <w:spacing w:after="0" w:line="382" w:lineRule="exact"/>
        <w:rPr>
          <w:sz w:val="20"/>
          <w:szCs w:val="20"/>
          <w:color w:val="auto"/>
        </w:rPr>
      </w:pPr>
    </w:p>
    <w:p>
      <w:pPr>
        <w:ind w:left="600" w:hanging="598"/>
        <w:spacing w:after="0"/>
        <w:tabs>
          <w:tab w:leader="none" w:pos="6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BASIS OF COMBINATION</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combined financial statements of Rhone-Poulenc Jardin (the "Division") include the "carve-out" financial position, results of operations and cash flows of Rhone-Poulenc Jardin SA, Celaflor GmbH and Celaflor Handelsgesellschaft. These financial statements have been prepared as if the Division had operated as a stand-alone entity for the period presented, and include those assets, liabilities, and revenues and expenses directly attributable to the Division's operations.</w:t>
      </w:r>
    </w:p>
    <w:p>
      <w:pPr>
        <w:spacing w:after="0" w:line="199"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7"/>
          <w:szCs w:val="17"/>
          <w:color w:val="auto"/>
        </w:rPr>
        <w:t>All significant intercompany transactions and balances are eliminated in consolidation.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NATURE OF OPERATIONS</w:t>
      </w:r>
    </w:p>
    <w:p>
      <w:pPr>
        <w:spacing w:after="0" w:line="5"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The Division is in the lawn and garden care business. The Division's principal markets are in France, Germany and Austria.</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w:t>
      </w:r>
    </w:p>
    <w:p>
      <w:pPr>
        <w:spacing w:after="0" w:line="238" w:lineRule="auto"/>
        <w:rPr>
          <w:sz w:val="20"/>
          <w:szCs w:val="20"/>
          <w:color w:val="auto"/>
        </w:rPr>
      </w:pPr>
      <w:r>
        <w:rPr>
          <w:rFonts w:ascii="Courier New" w:cs="Courier New" w:eastAsia="Courier New" w:hAnsi="Courier New"/>
          <w:sz w:val="17"/>
          <w:szCs w:val="17"/>
          <w:color w:val="auto"/>
        </w:rPr>
        <w:t>Inventories are stated at average cost.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PLANT AND EQUIPMENT</w:t>
      </w:r>
    </w:p>
    <w:p>
      <w:pPr>
        <w:spacing w:after="0" w:line="5"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7"/>
          <w:szCs w:val="17"/>
          <w:color w:val="auto"/>
        </w:rPr>
        <w:t>Property, plant and equipment are recorded at cost. Maintenance costs are charged to operations as incurred. Depreciation is computed using the straight-line method over the estimated useful lives, as follows: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58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w w:val="94"/>
              </w:rPr>
              <w:t>years</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Office furniture and equipment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years</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Machinery and equipment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5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years</w:t>
            </w:r>
          </w:p>
        </w:tc>
      </w:tr>
    </w:tbl>
    <w:p>
      <w:pPr>
        <w:spacing w:after="0" w:line="196"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Upon sale or retirement of property, plant and equipment, the related cost and accumulated depreciation are removed from the accounts and any gain or loss is reflected in the statement of operations.</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3"/>
        </w:trPr>
        <w:tc>
          <w:tcPr>
            <w:tcW w:w="10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12</w:t>
            </w:r>
          </w:p>
        </w:tc>
        <w:tc>
          <w:tcPr>
            <w:tcW w:w="2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574"/>
        </w:trPr>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w w:val="96"/>
              </w:rPr>
              <w:t>INTANGIBLE</w:t>
            </w:r>
          </w:p>
        </w:tc>
        <w:tc>
          <w:tcPr>
            <w:tcW w:w="2900" w:type="dxa"/>
            <w:vAlign w:val="bottom"/>
          </w:tcPr>
          <w:p>
            <w:pPr>
              <w:ind w:left="60"/>
              <w:spacing w:after="0"/>
              <w:rPr>
                <w:sz w:val="20"/>
                <w:szCs w:val="20"/>
                <w:color w:val="auto"/>
              </w:rPr>
            </w:pPr>
            <w:r>
              <w:rPr>
                <w:rFonts w:ascii="Courier New" w:cs="Courier New" w:eastAsia="Courier New" w:hAnsi="Courier New"/>
                <w:sz w:val="17"/>
                <w:szCs w:val="17"/>
                <w:color w:val="auto"/>
              </w:rPr>
              <w:t>ASSETS AND GOODWILL</w:t>
            </w:r>
          </w:p>
        </w:tc>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91"/>
        </w:trPr>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Intangible</w:t>
            </w:r>
          </w:p>
        </w:tc>
        <w:tc>
          <w:tcPr>
            <w:tcW w:w="652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w w:val="97"/>
              </w:rPr>
              <w:t>assets are recorded at cost. Amortization is calculated using the</w:t>
            </w:r>
          </w:p>
        </w:tc>
      </w:tr>
      <w:tr>
        <w:trPr>
          <w:trHeight w:val="191"/>
        </w:trPr>
        <w:tc>
          <w:tcPr>
            <w:tcW w:w="7560" w:type="dxa"/>
            <w:vAlign w:val="bottom"/>
            <w:gridSpan w:val="4"/>
          </w:tcPr>
          <w:p>
            <w:pPr>
              <w:spacing w:after="0" w:line="191" w:lineRule="exact"/>
              <w:rPr>
                <w:sz w:val="20"/>
                <w:szCs w:val="20"/>
                <w:color w:val="auto"/>
              </w:rPr>
            </w:pPr>
            <w:r>
              <w:rPr>
                <w:rFonts w:ascii="Courier New" w:cs="Courier New" w:eastAsia="Courier New" w:hAnsi="Courier New"/>
                <w:sz w:val="17"/>
                <w:szCs w:val="17"/>
                <w:color w:val="auto"/>
              </w:rPr>
              <w:t>straight-line method over the estimated useful lives as follows:</w:t>
            </w:r>
          </w:p>
        </w:tc>
      </w:tr>
      <w:tr>
        <w:trPr>
          <w:trHeight w:val="383"/>
        </w:trPr>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Goodwill</w:t>
            </w:r>
          </w:p>
        </w:tc>
        <w:tc>
          <w:tcPr>
            <w:tcW w:w="29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2840" w:type="dxa"/>
            <w:vAlign w:val="bottom"/>
          </w:tcPr>
          <w:p>
            <w:pPr>
              <w:ind w:left="60"/>
              <w:spacing w:after="0"/>
              <w:rPr>
                <w:sz w:val="20"/>
                <w:szCs w:val="20"/>
                <w:color w:val="auto"/>
              </w:rPr>
            </w:pPr>
            <w:r>
              <w:rPr>
                <w:rFonts w:ascii="Courier New" w:cs="Courier New" w:eastAsia="Courier New" w:hAnsi="Courier New"/>
                <w:sz w:val="17"/>
                <w:szCs w:val="17"/>
                <w:color w:val="auto"/>
              </w:rPr>
              <w:t>years</w:t>
            </w:r>
          </w:p>
        </w:tc>
      </w:tr>
      <w:tr>
        <w:trPr>
          <w:trHeight w:val="191"/>
        </w:trPr>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Patents,</w:t>
            </w:r>
          </w:p>
        </w:tc>
        <w:tc>
          <w:tcPr>
            <w:tcW w:w="29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licenses and trademarks</w:t>
            </w: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2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years</w:t>
            </w:r>
          </w:p>
        </w:tc>
      </w:tr>
      <w:tr>
        <w:trPr>
          <w:trHeight w:val="191"/>
        </w:trPr>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Software</w:t>
            </w:r>
          </w:p>
        </w:tc>
        <w:tc>
          <w:tcPr>
            <w:tcW w:w="290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2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years</w:t>
            </w:r>
          </w:p>
        </w:tc>
      </w:tr>
    </w:tbl>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Division investigates potential impairments of intangible assets on an exception basis where there is evidence that events or changes in circumstances have made recovery of an asset's carrying value unlikely. An impairment loss is recognized when the sum of the expected future net cash flows is less than the carrying amount of the asset.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DEFERRED INCOME TAXES</w:t>
      </w:r>
    </w:p>
    <w:p>
      <w:pPr>
        <w:spacing w:after="0" w:line="5"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Division recognizes deferred tax assets and liabilities for the expected future tax consequences of temporary differences between the carrying amounts and the tax bases of assets and liabilities. Valuation allowances are established, when necessary, to reduce deferred tax assets to the amount "more likely than not" to be realized in future tax returns.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w:t>
      </w:r>
    </w:p>
    <w:p>
      <w:pPr>
        <w:spacing w:after="0" w:line="238" w:lineRule="auto"/>
        <w:rPr>
          <w:sz w:val="20"/>
          <w:szCs w:val="20"/>
          <w:color w:val="auto"/>
        </w:rPr>
      </w:pPr>
      <w:r>
        <w:rPr>
          <w:rFonts w:ascii="Courier New" w:cs="Courier New" w:eastAsia="Courier New" w:hAnsi="Courier New"/>
          <w:sz w:val="17"/>
          <w:szCs w:val="17"/>
          <w:color w:val="auto"/>
        </w:rPr>
        <w:t>Revenue from products is recognized when the products are shipped.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TRANSLATION OF FOREIGN CURRENCIES</w:t>
      </w:r>
    </w:p>
    <w:p>
      <w:pPr>
        <w:spacing w:after="0" w:line="238" w:lineRule="auto"/>
        <w:rPr>
          <w:sz w:val="20"/>
          <w:szCs w:val="20"/>
          <w:color w:val="auto"/>
        </w:rPr>
      </w:pPr>
      <w:r>
        <w:rPr>
          <w:rFonts w:ascii="Courier New" w:cs="Courier New" w:eastAsia="Courier New" w:hAnsi="Courier New"/>
          <w:sz w:val="17"/>
          <w:szCs w:val="17"/>
          <w:color w:val="auto"/>
        </w:rPr>
        <w:t>The translation of the financial statements has been completed as follows:</w:t>
      </w:r>
    </w:p>
    <w:p>
      <w:pPr>
        <w:spacing w:after="0" w:line="190" w:lineRule="exact"/>
        <w:rPr>
          <w:sz w:val="20"/>
          <w:szCs w:val="20"/>
          <w:color w:val="auto"/>
        </w:rPr>
      </w:pPr>
    </w:p>
    <w:p>
      <w:pPr>
        <w:ind w:left="200" w:hanging="198"/>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assets and liabilities are translated at year-end exchange rates;</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shareholders' equity is translated at historical exchange rates;</w:t>
      </w:r>
    </w:p>
    <w:p>
      <w:pPr>
        <w:spacing w:after="0" w:line="196" w:lineRule="exact"/>
        <w:rPr>
          <w:rFonts w:ascii="Courier New" w:cs="Courier New" w:eastAsia="Courier New" w:hAnsi="Courier New"/>
          <w:sz w:val="17"/>
          <w:szCs w:val="17"/>
          <w:color w:val="auto"/>
        </w:rPr>
      </w:pPr>
    </w:p>
    <w:p>
      <w:pPr>
        <w:ind w:left="200" w:right="2059" w:hanging="198"/>
        <w:spacing w:after="0" w:line="235" w:lineRule="auto"/>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statement of operations items are translated at average exchange rates for the year;</w:t>
      </w:r>
    </w:p>
    <w:p>
      <w:pPr>
        <w:spacing w:after="0" w:line="196" w:lineRule="exact"/>
        <w:rPr>
          <w:rFonts w:ascii="Courier New" w:cs="Courier New" w:eastAsia="Courier New" w:hAnsi="Courier New"/>
          <w:sz w:val="17"/>
          <w:szCs w:val="17"/>
          <w:color w:val="auto"/>
        </w:rPr>
      </w:pPr>
    </w:p>
    <w:p>
      <w:pPr>
        <w:ind w:left="200" w:right="3059" w:hanging="198"/>
        <w:spacing w:after="0" w:line="235" w:lineRule="auto"/>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translation gains and losses are recorded in a separate component of shareholders' equity.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SHARE</w:t>
      </w:r>
    </w:p>
    <w:p>
      <w:pPr>
        <w:spacing w:after="0" w:line="5" w:lineRule="exact"/>
        <w:rPr>
          <w:sz w:val="20"/>
          <w:szCs w:val="20"/>
          <w:color w:val="auto"/>
        </w:rPr>
      </w:pPr>
    </w:p>
    <w:p>
      <w:pPr>
        <w:jc w:val="both"/>
        <w:ind w:right="2859"/>
        <w:spacing w:after="0" w:line="236" w:lineRule="auto"/>
        <w:rPr>
          <w:sz w:val="20"/>
          <w:szCs w:val="20"/>
          <w:color w:val="auto"/>
        </w:rPr>
      </w:pPr>
      <w:r>
        <w:rPr>
          <w:rFonts w:ascii="Courier New" w:cs="Courier New" w:eastAsia="Courier New" w:hAnsi="Courier New"/>
          <w:sz w:val="17"/>
          <w:szCs w:val="17"/>
          <w:color w:val="auto"/>
        </w:rPr>
        <w:t>As there is no separate capitalization, nor are there any shares of stock specifically attributable to the Division upon which an earnings per share calculation can be based, earnings per share data is not presented in the accompanying combined financial statements.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MANAGEMENT'S USE OF ESTIMATES</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7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1"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ind w:left="600" w:hanging="598"/>
        <w:spacing w:after="0" w:line="238" w:lineRule="auto"/>
        <w:tabs>
          <w:tab w:leader="none" w:pos="6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 AND CASH POOL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cash pool consist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1"/>
        </w:trPr>
        <w:tc>
          <w:tcPr>
            <w:tcW w:w="3580" w:type="dxa"/>
            <w:vAlign w:val="bottom"/>
          </w:tcPr>
          <w:p>
            <w:pPr>
              <w:spacing w:after="0"/>
              <w:rPr>
                <w:sz w:val="16"/>
                <w:szCs w:val="16"/>
                <w:color w:val="auto"/>
              </w:rPr>
            </w:pPr>
          </w:p>
        </w:tc>
        <w:tc>
          <w:tcPr>
            <w:tcW w:w="2180" w:type="dxa"/>
            <w:vAlign w:val="bottom"/>
          </w:tcPr>
          <w:p>
            <w:pPr>
              <w:jc w:val="center"/>
              <w:ind w:left="897"/>
              <w:spacing w:after="0" w:line="191" w:lineRule="exact"/>
              <w:rPr>
                <w:sz w:val="20"/>
                <w:szCs w:val="20"/>
                <w:color w:val="auto"/>
              </w:rPr>
            </w:pPr>
            <w:r>
              <w:rPr>
                <w:rFonts w:ascii="Courier New" w:cs="Courier New" w:eastAsia="Courier New" w:hAnsi="Courier New"/>
                <w:sz w:val="17"/>
                <w:szCs w:val="17"/>
                <w:color w:val="auto"/>
                <w:w w:val="97"/>
              </w:rPr>
              <w:t>1997</w:t>
            </w:r>
          </w:p>
        </w:tc>
      </w:tr>
      <w:tr>
        <w:trPr>
          <w:trHeight w:val="191"/>
        </w:trPr>
        <w:tc>
          <w:tcPr>
            <w:tcW w:w="3580" w:type="dxa"/>
            <w:vAlign w:val="bottom"/>
          </w:tcPr>
          <w:p>
            <w:pPr>
              <w:spacing w:after="0"/>
              <w:rPr>
                <w:sz w:val="16"/>
                <w:szCs w:val="16"/>
                <w:color w:val="auto"/>
              </w:rPr>
            </w:pPr>
          </w:p>
        </w:tc>
        <w:tc>
          <w:tcPr>
            <w:tcW w:w="2180" w:type="dxa"/>
            <w:vAlign w:val="bottom"/>
          </w:tcPr>
          <w:p>
            <w:pPr>
              <w:jc w:val="center"/>
              <w:ind w:left="917"/>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3580" w:type="dxa"/>
            <w:vAlign w:val="bottom"/>
          </w:tcPr>
          <w:p>
            <w:pPr>
              <w:spacing w:after="0"/>
              <w:rPr>
                <w:sz w:val="20"/>
                <w:szCs w:val="20"/>
                <w:color w:val="auto"/>
              </w:rPr>
            </w:pPr>
            <w:r>
              <w:rPr>
                <w:rFonts w:ascii="Courier New" w:cs="Courier New" w:eastAsia="Courier New" w:hAnsi="Courier New"/>
                <w:sz w:val="17"/>
                <w:szCs w:val="17"/>
                <w:color w:val="auto"/>
              </w:rPr>
              <w:t>Cash</w:t>
            </w:r>
          </w:p>
        </w:tc>
        <w:tc>
          <w:tcPr>
            <w:tcW w:w="21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780</w:t>
            </w:r>
          </w:p>
        </w:tc>
      </w:tr>
      <w:tr>
        <w:trPr>
          <w:trHeight w:val="191"/>
        </w:trPr>
        <w:tc>
          <w:tcPr>
            <w:tcW w:w="35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pool</w:t>
            </w:r>
          </w:p>
        </w:tc>
        <w:tc>
          <w:tcPr>
            <w:tcW w:w="2180" w:type="dxa"/>
            <w:vAlign w:val="bottom"/>
          </w:tcPr>
          <w:p>
            <w:pPr>
              <w:jc w:val="center"/>
              <w:ind w:left="897"/>
              <w:spacing w:after="0" w:line="191" w:lineRule="exact"/>
              <w:rPr>
                <w:sz w:val="20"/>
                <w:szCs w:val="20"/>
                <w:color w:val="auto"/>
              </w:rPr>
            </w:pPr>
            <w:r>
              <w:rPr>
                <w:rFonts w:ascii="Courier New" w:cs="Courier New" w:eastAsia="Courier New" w:hAnsi="Courier New"/>
                <w:sz w:val="17"/>
                <w:szCs w:val="17"/>
                <w:color w:val="auto"/>
                <w:w w:val="97"/>
              </w:rPr>
              <w:t>47,381</w:t>
            </w:r>
          </w:p>
        </w:tc>
      </w:tr>
      <w:tr>
        <w:trPr>
          <w:trHeight w:val="191"/>
        </w:trPr>
        <w:tc>
          <w:tcPr>
            <w:tcW w:w="3580" w:type="dxa"/>
            <w:vAlign w:val="bottom"/>
          </w:tcPr>
          <w:p>
            <w:pPr>
              <w:spacing w:after="0"/>
              <w:rPr>
                <w:sz w:val="16"/>
                <w:szCs w:val="16"/>
                <w:color w:val="auto"/>
              </w:rPr>
            </w:pPr>
          </w:p>
        </w:tc>
        <w:tc>
          <w:tcPr>
            <w:tcW w:w="2180" w:type="dxa"/>
            <w:vAlign w:val="bottom"/>
          </w:tcPr>
          <w:p>
            <w:pPr>
              <w:jc w:val="center"/>
              <w:ind w:left="897"/>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cash and cash pool</w:t>
            </w:r>
          </w:p>
        </w:tc>
        <w:tc>
          <w:tcPr>
            <w:tcW w:w="2180" w:type="dxa"/>
            <w:vAlign w:val="bottom"/>
          </w:tcPr>
          <w:p>
            <w:pPr>
              <w:jc w:val="center"/>
              <w:ind w:left="897"/>
              <w:spacing w:after="0" w:line="191" w:lineRule="exact"/>
              <w:rPr>
                <w:sz w:val="20"/>
                <w:szCs w:val="20"/>
                <w:color w:val="auto"/>
              </w:rPr>
            </w:pPr>
            <w:r>
              <w:rPr>
                <w:rFonts w:ascii="Courier New" w:cs="Courier New" w:eastAsia="Courier New" w:hAnsi="Courier New"/>
                <w:sz w:val="17"/>
                <w:szCs w:val="17"/>
                <w:color w:val="auto"/>
                <w:w w:val="97"/>
              </w:rPr>
              <w:t>48,161</w:t>
            </w:r>
          </w:p>
        </w:tc>
      </w:tr>
      <w:tr>
        <w:trPr>
          <w:trHeight w:val="191"/>
        </w:trPr>
        <w:tc>
          <w:tcPr>
            <w:tcW w:w="3580" w:type="dxa"/>
            <w:vAlign w:val="bottom"/>
          </w:tcPr>
          <w:p>
            <w:pPr>
              <w:spacing w:after="0"/>
              <w:rPr>
                <w:sz w:val="16"/>
                <w:szCs w:val="16"/>
                <w:color w:val="auto"/>
              </w:rPr>
            </w:pPr>
          </w:p>
        </w:tc>
        <w:tc>
          <w:tcPr>
            <w:tcW w:w="2180" w:type="dxa"/>
            <w:vAlign w:val="bottom"/>
          </w:tcPr>
          <w:p>
            <w:pPr>
              <w:jc w:val="center"/>
              <w:ind w:left="897"/>
              <w:spacing w:after="0" w:line="191" w:lineRule="exact"/>
              <w:rPr>
                <w:sz w:val="20"/>
                <w:szCs w:val="20"/>
                <w:color w:val="auto"/>
              </w:rPr>
            </w:pPr>
            <w:r>
              <w:rPr>
                <w:rFonts w:ascii="Courier New" w:cs="Courier New" w:eastAsia="Courier New" w:hAnsi="Courier New"/>
                <w:sz w:val="17"/>
                <w:szCs w:val="17"/>
                <w:color w:val="auto"/>
                <w:w w:val="97"/>
              </w:rPr>
              <w:t>======</w:t>
            </w:r>
          </w:p>
        </w:tc>
      </w:tr>
    </w:tbl>
    <w:p>
      <w:pPr>
        <w:spacing w:after="0" w:line="388"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Rhone-Poulenc Jardin SA and Celaflor GmbH have cash pooling arrangements with the Rhone-Poulenc Group. The amounts involved are immediately available. Detail of the cash pool amount at December 31, 1997 is as follows: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4620" w:type="dxa"/>
            <w:vAlign w:val="bottom"/>
          </w:tcPr>
          <w:p>
            <w:pPr>
              <w:spacing w:after="0"/>
              <w:rPr>
                <w:sz w:val="20"/>
                <w:szCs w:val="20"/>
                <w:color w:val="auto"/>
              </w:rPr>
            </w:pPr>
            <w:r>
              <w:rPr>
                <w:rFonts w:ascii="Courier New" w:cs="Courier New" w:eastAsia="Courier New" w:hAnsi="Courier New"/>
                <w:sz w:val="17"/>
                <w:szCs w:val="17"/>
                <w:color w:val="auto"/>
              </w:rPr>
              <w:t>Celaflor GmbH cash pool with Rhone-Poulenc</w:t>
            </w:r>
          </w:p>
        </w:tc>
        <w:tc>
          <w:tcPr>
            <w:tcW w:w="840" w:type="dxa"/>
            <w:vAlign w:val="bottom"/>
          </w:tcPr>
          <w:p>
            <w:pPr>
              <w:spacing w:after="0"/>
              <w:rPr>
                <w:sz w:val="16"/>
                <w:szCs w:val="16"/>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Deutschland GmbH, debit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142,189</w:t>
            </w: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rPr>
              <w:t>Rhone-Poulenc Jardin SA cash pool with Rhone-</w:t>
            </w:r>
          </w:p>
        </w:tc>
        <w:tc>
          <w:tcPr>
            <w:tcW w:w="840" w:type="dxa"/>
            <w:vAlign w:val="bottom"/>
          </w:tcPr>
          <w:p>
            <w:pPr>
              <w:spacing w:after="0"/>
              <w:rPr>
                <w:sz w:val="16"/>
                <w:szCs w:val="16"/>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Poulenc Agro SA, credit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94,808</w:t>
            </w:r>
          </w:p>
        </w:tc>
      </w:tr>
      <w:tr>
        <w:trPr>
          <w:trHeight w:val="191"/>
        </w:trPr>
        <w:tc>
          <w:tcPr>
            <w:tcW w:w="462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cash pool</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47,381</w:t>
            </w:r>
          </w:p>
        </w:tc>
      </w:tr>
      <w:tr>
        <w:trPr>
          <w:trHeight w:val="191"/>
        </w:trPr>
        <w:tc>
          <w:tcPr>
            <w:tcW w:w="462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Details of the cash pooling agreements are as follows:</w:t>
      </w:r>
    </w:p>
    <w:p>
      <w:pPr>
        <w:spacing w:after="0" w:line="196" w:lineRule="exact"/>
        <w:rPr>
          <w:sz w:val="20"/>
          <w:szCs w:val="20"/>
          <w:color w:val="auto"/>
        </w:rPr>
      </w:pPr>
    </w:p>
    <w:p>
      <w:pPr>
        <w:ind w:left="500" w:right="2259" w:hanging="498"/>
        <w:spacing w:after="0" w:line="237" w:lineRule="auto"/>
        <w:tabs>
          <w:tab w:leader="none" w:pos="202"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-Celaflor GmbH has a cash pooling agreement with Rhone-Poulenc Deutschland GmbH whereby Celaflor GmbH will advance funds to Rhone-Poulenc Deutschland GmbH as necessary up to the amount available at Celaflor GmbH. Interest accrues on the outstanding balance at the average monthly FIBOR rate (3.45% at December 31, 1997). Interest income related to these funds was FF 3,296 thousand for the year ended December 31, 1997.</w:t>
      </w:r>
    </w:p>
    <w:p>
      <w:pPr>
        <w:spacing w:after="0" w:line="197" w:lineRule="exact"/>
        <w:rPr>
          <w:rFonts w:ascii="Courier New" w:cs="Courier New" w:eastAsia="Courier New" w:hAnsi="Courier New"/>
          <w:sz w:val="17"/>
          <w:szCs w:val="17"/>
          <w:color w:val="auto"/>
        </w:rPr>
      </w:pPr>
    </w:p>
    <w:p>
      <w:pPr>
        <w:ind w:left="500" w:right="2259" w:hanging="498"/>
        <w:spacing w:after="0" w:line="237" w:lineRule="auto"/>
        <w:tabs>
          <w:tab w:leader="none" w:pos="202"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-Rhone-Poulenc Jardin SA has a cash pooling agreement with Rhone-Poulenc Agro SA whereby Rhone-Poulenc Agro SA will advance funds to Rhone-Poulenc Jardin SA as necessary up to the amount available at Rhone-Poulenc Agro SA. Interest accrues on the outstanding balance at the TJJ daily rate + 0.1% (3.475% at December 31, 1997). Interest expense related to these funds was FF 7,654 thousand for the year ended December 31, 1997.</w:t>
      </w:r>
    </w:p>
    <w:p>
      <w:pPr>
        <w:spacing w:after="0" w:line="191" w:lineRule="exact"/>
        <w:rPr>
          <w:sz w:val="20"/>
          <w:szCs w:val="20"/>
          <w:color w:val="auto"/>
        </w:rPr>
      </w:pPr>
    </w:p>
    <w:p>
      <w:pPr>
        <w:ind w:left="600" w:hanging="598"/>
        <w:spacing w:after="0"/>
        <w:tabs>
          <w:tab w:leader="none" w:pos="6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TRADE ACCOUNTS RECEIVABLE, NET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Trade accounts receivable, net consist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80"/>
        <w:spacing w:after="0"/>
        <w:rPr>
          <w:sz w:val="20"/>
          <w:szCs w:val="20"/>
          <w:color w:val="auto"/>
        </w:rPr>
      </w:pPr>
      <w:r>
        <w:rPr>
          <w:rFonts w:ascii="Courier New" w:cs="Courier New" w:eastAsia="Courier New" w:hAnsi="Courier New"/>
          <w:sz w:val="17"/>
          <w:szCs w:val="17"/>
          <w:color w:val="auto"/>
        </w:rPr>
        <w:t>December 31,</w:t>
      </w:r>
    </w:p>
    <w:p>
      <w:pPr>
        <w:ind w:left="5960"/>
        <w:spacing w:after="0" w:line="238" w:lineRule="auto"/>
        <w:rPr>
          <w:sz w:val="20"/>
          <w:szCs w:val="20"/>
          <w:color w:val="auto"/>
        </w:rPr>
      </w:pPr>
      <w:r>
        <w:rPr>
          <w:rFonts w:ascii="Courier New" w:cs="Courier New" w:eastAsia="Courier New" w:hAnsi="Courier New"/>
          <w:sz w:val="17"/>
          <w:szCs w:val="17"/>
          <w:color w:val="auto"/>
        </w:rPr>
        <w:t>1997</w:t>
      </w:r>
    </w:p>
    <w:p>
      <w:pPr>
        <w:ind w:left="5680"/>
        <w:spacing w:after="0" w:line="238" w:lineRule="auto"/>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01" w:right="1440" w:bottom="0" w:gutter="0" w:footer="0" w:header="0"/>
        </w:sectPr>
      </w:pP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Trade accounts receivable</w:t>
      </w:r>
    </w:p>
    <w:p>
      <w:pPr>
        <w:ind w:left="1100"/>
        <w:spacing w:after="0"/>
        <w:tabs>
          <w:tab w:leader="none" w:pos="1780" w:val="left"/>
        </w:tabs>
        <w:rPr>
          <w:sz w:val="20"/>
          <w:szCs w:val="20"/>
          <w:color w:val="auto"/>
        </w:rPr>
      </w:pPr>
      <w:r>
        <w:rPr>
          <w:rFonts w:ascii="Courier New" w:cs="Courier New" w:eastAsia="Courier New" w:hAnsi="Courier New"/>
          <w:sz w:val="17"/>
          <w:szCs w:val="17"/>
          <w:color w:val="auto"/>
        </w:rPr>
        <w:t>Less:</w:t>
      </w:r>
      <w:r>
        <w:rPr>
          <w:sz w:val="20"/>
          <w:szCs w:val="20"/>
          <w:color w:val="auto"/>
        </w:rPr>
        <w:tab/>
      </w:r>
      <w:r>
        <w:rPr>
          <w:rFonts w:ascii="Courier New" w:cs="Courier New" w:eastAsia="Courier New" w:hAnsi="Courier New"/>
          <w:sz w:val="16"/>
          <w:szCs w:val="16"/>
          <w:color w:val="auto"/>
        </w:rPr>
        <w:t>Allowance for doubtful accounts</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Trade accounts receivable, net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right"/>
        <w:ind w:right="3659"/>
        <w:spacing w:after="0"/>
        <w:rPr>
          <w:sz w:val="20"/>
          <w:szCs w:val="20"/>
          <w:color w:val="auto"/>
        </w:rPr>
      </w:pPr>
      <w:r>
        <w:rPr>
          <w:rFonts w:ascii="Courier New" w:cs="Courier New" w:eastAsia="Courier New" w:hAnsi="Courier New"/>
          <w:sz w:val="16"/>
          <w:szCs w:val="16"/>
          <w:color w:val="auto"/>
        </w:rPr>
        <w:t>43,313</w:t>
      </w:r>
    </w:p>
    <w:p>
      <w:pPr>
        <w:spacing w:after="0" w:line="3" w:lineRule="exact"/>
        <w:rPr>
          <w:sz w:val="20"/>
          <w:szCs w:val="20"/>
          <w:color w:val="auto"/>
        </w:rPr>
      </w:pPr>
    </w:p>
    <w:p>
      <w:pPr>
        <w:jc w:val="right"/>
        <w:ind w:right="3659"/>
        <w:spacing w:after="0"/>
        <w:rPr>
          <w:sz w:val="20"/>
          <w:szCs w:val="20"/>
          <w:color w:val="auto"/>
        </w:rPr>
      </w:pPr>
      <w:r>
        <w:rPr>
          <w:rFonts w:ascii="Courier New" w:cs="Courier New" w:eastAsia="Courier New" w:hAnsi="Courier New"/>
          <w:sz w:val="17"/>
          <w:szCs w:val="17"/>
          <w:color w:val="auto"/>
        </w:rPr>
        <w:t>9,153</w:t>
      </w:r>
    </w:p>
    <w:p>
      <w:pPr>
        <w:spacing w:after="0" w:line="5" w:lineRule="exact"/>
        <w:rPr>
          <w:sz w:val="20"/>
          <w:szCs w:val="20"/>
          <w:color w:val="auto"/>
        </w:rPr>
      </w:pPr>
    </w:p>
    <w:p>
      <w:pPr>
        <w:jc w:val="right"/>
        <w:ind w:right="3659"/>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jc w:val="right"/>
        <w:ind w:right="3659"/>
        <w:spacing w:after="0"/>
        <w:rPr>
          <w:sz w:val="20"/>
          <w:szCs w:val="20"/>
          <w:color w:val="auto"/>
        </w:rPr>
      </w:pPr>
      <w:r>
        <w:rPr>
          <w:rFonts w:ascii="Courier New" w:cs="Courier New" w:eastAsia="Courier New" w:hAnsi="Courier New"/>
          <w:sz w:val="16"/>
          <w:szCs w:val="16"/>
          <w:color w:val="auto"/>
        </w:rPr>
        <w:t>34,160</w:t>
      </w:r>
    </w:p>
    <w:p>
      <w:pPr>
        <w:spacing w:after="0" w:line="10" w:lineRule="exact"/>
        <w:rPr>
          <w:sz w:val="20"/>
          <w:szCs w:val="20"/>
          <w:color w:val="auto"/>
        </w:rPr>
      </w:pPr>
    </w:p>
    <w:p>
      <w:pPr>
        <w:jc w:val="right"/>
        <w:ind w:right="365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240" w:space="720"/>
            <w:col w:w="4259"/>
          </w:cols>
          <w:pgMar w:left="240" w:top="301" w:right="1440" w:bottom="0" w:gutter="0" w:footer="0" w:header="0"/>
          <w:type w:val="continuous"/>
        </w:sectPr>
      </w:pPr>
    </w:p>
    <w:p>
      <w:pPr>
        <w:spacing w:after="0" w:line="18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4.</w:t>
      </w:r>
      <w:r>
        <w:rPr>
          <w:sz w:val="20"/>
          <w:szCs w:val="20"/>
          <w:color w:val="auto"/>
        </w:rPr>
        <w:tab/>
      </w:r>
      <w:r>
        <w:rPr>
          <w:rFonts w:ascii="Courier New" w:cs="Courier New" w:eastAsia="Courier New" w:hAnsi="Courier New"/>
          <w:sz w:val="17"/>
          <w:szCs w:val="17"/>
          <w:color w:val="auto"/>
        </w:rPr>
        <w:t>INVENTORIES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consist of the following components:</w:t>
      </w:r>
    </w:p>
    <w:p>
      <w:pPr>
        <w:sectPr>
          <w:pgSz w:w="11900" w:h="16838" w:orient="portrait"/>
          <w:cols w:equalWidth="0" w:num="1">
            <w:col w:w="10219"/>
          </w:cols>
          <w:pgMar w:left="240" w:top="30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3080" w:type="dxa"/>
            <w:vAlign w:val="bottom"/>
          </w:tcPr>
          <w:p>
            <w:pPr>
              <w:spacing w:after="0"/>
              <w:rPr>
                <w:sz w:val="16"/>
                <w:szCs w:val="16"/>
                <w:color w:val="auto"/>
              </w:rPr>
            </w:pPr>
          </w:p>
        </w:tc>
        <w:tc>
          <w:tcPr>
            <w:tcW w:w="304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December 31,</w:t>
            </w:r>
          </w:p>
        </w:tc>
        <w:tc>
          <w:tcPr>
            <w:tcW w:w="1640" w:type="dxa"/>
            <w:vAlign w:val="bottom"/>
          </w:tcPr>
          <w:p>
            <w:pPr>
              <w:jc w:val="center"/>
              <w:ind w:left="257"/>
              <w:spacing w:after="0"/>
              <w:rPr>
                <w:sz w:val="20"/>
                <w:szCs w:val="20"/>
                <w:color w:val="auto"/>
              </w:rPr>
            </w:pPr>
            <w:r>
              <w:rPr>
                <w:rFonts w:ascii="Courier New" w:cs="Courier New" w:eastAsia="Courier New" w:hAnsi="Courier New"/>
                <w:sz w:val="17"/>
                <w:szCs w:val="17"/>
                <w:color w:val="auto"/>
                <w:w w:val="98"/>
              </w:rPr>
              <w:t>September 31,</w:t>
            </w:r>
          </w:p>
        </w:tc>
      </w:tr>
      <w:tr>
        <w:trPr>
          <w:trHeight w:val="191"/>
        </w:trPr>
        <w:tc>
          <w:tcPr>
            <w:tcW w:w="3080" w:type="dxa"/>
            <w:vAlign w:val="bottom"/>
          </w:tcPr>
          <w:p>
            <w:pPr>
              <w:spacing w:after="0"/>
              <w:rPr>
                <w:sz w:val="16"/>
                <w:szCs w:val="16"/>
                <w:color w:val="auto"/>
              </w:rPr>
            </w:pPr>
          </w:p>
        </w:tc>
        <w:tc>
          <w:tcPr>
            <w:tcW w:w="30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1997</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3080" w:type="dxa"/>
            <w:vAlign w:val="bottom"/>
          </w:tcPr>
          <w:p>
            <w:pPr>
              <w:spacing w:after="0"/>
              <w:rPr>
                <w:sz w:val="16"/>
                <w:szCs w:val="16"/>
                <w:color w:val="auto"/>
              </w:rPr>
            </w:pPr>
          </w:p>
        </w:tc>
        <w:tc>
          <w:tcPr>
            <w:tcW w:w="30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30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(unaudited)</w:t>
            </w:r>
          </w:p>
        </w:tc>
      </w:tr>
      <w:tr>
        <w:trPr>
          <w:trHeight w:val="382"/>
        </w:trPr>
        <w:tc>
          <w:tcPr>
            <w:tcW w:w="308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3040" w:type="dxa"/>
            <w:vAlign w:val="bottom"/>
          </w:tcPr>
          <w:p>
            <w:pPr>
              <w:jc w:val="right"/>
              <w:ind w:right="577"/>
              <w:spacing w:after="0"/>
              <w:rPr>
                <w:sz w:val="20"/>
                <w:szCs w:val="20"/>
                <w:color w:val="auto"/>
              </w:rPr>
            </w:pPr>
            <w:r>
              <w:rPr>
                <w:rFonts w:ascii="Courier New" w:cs="Courier New" w:eastAsia="Courier New" w:hAnsi="Courier New"/>
                <w:sz w:val="17"/>
                <w:szCs w:val="17"/>
                <w:color w:val="auto"/>
              </w:rPr>
              <w:t>46,488</w:t>
            </w:r>
          </w:p>
        </w:tc>
        <w:tc>
          <w:tcPr>
            <w:tcW w:w="16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51,922</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Work in progress</w:t>
            </w:r>
          </w:p>
        </w:tc>
        <w:tc>
          <w:tcPr>
            <w:tcW w:w="30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12,821</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6,691</w:t>
            </w:r>
          </w:p>
        </w:tc>
      </w:tr>
      <w:tr>
        <w:trPr>
          <w:trHeight w:val="191"/>
        </w:trPr>
        <w:tc>
          <w:tcPr>
            <w:tcW w:w="3080" w:type="dxa"/>
            <w:vAlign w:val="bottom"/>
          </w:tcPr>
          <w:p>
            <w:pPr>
              <w:spacing w:after="0" w:line="191" w:lineRule="exact"/>
              <w:rPr>
                <w:sz w:val="20"/>
                <w:szCs w:val="20"/>
                <w:color w:val="auto"/>
              </w:rPr>
            </w:pPr>
            <w:r>
              <w:rPr>
                <w:rFonts w:ascii="Courier New" w:cs="Courier New" w:eastAsia="Courier New" w:hAnsi="Courier New"/>
                <w:sz w:val="17"/>
                <w:szCs w:val="17"/>
                <w:color w:val="auto"/>
              </w:rPr>
              <w:t>Finished goods</w:t>
            </w:r>
          </w:p>
        </w:tc>
        <w:tc>
          <w:tcPr>
            <w:tcW w:w="30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127,505</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113,591</w:t>
            </w:r>
          </w:p>
        </w:tc>
      </w:tr>
      <w:tr>
        <w:trPr>
          <w:trHeight w:val="191"/>
        </w:trPr>
        <w:tc>
          <w:tcPr>
            <w:tcW w:w="3080" w:type="dxa"/>
            <w:vAlign w:val="bottom"/>
          </w:tcPr>
          <w:p>
            <w:pPr>
              <w:spacing w:after="0"/>
              <w:rPr>
                <w:sz w:val="16"/>
                <w:szCs w:val="16"/>
                <w:color w:val="auto"/>
              </w:rPr>
            </w:pPr>
          </w:p>
        </w:tc>
        <w:tc>
          <w:tcPr>
            <w:tcW w:w="30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301" w:right="1440"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35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186,814</w:t>
            </w:r>
          </w:p>
        </w:tc>
        <w:tc>
          <w:tcPr>
            <w:tcW w:w="14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172,204</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Provisions</w:t>
            </w:r>
          </w:p>
        </w:tc>
        <w:tc>
          <w:tcPr>
            <w:tcW w:w="35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(7,152)</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(6,649)</w:t>
            </w:r>
          </w:p>
        </w:tc>
      </w:tr>
      <w:tr>
        <w:trPr>
          <w:trHeight w:val="191"/>
        </w:trPr>
        <w:tc>
          <w:tcPr>
            <w:tcW w:w="2580" w:type="dxa"/>
            <w:vAlign w:val="bottom"/>
          </w:tcPr>
          <w:p>
            <w:pPr>
              <w:spacing w:after="0"/>
              <w:rPr>
                <w:sz w:val="16"/>
                <w:szCs w:val="16"/>
                <w:color w:val="auto"/>
              </w:rPr>
            </w:pPr>
          </w:p>
        </w:tc>
        <w:tc>
          <w:tcPr>
            <w:tcW w:w="35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inventories, net</w:t>
            </w:r>
          </w:p>
        </w:tc>
        <w:tc>
          <w:tcPr>
            <w:tcW w:w="35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179,662</w:t>
            </w:r>
          </w:p>
        </w:tc>
        <w:tc>
          <w:tcPr>
            <w:tcW w:w="1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165,555</w:t>
            </w:r>
          </w:p>
        </w:tc>
      </w:tr>
      <w:tr>
        <w:trPr>
          <w:trHeight w:val="191"/>
        </w:trPr>
        <w:tc>
          <w:tcPr>
            <w:tcW w:w="2580" w:type="dxa"/>
            <w:vAlign w:val="bottom"/>
          </w:tcPr>
          <w:p>
            <w:pPr>
              <w:spacing w:after="0"/>
              <w:rPr>
                <w:sz w:val="16"/>
                <w:szCs w:val="16"/>
                <w:color w:val="auto"/>
              </w:rPr>
            </w:pPr>
          </w:p>
        </w:tc>
        <w:tc>
          <w:tcPr>
            <w:tcW w:w="35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2580" w:type="dxa"/>
            <w:vAlign w:val="bottom"/>
          </w:tcPr>
          <w:p>
            <w:pPr>
              <w:spacing w:after="0"/>
              <w:rPr>
                <w:sz w:val="24"/>
                <w:szCs w:val="24"/>
                <w:color w:val="auto"/>
              </w:rPr>
            </w:pPr>
          </w:p>
        </w:tc>
        <w:tc>
          <w:tcPr>
            <w:tcW w:w="3580" w:type="dxa"/>
            <w:vAlign w:val="bottom"/>
          </w:tcPr>
          <w:p>
            <w:pPr>
              <w:jc w:val="right"/>
              <w:ind w:right="3097"/>
              <w:spacing w:after="0"/>
              <w:rPr>
                <w:sz w:val="20"/>
                <w:szCs w:val="20"/>
                <w:color w:val="auto"/>
              </w:rPr>
            </w:pPr>
            <w:r>
              <w:rPr>
                <w:rFonts w:ascii="Courier New" w:cs="Courier New" w:eastAsia="Courier New" w:hAnsi="Courier New"/>
                <w:sz w:val="17"/>
                <w:szCs w:val="17"/>
                <w:color w:val="auto"/>
              </w:rPr>
              <w:t>13</w:t>
            </w:r>
          </w:p>
        </w:tc>
        <w:tc>
          <w:tcPr>
            <w:tcW w:w="1400" w:type="dxa"/>
            <w:vAlign w:val="bottom"/>
          </w:tcPr>
          <w:p>
            <w:pPr>
              <w:spacing w:after="0"/>
              <w:rPr>
                <w:sz w:val="24"/>
                <w:szCs w:val="24"/>
                <w:color w:val="auto"/>
              </w:rPr>
            </w:pPr>
          </w:p>
        </w:tc>
      </w:tr>
    </w:tbl>
    <w:p>
      <w:pPr>
        <w:sectPr>
          <w:pgSz w:w="11900" w:h="16838" w:orient="portrait"/>
          <w:cols w:equalWidth="0" w:num="1">
            <w:col w:w="9119"/>
          </w:cols>
          <w:pgMar w:left="1340" w:top="135"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372" w:lineRule="exact"/>
        <w:rPr>
          <w:sz w:val="20"/>
          <w:szCs w:val="20"/>
          <w:color w:val="auto"/>
        </w:rPr>
      </w:pPr>
    </w:p>
    <w:p>
      <w:pPr>
        <w:ind w:left="600" w:hanging="598"/>
        <w:spacing w:after="0"/>
        <w:tabs>
          <w:tab w:leader="none" w:pos="6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CURRENT ASSETS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current assets consist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1"/>
        </w:trPr>
        <w:tc>
          <w:tcPr>
            <w:tcW w:w="4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80" w:type="dxa"/>
            <w:vAlign w:val="bottom"/>
          </w:tcPr>
          <w:p>
            <w:pPr>
              <w:jc w:val="center"/>
              <w:ind w:left="17"/>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4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1997</w:t>
            </w:r>
          </w:p>
        </w:tc>
      </w:tr>
      <w:tr>
        <w:trPr>
          <w:trHeight w:val="383"/>
        </w:trPr>
        <w:tc>
          <w:tcPr>
            <w:tcW w:w="400" w:type="dxa"/>
            <w:vAlign w:val="bottom"/>
          </w:tcPr>
          <w:p>
            <w:pPr>
              <w:spacing w:after="0"/>
              <w:rPr>
                <w:sz w:val="24"/>
                <w:szCs w:val="24"/>
                <w:color w:val="auto"/>
              </w:rPr>
            </w:pPr>
          </w:p>
        </w:tc>
        <w:tc>
          <w:tcPr>
            <w:tcW w:w="5180" w:type="dxa"/>
            <w:vAlign w:val="bottom"/>
          </w:tcPr>
          <w:p>
            <w:pPr>
              <w:ind w:left="700"/>
              <w:spacing w:after="0"/>
              <w:rPr>
                <w:sz w:val="20"/>
                <w:szCs w:val="20"/>
                <w:color w:val="auto"/>
              </w:rPr>
            </w:pPr>
            <w:r>
              <w:rPr>
                <w:rFonts w:ascii="Courier New" w:cs="Courier New" w:eastAsia="Courier New" w:hAnsi="Courier New"/>
                <w:sz w:val="17"/>
                <w:szCs w:val="17"/>
                <w:color w:val="auto"/>
              </w:rPr>
              <w:t>Receivable from the state</w:t>
            </w:r>
          </w:p>
        </w:tc>
        <w:tc>
          <w:tcPr>
            <w:tcW w:w="12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27,482</w:t>
            </w:r>
          </w:p>
        </w:tc>
      </w:tr>
      <w:tr>
        <w:trPr>
          <w:trHeight w:val="191"/>
        </w:trPr>
        <w:tc>
          <w:tcPr>
            <w:tcW w:w="400" w:type="dxa"/>
            <w:vAlign w:val="bottom"/>
          </w:tcPr>
          <w:p>
            <w:pPr>
              <w:spacing w:after="0"/>
              <w:rPr>
                <w:sz w:val="16"/>
                <w:szCs w:val="16"/>
                <w:color w:val="auto"/>
              </w:rPr>
            </w:pPr>
          </w:p>
        </w:tc>
        <w:tc>
          <w:tcPr>
            <w:tcW w:w="51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Other</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11,064</w:t>
            </w:r>
          </w:p>
        </w:tc>
      </w:tr>
      <w:tr>
        <w:trPr>
          <w:trHeight w:val="191"/>
        </w:trPr>
        <w:tc>
          <w:tcPr>
            <w:tcW w:w="4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518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Total other current assets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38,546</w:t>
            </w:r>
          </w:p>
        </w:tc>
      </w:tr>
      <w:tr>
        <w:trPr>
          <w:trHeight w:val="191"/>
        </w:trPr>
        <w:tc>
          <w:tcPr>
            <w:tcW w:w="4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400" w:type="dxa"/>
            <w:vAlign w:val="bottom"/>
          </w:tcPr>
          <w:p>
            <w:pPr>
              <w:spacing w:after="0"/>
              <w:rPr>
                <w:sz w:val="20"/>
                <w:szCs w:val="20"/>
                <w:color w:val="auto"/>
              </w:rPr>
            </w:pPr>
            <w:r>
              <w:rPr>
                <w:rFonts w:ascii="Courier New" w:cs="Courier New" w:eastAsia="Courier New" w:hAnsi="Courier New"/>
                <w:sz w:val="17"/>
                <w:szCs w:val="17"/>
                <w:color w:val="auto"/>
              </w:rPr>
              <w:t>6.</w:t>
            </w:r>
          </w:p>
        </w:tc>
        <w:tc>
          <w:tcPr>
            <w:tcW w:w="5180" w:type="dxa"/>
            <w:vAlign w:val="bottom"/>
          </w:tcPr>
          <w:p>
            <w:pPr>
              <w:ind w:left="200"/>
              <w:spacing w:after="0"/>
              <w:rPr>
                <w:sz w:val="20"/>
                <w:szCs w:val="20"/>
                <w:color w:val="auto"/>
              </w:rPr>
            </w:pPr>
            <w:r>
              <w:rPr>
                <w:rFonts w:ascii="Courier New" w:cs="Courier New" w:eastAsia="Courier New" w:hAnsi="Courier New"/>
                <w:sz w:val="17"/>
                <w:szCs w:val="17"/>
                <w:color w:val="auto"/>
              </w:rPr>
              <w:t>PROPERTY, PLANT AND EQUIPMENT</w:t>
            </w:r>
          </w:p>
        </w:tc>
        <w:tc>
          <w:tcPr>
            <w:tcW w:w="1280" w:type="dxa"/>
            <w:vAlign w:val="bottom"/>
          </w:tcPr>
          <w:p>
            <w:pPr>
              <w:spacing w:after="0"/>
              <w:rPr>
                <w:sz w:val="24"/>
                <w:szCs w:val="24"/>
                <w:color w:val="auto"/>
              </w:rPr>
            </w:pPr>
          </w:p>
        </w:tc>
      </w:tr>
      <w:tr>
        <w:trPr>
          <w:trHeight w:val="383"/>
        </w:trPr>
        <w:tc>
          <w:tcPr>
            <w:tcW w:w="5580" w:type="dxa"/>
            <w:vAlign w:val="bottom"/>
            <w:gridSpan w:val="2"/>
          </w:tcPr>
          <w:p>
            <w:pPr>
              <w:spacing w:after="0"/>
              <w:rPr>
                <w:sz w:val="20"/>
                <w:szCs w:val="20"/>
                <w:color w:val="auto"/>
              </w:rPr>
            </w:pPr>
            <w:r>
              <w:rPr>
                <w:rFonts w:ascii="Courier New" w:cs="Courier New" w:eastAsia="Courier New" w:hAnsi="Courier New"/>
                <w:sz w:val="17"/>
                <w:szCs w:val="17"/>
                <w:color w:val="auto"/>
                <w:w w:val="99"/>
              </w:rPr>
              <w:t>Property, plant and equipment consist of the following:</w:t>
            </w:r>
          </w:p>
        </w:tc>
        <w:tc>
          <w:tcPr>
            <w:tcW w:w="1280" w:type="dxa"/>
            <w:vAlign w:val="bottom"/>
          </w:tcPr>
          <w:p>
            <w:pPr>
              <w:spacing w:after="0"/>
              <w:rPr>
                <w:sz w:val="24"/>
                <w:szCs w:val="24"/>
                <w:color w:val="auto"/>
              </w:rPr>
            </w:pPr>
          </w:p>
        </w:tc>
      </w:tr>
      <w:tr>
        <w:trPr>
          <w:trHeight w:val="765"/>
        </w:trPr>
        <w:tc>
          <w:tcPr>
            <w:tcW w:w="4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1"/>
        </w:trPr>
        <w:tc>
          <w:tcPr>
            <w:tcW w:w="4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1997</w:t>
            </w:r>
          </w:p>
        </w:tc>
      </w:tr>
      <w:tr>
        <w:trPr>
          <w:trHeight w:val="191"/>
        </w:trPr>
        <w:tc>
          <w:tcPr>
            <w:tcW w:w="4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80" w:type="dxa"/>
            <w:vAlign w:val="bottom"/>
          </w:tcPr>
          <w:p>
            <w:pPr>
              <w:jc w:val="center"/>
              <w:ind w:left="17"/>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2"/>
        </w:trPr>
        <w:tc>
          <w:tcPr>
            <w:tcW w:w="400" w:type="dxa"/>
            <w:vAlign w:val="bottom"/>
          </w:tcPr>
          <w:p>
            <w:pPr>
              <w:spacing w:after="0"/>
              <w:rPr>
                <w:sz w:val="24"/>
                <w:szCs w:val="24"/>
                <w:color w:val="auto"/>
              </w:rPr>
            </w:pPr>
          </w:p>
        </w:tc>
        <w:tc>
          <w:tcPr>
            <w:tcW w:w="5180" w:type="dxa"/>
            <w:vAlign w:val="bottom"/>
          </w:tcPr>
          <w:p>
            <w:pPr>
              <w:ind w:left="700"/>
              <w:spacing w:after="0"/>
              <w:rPr>
                <w:sz w:val="20"/>
                <w:szCs w:val="20"/>
                <w:color w:val="auto"/>
              </w:rPr>
            </w:pPr>
            <w:r>
              <w:rPr>
                <w:rFonts w:ascii="Courier New" w:cs="Courier New" w:eastAsia="Courier New" w:hAnsi="Courier New"/>
                <w:sz w:val="17"/>
                <w:szCs w:val="17"/>
                <w:color w:val="auto"/>
              </w:rPr>
              <w:t>Land</w:t>
            </w:r>
          </w:p>
        </w:tc>
        <w:tc>
          <w:tcPr>
            <w:tcW w:w="12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2,550</w:t>
            </w:r>
          </w:p>
        </w:tc>
      </w:tr>
      <w:tr>
        <w:trPr>
          <w:trHeight w:val="191"/>
        </w:trPr>
        <w:tc>
          <w:tcPr>
            <w:tcW w:w="400" w:type="dxa"/>
            <w:vAlign w:val="bottom"/>
          </w:tcPr>
          <w:p>
            <w:pPr>
              <w:spacing w:after="0"/>
              <w:rPr>
                <w:sz w:val="16"/>
                <w:szCs w:val="16"/>
                <w:color w:val="auto"/>
              </w:rPr>
            </w:pPr>
          </w:p>
        </w:tc>
        <w:tc>
          <w:tcPr>
            <w:tcW w:w="51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Buildings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28,420</w:t>
            </w:r>
          </w:p>
        </w:tc>
      </w:tr>
      <w:tr>
        <w:trPr>
          <w:trHeight w:val="191"/>
        </w:trPr>
        <w:tc>
          <w:tcPr>
            <w:tcW w:w="400" w:type="dxa"/>
            <w:vAlign w:val="bottom"/>
          </w:tcPr>
          <w:p>
            <w:pPr>
              <w:spacing w:after="0"/>
              <w:rPr>
                <w:sz w:val="16"/>
                <w:szCs w:val="16"/>
                <w:color w:val="auto"/>
              </w:rPr>
            </w:pPr>
          </w:p>
        </w:tc>
        <w:tc>
          <w:tcPr>
            <w:tcW w:w="51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Machinery and equipment</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43,377</w:t>
            </w:r>
          </w:p>
        </w:tc>
      </w:tr>
      <w:tr>
        <w:trPr>
          <w:trHeight w:val="191"/>
        </w:trPr>
        <w:tc>
          <w:tcPr>
            <w:tcW w:w="400" w:type="dxa"/>
            <w:vAlign w:val="bottom"/>
          </w:tcPr>
          <w:p>
            <w:pPr>
              <w:spacing w:after="0"/>
              <w:rPr>
                <w:sz w:val="16"/>
                <w:szCs w:val="16"/>
                <w:color w:val="auto"/>
              </w:rPr>
            </w:pPr>
          </w:p>
        </w:tc>
        <w:tc>
          <w:tcPr>
            <w:tcW w:w="51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Office furniture and equipment</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15,618</w:t>
            </w:r>
          </w:p>
        </w:tc>
      </w:tr>
      <w:tr>
        <w:trPr>
          <w:trHeight w:val="191"/>
        </w:trPr>
        <w:tc>
          <w:tcPr>
            <w:tcW w:w="400" w:type="dxa"/>
            <w:vAlign w:val="bottom"/>
          </w:tcPr>
          <w:p>
            <w:pPr>
              <w:spacing w:after="0"/>
              <w:rPr>
                <w:sz w:val="16"/>
                <w:szCs w:val="16"/>
                <w:color w:val="auto"/>
              </w:rPr>
            </w:pPr>
          </w:p>
        </w:tc>
        <w:tc>
          <w:tcPr>
            <w:tcW w:w="51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Construction in progress</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1,656</w:t>
            </w:r>
          </w:p>
        </w:tc>
      </w:tr>
      <w:tr>
        <w:trPr>
          <w:trHeight w:val="191"/>
        </w:trPr>
        <w:tc>
          <w:tcPr>
            <w:tcW w:w="4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91,621</w:t>
            </w:r>
          </w:p>
        </w:tc>
      </w:tr>
      <w:tr>
        <w:trPr>
          <w:trHeight w:val="191"/>
        </w:trPr>
        <w:tc>
          <w:tcPr>
            <w:tcW w:w="400" w:type="dxa"/>
            <w:vAlign w:val="bottom"/>
          </w:tcPr>
          <w:p>
            <w:pPr>
              <w:spacing w:after="0"/>
              <w:rPr>
                <w:sz w:val="16"/>
                <w:szCs w:val="16"/>
                <w:color w:val="auto"/>
              </w:rPr>
            </w:pPr>
          </w:p>
        </w:tc>
        <w:tc>
          <w:tcPr>
            <w:tcW w:w="51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Less:  Accumulated depreciation</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(64,811)</w:t>
            </w:r>
          </w:p>
        </w:tc>
      </w:tr>
      <w:tr>
        <w:trPr>
          <w:trHeight w:val="191"/>
        </w:trPr>
        <w:tc>
          <w:tcPr>
            <w:tcW w:w="4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0" w:type="dxa"/>
            <w:vAlign w:val="bottom"/>
          </w:tcPr>
          <w:p>
            <w:pPr>
              <w:spacing w:after="0"/>
              <w:rPr>
                <w:sz w:val="16"/>
                <w:szCs w:val="16"/>
                <w:color w:val="auto"/>
              </w:rPr>
            </w:pPr>
          </w:p>
        </w:tc>
        <w:tc>
          <w:tcPr>
            <w:tcW w:w="518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Total property, plant and equipment, net</w:t>
            </w: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26,810</w:t>
            </w:r>
          </w:p>
        </w:tc>
      </w:tr>
      <w:tr>
        <w:trPr>
          <w:trHeight w:val="191"/>
        </w:trPr>
        <w:tc>
          <w:tcPr>
            <w:tcW w:w="4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Depreciation expense was FF 7,587 thousand during the year ended December 31, 1997.</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01"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15</w:t>
      </w:r>
    </w:p>
    <w:p>
      <w:pPr>
        <w:spacing w:after="0" w:line="190" w:lineRule="exact"/>
        <w:rPr>
          <w:sz w:val="20"/>
          <w:szCs w:val="20"/>
          <w:color w:val="auto"/>
        </w:rPr>
      </w:pPr>
    </w:p>
    <w:p>
      <w:pPr>
        <w:ind w:left="600" w:hanging="598"/>
        <w:spacing w:after="0"/>
        <w:tabs>
          <w:tab w:leader="none" w:pos="6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INTANGIBLE ASSETS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Intangible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48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1"/>
        </w:trPr>
        <w:tc>
          <w:tcPr>
            <w:tcW w:w="4820" w:type="dxa"/>
            <w:vAlign w:val="bottom"/>
          </w:tcPr>
          <w:p>
            <w:pPr>
              <w:spacing w:after="0"/>
              <w:rPr>
                <w:sz w:val="16"/>
                <w:szCs w:val="16"/>
                <w:color w:val="auto"/>
              </w:rPr>
            </w:pP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4820" w:type="dxa"/>
            <w:vAlign w:val="bottom"/>
          </w:tcPr>
          <w:p>
            <w:pPr>
              <w:spacing w:after="0"/>
              <w:rPr>
                <w:sz w:val="16"/>
                <w:szCs w:val="16"/>
                <w:color w:val="auto"/>
              </w:rPr>
            </w:pP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Rhone-Poulenc Jardin (former SOVILO) goodwill</w:t>
            </w:r>
          </w:p>
        </w:tc>
        <w:tc>
          <w:tcPr>
            <w:tcW w:w="15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342,790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Celaflor GmbH pushed down goodwill</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205,510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goodwills</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2,949</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Software</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12,360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Patents, licenses and trademarks</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11,881</w:t>
            </w:r>
          </w:p>
        </w:tc>
      </w:tr>
      <w:tr>
        <w:trPr>
          <w:trHeight w:val="191"/>
        </w:trPr>
        <w:tc>
          <w:tcPr>
            <w:tcW w:w="482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575,490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Accumulated amortization</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(103,711)</w:t>
            </w:r>
          </w:p>
        </w:tc>
      </w:tr>
      <w:tr>
        <w:trPr>
          <w:trHeight w:val="191"/>
        </w:trPr>
        <w:tc>
          <w:tcPr>
            <w:tcW w:w="482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intangible assets, net</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471,779</w:t>
            </w:r>
          </w:p>
        </w:tc>
      </w:tr>
      <w:tr>
        <w:trPr>
          <w:trHeight w:val="191"/>
        </w:trPr>
        <w:tc>
          <w:tcPr>
            <w:tcW w:w="482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In 1991, Rhone-Poulenc Jardin SA acquired goodwill of FF 342,790 thousand in connection with the purchase of the Sovilo Company. Accumulated amortization was FF 63,000 thousand at December 31, 1997.</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1991, Celaflor GmbH was purchased by Rhone-Poulenc. The corresponding consolidation goodwill, amounting to FF 205,510 thousand, is pushed down in the Celaflor GmbH financial statements prepared for consolidation in accordance with US GAAP. Accumulated amortization was FF 34,250 thousand at December 31, 1997. Most of this goodwill amortization is deductible for tax purposes at the German level (useful life of 15 years for tax purposes).</w:t>
      </w:r>
    </w:p>
    <w:p>
      <w:pPr>
        <w:spacing w:after="0" w:line="191" w:lineRule="exact"/>
        <w:rPr>
          <w:sz w:val="20"/>
          <w:szCs w:val="20"/>
          <w:color w:val="auto"/>
        </w:rPr>
      </w:pPr>
    </w:p>
    <w:p>
      <w:pPr>
        <w:ind w:left="600" w:hanging="598"/>
        <w:spacing w:after="0"/>
        <w:tabs>
          <w:tab w:leader="none" w:pos="6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SHORT-TERM BORROWINGS</w:t>
      </w:r>
    </w:p>
    <w:p>
      <w:pPr>
        <w:spacing w:after="0" w:line="196"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Short-term borrowings consist of bank overdrafts and utilization of various lines of credit.</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Rhone-Poulenc Jardin SA's parent company has a cash pooling agreement with its financial institutions which allows the parent company and its subsidiaries to borrow up to FF 150,000 thousand. At December 31, 1997, Rhone-Poulenc Jardin SA had FF 12,075 thousand outstanding under this agreement. Interest accrues at TMP +0.4%.</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Celaflor GmbH has line of credit agreements with its financial institutions which allow Celaflor GmbH to borrow up to FF 10,037 thousand. At December 31, 1997, there were no borrowings under these agreements. Interest accrues at rates between 5.75% and 7.0%. At December 31, 1997, Celaflor GmbH had a bank overdraft of FF 616 thousand.</w:t>
      </w:r>
    </w:p>
    <w:p>
      <w:pPr>
        <w:spacing w:after="0" w:line="190" w:lineRule="exact"/>
        <w:rPr>
          <w:sz w:val="20"/>
          <w:szCs w:val="20"/>
          <w:color w:val="auto"/>
        </w:rPr>
      </w:pPr>
    </w:p>
    <w:p>
      <w:pPr>
        <w:ind w:left="600" w:hanging="598"/>
        <w:spacing w:after="0"/>
        <w:tabs>
          <w:tab w:leader="none" w:pos="6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CURRENT LIABILITIES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current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740" w:type="dxa"/>
            <w:vAlign w:val="bottom"/>
          </w:tcPr>
          <w:p>
            <w:pPr>
              <w:spacing w:after="0"/>
              <w:rPr>
                <w:sz w:val="20"/>
                <w:szCs w:val="20"/>
                <w:color w:val="auto"/>
              </w:rPr>
            </w:pPr>
            <w:r>
              <w:rPr>
                <w:rFonts w:ascii="Courier New" w:cs="Courier New" w:eastAsia="Courier New" w:hAnsi="Courier New"/>
                <w:sz w:val="17"/>
                <w:szCs w:val="17"/>
                <w:color w:val="auto"/>
              </w:rPr>
              <w:t>Accrued</w:t>
            </w:r>
          </w:p>
        </w:tc>
        <w:tc>
          <w:tcPr>
            <w:tcW w:w="3380" w:type="dxa"/>
            <w:vAlign w:val="bottom"/>
          </w:tcPr>
          <w:p>
            <w:pPr>
              <w:ind w:left="60"/>
              <w:spacing w:after="0"/>
              <w:rPr>
                <w:sz w:val="20"/>
                <w:szCs w:val="20"/>
                <w:color w:val="auto"/>
              </w:rPr>
            </w:pPr>
            <w:r>
              <w:rPr>
                <w:rFonts w:ascii="Courier New" w:cs="Courier New" w:eastAsia="Courier New" w:hAnsi="Courier New"/>
                <w:sz w:val="17"/>
                <w:szCs w:val="17"/>
                <w:color w:val="auto"/>
              </w:rPr>
              <w:t>salaries and benefits</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18,461</w:t>
            </w:r>
          </w:p>
        </w:tc>
      </w:tr>
      <w:tr>
        <w:trPr>
          <w:trHeight w:val="191"/>
        </w:trPr>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Amounts</w:t>
            </w:r>
          </w:p>
        </w:tc>
        <w:tc>
          <w:tcPr>
            <w:tcW w:w="33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payable to state</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15,406</w:t>
            </w:r>
          </w:p>
        </w:tc>
      </w:tr>
      <w:tr>
        <w:trPr>
          <w:trHeight w:val="191"/>
        </w:trPr>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3380" w:type="dxa"/>
            <w:vAlign w:val="bottom"/>
          </w:tcPr>
          <w:p>
            <w:pPr>
              <w:spacing w:after="0"/>
              <w:rPr>
                <w:sz w:val="16"/>
                <w:szCs w:val="16"/>
                <w:color w:val="auto"/>
              </w:rPr>
            </w:pP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21,118</w:t>
            </w:r>
          </w:p>
        </w:tc>
      </w:tr>
      <w:tr>
        <w:trPr>
          <w:trHeight w:val="191"/>
        </w:trPr>
        <w:tc>
          <w:tcPr>
            <w:tcW w:w="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w:t>
            </w:r>
          </w:p>
        </w:tc>
        <w:tc>
          <w:tcPr>
            <w:tcW w:w="33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intangible assets, net</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54,985</w:t>
            </w:r>
          </w:p>
        </w:tc>
      </w:tr>
      <w:tr>
        <w:trPr>
          <w:trHeight w:val="191"/>
        </w:trPr>
        <w:tc>
          <w:tcPr>
            <w:tcW w:w="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219"/>
          </w:cols>
          <w:pgMar w:left="240" w:top="301" w:right="1440" w:bottom="1440" w:gutter="0" w:footer="0" w:header="0"/>
        </w:sectPr>
      </w:pP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1" w:right="1440" w:bottom="1440"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line="372" w:lineRule="exact"/>
        <w:rPr>
          <w:sz w:val="20"/>
          <w:szCs w:val="20"/>
          <w:color w:val="auto"/>
        </w:rPr>
      </w:pPr>
    </w:p>
    <w:p>
      <w:pPr>
        <w:ind w:left="600" w:hanging="598"/>
        <w:spacing w:after="0"/>
        <w:tabs>
          <w:tab w:leader="none" w:pos="6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LEASES</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The Division leases certain office and research facilities, computer services and vehicles under operating leases. Total rental expense for the year ended December 31, 1997 was approximately FF 3,023 thousand. Future minimum lease payments are as follows: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348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1"/>
        </w:trPr>
        <w:tc>
          <w:tcPr>
            <w:tcW w:w="2680" w:type="dxa"/>
            <w:vAlign w:val="bottom"/>
          </w:tcPr>
          <w:p>
            <w:pPr>
              <w:spacing w:after="0"/>
              <w:rPr>
                <w:sz w:val="16"/>
                <w:szCs w:val="16"/>
                <w:color w:val="auto"/>
              </w:rPr>
            </w:pPr>
          </w:p>
        </w:tc>
        <w:tc>
          <w:tcPr>
            <w:tcW w:w="3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2680" w:type="dxa"/>
            <w:vAlign w:val="bottom"/>
          </w:tcPr>
          <w:p>
            <w:pPr>
              <w:spacing w:after="0"/>
              <w:rPr>
                <w:sz w:val="16"/>
                <w:szCs w:val="16"/>
                <w:color w:val="auto"/>
              </w:rPr>
            </w:pPr>
          </w:p>
        </w:tc>
        <w:tc>
          <w:tcPr>
            <w:tcW w:w="3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2680" w:type="dxa"/>
            <w:vAlign w:val="bottom"/>
          </w:tcPr>
          <w:p>
            <w:pPr>
              <w:jc w:val="right"/>
              <w:ind w:right="2197"/>
              <w:spacing w:after="0"/>
              <w:rPr>
                <w:sz w:val="20"/>
                <w:szCs w:val="20"/>
                <w:color w:val="auto"/>
              </w:rPr>
            </w:pPr>
            <w:r>
              <w:rPr>
                <w:rFonts w:ascii="Courier New" w:cs="Courier New" w:eastAsia="Courier New" w:hAnsi="Courier New"/>
                <w:sz w:val="17"/>
                <w:szCs w:val="17"/>
                <w:color w:val="auto"/>
                <w:w w:val="93"/>
              </w:rPr>
              <w:t>1998</w:t>
            </w:r>
          </w:p>
        </w:tc>
        <w:tc>
          <w:tcPr>
            <w:tcW w:w="34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2,873</w:t>
            </w:r>
          </w:p>
        </w:tc>
      </w:tr>
      <w:tr>
        <w:trPr>
          <w:trHeight w:val="191"/>
        </w:trPr>
        <w:tc>
          <w:tcPr>
            <w:tcW w:w="2680" w:type="dxa"/>
            <w:vAlign w:val="bottom"/>
          </w:tcPr>
          <w:p>
            <w:pPr>
              <w:jc w:val="right"/>
              <w:ind w:right="2197"/>
              <w:spacing w:after="0" w:line="191" w:lineRule="exact"/>
              <w:rPr>
                <w:sz w:val="20"/>
                <w:szCs w:val="20"/>
                <w:color w:val="auto"/>
              </w:rPr>
            </w:pPr>
            <w:r>
              <w:rPr>
                <w:rFonts w:ascii="Courier New" w:cs="Courier New" w:eastAsia="Courier New" w:hAnsi="Courier New"/>
                <w:sz w:val="17"/>
                <w:szCs w:val="17"/>
                <w:color w:val="auto"/>
                <w:w w:val="93"/>
              </w:rPr>
              <w:t>1999</w:t>
            </w:r>
          </w:p>
        </w:tc>
        <w:tc>
          <w:tcPr>
            <w:tcW w:w="3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501</w:t>
            </w:r>
          </w:p>
        </w:tc>
      </w:tr>
      <w:tr>
        <w:trPr>
          <w:trHeight w:val="191"/>
        </w:trPr>
        <w:tc>
          <w:tcPr>
            <w:tcW w:w="2680" w:type="dxa"/>
            <w:vAlign w:val="bottom"/>
          </w:tcPr>
          <w:p>
            <w:pPr>
              <w:jc w:val="right"/>
              <w:ind w:right="2197"/>
              <w:spacing w:after="0" w:line="191" w:lineRule="exact"/>
              <w:rPr>
                <w:sz w:val="20"/>
                <w:szCs w:val="20"/>
                <w:color w:val="auto"/>
              </w:rPr>
            </w:pPr>
            <w:r>
              <w:rPr>
                <w:rFonts w:ascii="Courier New" w:cs="Courier New" w:eastAsia="Courier New" w:hAnsi="Courier New"/>
                <w:sz w:val="17"/>
                <w:szCs w:val="17"/>
                <w:color w:val="auto"/>
                <w:w w:val="93"/>
              </w:rPr>
              <w:t>2000</w:t>
            </w:r>
          </w:p>
        </w:tc>
        <w:tc>
          <w:tcPr>
            <w:tcW w:w="3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376</w:t>
            </w:r>
          </w:p>
        </w:tc>
      </w:tr>
      <w:tr>
        <w:trPr>
          <w:trHeight w:val="191"/>
        </w:trPr>
        <w:tc>
          <w:tcPr>
            <w:tcW w:w="2680" w:type="dxa"/>
            <w:vAlign w:val="bottom"/>
          </w:tcPr>
          <w:p>
            <w:pPr>
              <w:jc w:val="right"/>
              <w:ind w:right="2197"/>
              <w:spacing w:after="0" w:line="191" w:lineRule="exact"/>
              <w:rPr>
                <w:sz w:val="20"/>
                <w:szCs w:val="20"/>
                <w:color w:val="auto"/>
              </w:rPr>
            </w:pPr>
            <w:r>
              <w:rPr>
                <w:rFonts w:ascii="Courier New" w:cs="Courier New" w:eastAsia="Courier New" w:hAnsi="Courier New"/>
                <w:sz w:val="17"/>
                <w:szCs w:val="17"/>
                <w:color w:val="auto"/>
                <w:w w:val="93"/>
              </w:rPr>
              <w:t>2001</w:t>
            </w:r>
          </w:p>
        </w:tc>
        <w:tc>
          <w:tcPr>
            <w:tcW w:w="3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151</w:t>
            </w:r>
          </w:p>
        </w:tc>
      </w:tr>
      <w:tr>
        <w:trPr>
          <w:trHeight w:val="191"/>
        </w:trPr>
        <w:tc>
          <w:tcPr>
            <w:tcW w:w="2680" w:type="dxa"/>
            <w:vAlign w:val="bottom"/>
          </w:tcPr>
          <w:p>
            <w:pPr>
              <w:spacing w:after="0"/>
              <w:rPr>
                <w:sz w:val="16"/>
                <w:szCs w:val="16"/>
                <w:color w:val="auto"/>
              </w:rPr>
            </w:pPr>
          </w:p>
        </w:tc>
        <w:tc>
          <w:tcPr>
            <w:tcW w:w="3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80" w:type="dxa"/>
            <w:vAlign w:val="bottom"/>
          </w:tcPr>
          <w:p>
            <w:pPr>
              <w:spacing w:after="0"/>
              <w:rPr>
                <w:sz w:val="16"/>
                <w:szCs w:val="16"/>
                <w:color w:val="auto"/>
              </w:rPr>
            </w:pPr>
          </w:p>
        </w:tc>
        <w:tc>
          <w:tcPr>
            <w:tcW w:w="3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3,901</w:t>
            </w:r>
          </w:p>
        </w:tc>
      </w:tr>
      <w:tr>
        <w:trPr>
          <w:trHeight w:val="191"/>
        </w:trPr>
        <w:tc>
          <w:tcPr>
            <w:tcW w:w="2680" w:type="dxa"/>
            <w:vAlign w:val="bottom"/>
          </w:tcPr>
          <w:p>
            <w:pPr>
              <w:spacing w:after="0"/>
              <w:rPr>
                <w:sz w:val="16"/>
                <w:szCs w:val="16"/>
                <w:color w:val="auto"/>
              </w:rPr>
            </w:pPr>
          </w:p>
        </w:tc>
        <w:tc>
          <w:tcPr>
            <w:tcW w:w="3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ind w:left="600" w:hanging="598"/>
        <w:spacing w:after="0"/>
        <w:tabs>
          <w:tab w:leader="none" w:pos="6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The Division has a number of commitments and contingencies including operating leases as described in Note 10. In addition, Rhone-Poulenc Jardin SA has, from time to time, sold selected accounts receivable for which it retains a maximum 10% risk in relation to non-payment. Management believes that its allowance for doubtful accounts will be adequate to absorb the expense of any such liability.</w:t>
      </w:r>
    </w:p>
    <w:p>
      <w:pPr>
        <w:spacing w:after="0" w:line="188"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The Division is also involved in various lawsuits, claims and regulatory proceedings incidental to its business. Celaflor GmbH and Celaflor Handelsgesellschaft are currently involved in litigation related to a defective product. The product is an oil evaporator against insects which is manufactured by the supplier Perycut Chemie AG. It was discovered in 1997 that the evaporator is corroded by the oil and both the evaporator and the oil cannot be used after corrosion. No harm to the public or damage to the environment has occurred. An examination of the product has been conducted by a testing institute which concluded that the design and manufacture of the product were faulty. The companies are in the process of negotiating with Perycut Chemie AG in order to have them indemnify the companies for the evaporators held in inventory and for possible costs of products returned by the distributors. As of December 31, 1997, no provision has been recorded by the companies. It is the opinion of the Division's legal counsel and management that the ultimate resolution of the various lawsuits, claims and regulatory proceedings incidental to Rhone-Poulenc Jardin's business, including the specific litigation described above, will not have a material adverse effect on the Division's financial position, results of operations or cash flows.</w:t>
      </w:r>
    </w:p>
    <w:p>
      <w:pPr>
        <w:spacing w:after="0" w:line="188" w:lineRule="exact"/>
        <w:rPr>
          <w:sz w:val="20"/>
          <w:szCs w:val="20"/>
          <w:color w:val="auto"/>
        </w:rPr>
      </w:pPr>
    </w:p>
    <w:p>
      <w:pPr>
        <w:ind w:left="600" w:hanging="598"/>
        <w:spacing w:after="0"/>
        <w:tabs>
          <w:tab w:leader="none" w:pos="6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RESTRUCTURING</w:t>
      </w:r>
    </w:p>
    <w:p>
      <w:pPr>
        <w:spacing w:after="0" w:line="196"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The restructuring provision recorded in the nine months ended September 30, 1998 is mainly made up of termination costs for 15 salesmen of Rhone-Poulenc Jardin SA (FF 5,800 thousand) who are laid off as part of a reorganization plan of the salesforce. The remaining part of the restructuring provision corresponds to early retirement costs for three sales employees of Celaflor GmbH.</w:t>
      </w:r>
    </w:p>
    <w:p>
      <w:pPr>
        <w:spacing w:after="0" w:line="182"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7"/>
          <w:szCs w:val="17"/>
          <w:color w:val="auto"/>
        </w:rPr>
        <w:t>INTEREST EXPENSE, NET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3620" w:type="dxa"/>
            <w:vAlign w:val="bottom"/>
          </w:tcPr>
          <w:p>
            <w:pPr>
              <w:spacing w:after="0"/>
              <w:rPr>
                <w:sz w:val="16"/>
                <w:szCs w:val="16"/>
                <w:color w:val="auto"/>
              </w:rPr>
            </w:pPr>
          </w:p>
        </w:tc>
        <w:tc>
          <w:tcPr>
            <w:tcW w:w="2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Year ended</w:t>
            </w:r>
          </w:p>
        </w:tc>
      </w:tr>
      <w:tr>
        <w:trPr>
          <w:trHeight w:val="191"/>
        </w:trPr>
        <w:tc>
          <w:tcPr>
            <w:tcW w:w="3620" w:type="dxa"/>
            <w:vAlign w:val="bottom"/>
          </w:tcPr>
          <w:p>
            <w:pPr>
              <w:spacing w:after="0"/>
              <w:rPr>
                <w:sz w:val="16"/>
                <w:szCs w:val="16"/>
                <w:color w:val="auto"/>
              </w:rPr>
            </w:pPr>
          </w:p>
        </w:tc>
        <w:tc>
          <w:tcPr>
            <w:tcW w:w="2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December 31,</w:t>
            </w:r>
          </w:p>
        </w:tc>
      </w:tr>
      <w:tr>
        <w:trPr>
          <w:trHeight w:val="191"/>
        </w:trPr>
        <w:tc>
          <w:tcPr>
            <w:tcW w:w="3620" w:type="dxa"/>
            <w:vAlign w:val="bottom"/>
          </w:tcPr>
          <w:p>
            <w:pPr>
              <w:spacing w:after="0"/>
              <w:rPr>
                <w:sz w:val="16"/>
                <w:szCs w:val="16"/>
                <w:color w:val="auto"/>
              </w:rPr>
            </w:pPr>
          </w:p>
        </w:tc>
        <w:tc>
          <w:tcPr>
            <w:tcW w:w="2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3620" w:type="dxa"/>
            <w:vAlign w:val="bottom"/>
          </w:tcPr>
          <w:p>
            <w:pPr>
              <w:spacing w:after="0"/>
              <w:rPr>
                <w:sz w:val="16"/>
                <w:szCs w:val="16"/>
                <w:color w:val="auto"/>
              </w:rPr>
            </w:pPr>
          </w:p>
        </w:tc>
        <w:tc>
          <w:tcPr>
            <w:tcW w:w="2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62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25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(3,805)</w:t>
            </w:r>
          </w:p>
        </w:tc>
      </w:tr>
      <w:tr>
        <w:trPr>
          <w:trHeight w:val="191"/>
        </w:trPr>
        <w:tc>
          <w:tcPr>
            <w:tcW w:w="362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2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7,838</w:t>
            </w:r>
          </w:p>
        </w:tc>
      </w:tr>
      <w:tr>
        <w:trPr>
          <w:trHeight w:val="191"/>
        </w:trPr>
        <w:tc>
          <w:tcPr>
            <w:tcW w:w="3620" w:type="dxa"/>
            <w:vAlign w:val="bottom"/>
          </w:tcPr>
          <w:p>
            <w:pPr>
              <w:spacing w:after="0"/>
              <w:rPr>
                <w:sz w:val="16"/>
                <w:szCs w:val="16"/>
                <w:color w:val="auto"/>
              </w:rPr>
            </w:pPr>
          </w:p>
        </w:tc>
        <w:tc>
          <w:tcPr>
            <w:tcW w:w="2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Interest expense, net</w:t>
            </w:r>
          </w:p>
        </w:tc>
        <w:tc>
          <w:tcPr>
            <w:tcW w:w="2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4,033</w:t>
            </w:r>
          </w:p>
        </w:tc>
      </w:tr>
      <w:tr>
        <w:trPr>
          <w:trHeight w:val="191"/>
        </w:trPr>
        <w:tc>
          <w:tcPr>
            <w:tcW w:w="3620" w:type="dxa"/>
            <w:vAlign w:val="bottom"/>
          </w:tcPr>
          <w:p>
            <w:pPr>
              <w:spacing w:after="0"/>
              <w:rPr>
                <w:sz w:val="16"/>
                <w:szCs w:val="16"/>
                <w:color w:val="auto"/>
              </w:rPr>
            </w:pPr>
          </w:p>
        </w:tc>
        <w:tc>
          <w:tcPr>
            <w:tcW w:w="2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219"/>
          </w:cols>
          <w:pgMar w:left="240" w:top="301" w:right="1440" w:bottom="293" w:gutter="0" w:footer="0" w:header="0"/>
        </w:sectPr>
      </w:pPr>
    </w:p>
    <w:p>
      <w:pPr>
        <w:spacing w:after="0" w:line="200" w:lineRule="exact"/>
        <w:rPr>
          <w:sz w:val="20"/>
          <w:szCs w:val="20"/>
          <w:color w:val="auto"/>
        </w:rPr>
      </w:pPr>
    </w:p>
    <w:p>
      <w:pPr>
        <w:spacing w:after="0" w:line="37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1" w:right="1440" w:bottom="293"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spacing w:after="0" w:line="372" w:lineRule="exact"/>
        <w:rPr>
          <w:sz w:val="20"/>
          <w:szCs w:val="20"/>
          <w:color w:val="auto"/>
        </w:rPr>
      </w:pPr>
    </w:p>
    <w:p>
      <w:pPr>
        <w:ind w:left="600" w:hanging="598"/>
        <w:spacing w:after="0"/>
        <w:tabs>
          <w:tab w:leader="none" w:pos="6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2500"/>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jc w:val="center"/>
        <w:ind w:left="2500"/>
        <w:spacing w:after="0"/>
        <w:rPr>
          <w:sz w:val="20"/>
          <w:szCs w:val="20"/>
          <w:color w:val="auto"/>
        </w:rPr>
      </w:pPr>
      <w:r>
        <w:rPr>
          <w:rFonts w:ascii="Courier New" w:cs="Courier New" w:eastAsia="Courier New" w:hAnsi="Courier New"/>
          <w:sz w:val="16"/>
          <w:szCs w:val="16"/>
          <w:color w:val="auto"/>
        </w:rPr>
        <w:t>December 31,</w:t>
      </w:r>
    </w:p>
    <w:p>
      <w:pPr>
        <w:spacing w:after="0" w:line="3" w:lineRule="exact"/>
        <w:rPr>
          <w:sz w:val="20"/>
          <w:szCs w:val="20"/>
          <w:color w:val="auto"/>
        </w:rPr>
      </w:pPr>
    </w:p>
    <w:p>
      <w:pPr>
        <w:jc w:val="center"/>
        <w:ind w:left="2500"/>
        <w:spacing w:after="0"/>
        <w:rPr>
          <w:sz w:val="20"/>
          <w:szCs w:val="20"/>
          <w:color w:val="auto"/>
        </w:rPr>
      </w:pPr>
      <w:r>
        <w:rPr>
          <w:rFonts w:ascii="Courier New" w:cs="Courier New" w:eastAsia="Courier New" w:hAnsi="Courier New"/>
          <w:sz w:val="17"/>
          <w:szCs w:val="17"/>
          <w:color w:val="auto"/>
        </w:rPr>
        <w:t>1997</w:t>
      </w:r>
    </w:p>
    <w:p>
      <w:pPr>
        <w:spacing w:after="0" w:line="5" w:lineRule="exact"/>
        <w:rPr>
          <w:sz w:val="20"/>
          <w:szCs w:val="20"/>
          <w:color w:val="auto"/>
        </w:rPr>
      </w:pPr>
    </w:p>
    <w:p>
      <w:pPr>
        <w:jc w:val="center"/>
        <w:ind w:left="25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1" w:right="1440" w:bottom="1440" w:gutter="0" w:footer="0" w:header="0"/>
        </w:sectPr>
      </w:pPr>
    </w:p>
    <w:p>
      <w:pPr>
        <w:spacing w:after="0" w:line="195"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Current income tax provision</w:t>
      </w:r>
    </w:p>
    <w:p>
      <w:pPr>
        <w:spacing w:after="0" w:line="5"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Deferred income tax provision</w:t>
      </w:r>
    </w:p>
    <w:p>
      <w:pPr>
        <w:spacing w:after="0" w:line="195"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Total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2,074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26,516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28,590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840" w:space="720"/>
            <w:col w:w="3659"/>
          </w:cols>
          <w:pgMar w:left="240" w:top="301"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Deferred income taxes:</w:t>
      </w:r>
    </w:p>
    <w:p>
      <w:pPr>
        <w:spacing w:after="0" w:line="5"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Deferred income taxes reflect the impact of temporary differences between the amounts of assets and liabilities reported for financial reporting purposes and such amounts measured in accordance with tax laws.</w:t>
      </w:r>
    </w:p>
    <w:p>
      <w:pPr>
        <w:spacing w:after="0" w:line="197"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The tax effect of temporary differences which give rise to significant deferred tax assets (liabilities) is as follows: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5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6"/>
              </w:rPr>
              <w:t>December 31,</w:t>
            </w:r>
          </w:p>
        </w:tc>
      </w:tr>
      <w:tr>
        <w:trPr>
          <w:trHeight w:val="191"/>
        </w:trPr>
        <w:tc>
          <w:tcPr>
            <w:tcW w:w="516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1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5160" w:type="dxa"/>
            <w:vAlign w:val="bottom"/>
          </w:tcPr>
          <w:p>
            <w:pPr>
              <w:spacing w:after="0"/>
              <w:rPr>
                <w:sz w:val="20"/>
                <w:szCs w:val="20"/>
                <w:color w:val="auto"/>
              </w:rPr>
            </w:pPr>
            <w:r>
              <w:rPr>
                <w:rFonts w:ascii="Courier New" w:cs="Courier New" w:eastAsia="Courier New" w:hAnsi="Courier New"/>
                <w:sz w:val="17"/>
                <w:szCs w:val="17"/>
                <w:color w:val="auto"/>
              </w:rPr>
              <w:t>Net operating loss carryforwards</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22,174</w:t>
            </w:r>
          </w:p>
        </w:tc>
      </w:tr>
      <w:tr>
        <w:trPr>
          <w:trHeight w:val="191"/>
        </w:trPr>
        <w:tc>
          <w:tcPr>
            <w:tcW w:w="5160" w:type="dxa"/>
            <w:vAlign w:val="bottom"/>
          </w:tcPr>
          <w:p>
            <w:pPr>
              <w:spacing w:after="0" w:line="191" w:lineRule="exact"/>
              <w:rPr>
                <w:sz w:val="20"/>
                <w:szCs w:val="20"/>
                <w:color w:val="auto"/>
              </w:rPr>
            </w:pPr>
            <w:r>
              <w:rPr>
                <w:rFonts w:ascii="Courier New" w:cs="Courier New" w:eastAsia="Courier New" w:hAnsi="Courier New"/>
                <w:sz w:val="17"/>
                <w:szCs w:val="17"/>
                <w:color w:val="auto"/>
              </w:rPr>
              <w:t>Retirement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6,632</w:t>
            </w:r>
          </w:p>
        </w:tc>
      </w:tr>
      <w:tr>
        <w:trPr>
          <w:trHeight w:val="191"/>
        </w:trPr>
        <w:tc>
          <w:tcPr>
            <w:tcW w:w="5160" w:type="dxa"/>
            <w:vAlign w:val="bottom"/>
          </w:tcPr>
          <w:p>
            <w:pPr>
              <w:spacing w:after="0" w:line="191" w:lineRule="exact"/>
              <w:rPr>
                <w:sz w:val="20"/>
                <w:szCs w:val="20"/>
                <w:color w:val="auto"/>
              </w:rPr>
            </w:pPr>
            <w:r>
              <w:rPr>
                <w:rFonts w:ascii="Courier New" w:cs="Courier New" w:eastAsia="Courier New" w:hAnsi="Courier New"/>
                <w:sz w:val="17"/>
                <w:szCs w:val="17"/>
                <w:color w:val="auto"/>
              </w:rPr>
              <w:t>Compensated absences</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1,774</w:t>
            </w:r>
          </w:p>
        </w:tc>
      </w:tr>
      <w:tr>
        <w:trPr>
          <w:trHeight w:val="191"/>
        </w:trPr>
        <w:tc>
          <w:tcPr>
            <w:tcW w:w="516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Provisions not currently deductible for tax purposes</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1,688</w:t>
            </w:r>
          </w:p>
        </w:tc>
      </w:tr>
      <w:tr>
        <w:trPr>
          <w:trHeight w:val="191"/>
        </w:trPr>
        <w:tc>
          <w:tcPr>
            <w:tcW w:w="516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1,711</w:t>
            </w:r>
          </w:p>
        </w:tc>
      </w:tr>
      <w:tr>
        <w:trPr>
          <w:trHeight w:val="191"/>
        </w:trPr>
        <w:tc>
          <w:tcPr>
            <w:tcW w:w="516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deferred tax assets</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33,979</w:t>
            </w:r>
          </w:p>
        </w:tc>
      </w:tr>
      <w:tr>
        <w:trPr>
          <w:trHeight w:val="382"/>
        </w:trPr>
        <w:tc>
          <w:tcPr>
            <w:tcW w:w="5160" w:type="dxa"/>
            <w:vAlign w:val="bottom"/>
          </w:tcPr>
          <w:p>
            <w:pPr>
              <w:spacing w:after="0"/>
              <w:rPr>
                <w:sz w:val="20"/>
                <w:szCs w:val="20"/>
                <w:color w:val="auto"/>
              </w:rPr>
            </w:pPr>
            <w:r>
              <w:rPr>
                <w:rFonts w:ascii="Courier New" w:cs="Courier New" w:eastAsia="Courier New" w:hAnsi="Courier New"/>
                <w:sz w:val="17"/>
                <w:szCs w:val="17"/>
                <w:color w:val="auto"/>
              </w:rPr>
              <w:t>Celaflor GmbH pushed down goodwill depreciation</w:t>
            </w:r>
          </w:p>
        </w:tc>
        <w:tc>
          <w:tcPr>
            <w:tcW w:w="12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(52,016)</w:t>
            </w:r>
          </w:p>
        </w:tc>
      </w:tr>
      <w:tr>
        <w:trPr>
          <w:trHeight w:val="191"/>
        </w:trPr>
        <w:tc>
          <w:tcPr>
            <w:tcW w:w="516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(1,203)</w:t>
            </w:r>
          </w:p>
        </w:tc>
      </w:tr>
      <w:tr>
        <w:trPr>
          <w:trHeight w:val="191"/>
        </w:trPr>
        <w:tc>
          <w:tcPr>
            <w:tcW w:w="516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deferred tax liabilities</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(53,219)</w:t>
            </w:r>
          </w:p>
        </w:tc>
      </w:tr>
      <w:tr>
        <w:trPr>
          <w:trHeight w:val="191"/>
        </w:trPr>
        <w:tc>
          <w:tcPr>
            <w:tcW w:w="516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160" w:type="dxa"/>
            <w:vAlign w:val="bottom"/>
          </w:tcPr>
          <w:p>
            <w:pPr>
              <w:ind w:left="500"/>
              <w:spacing w:after="0"/>
              <w:rPr>
                <w:sz w:val="20"/>
                <w:szCs w:val="20"/>
                <w:color w:val="auto"/>
              </w:rPr>
            </w:pPr>
            <w:r>
              <w:rPr>
                <w:rFonts w:ascii="Courier New" w:cs="Courier New" w:eastAsia="Courier New" w:hAnsi="Courier New"/>
                <w:sz w:val="17"/>
                <w:szCs w:val="17"/>
                <w:color w:val="auto"/>
              </w:rPr>
              <w:t>Net deferred tax liability</w:t>
            </w:r>
          </w:p>
        </w:tc>
        <w:tc>
          <w:tcPr>
            <w:tcW w:w="12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(19,240)</w:t>
            </w:r>
          </w:p>
        </w:tc>
      </w:tr>
      <w:tr>
        <w:trPr>
          <w:trHeight w:val="191"/>
        </w:trPr>
        <w:tc>
          <w:tcPr>
            <w:tcW w:w="516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Net operating loss carryforwards of FF 60,420 thousand as of December 31, 1997 are available at Rhone-Poulenc Jardin SA. Realization of these assets is contingent on future taxable earnings. Tax loss carryforwards in the amount of</w:t>
      </w:r>
    </w:p>
    <w:p>
      <w:pPr>
        <w:spacing w:after="0" w:line="1" w:lineRule="exact"/>
        <w:rPr>
          <w:sz w:val="20"/>
          <w:szCs w:val="20"/>
          <w:color w:val="auto"/>
        </w:rPr>
      </w:pPr>
    </w:p>
    <w:p>
      <w:pPr>
        <w:ind w:right="2559" w:firstLine="2"/>
        <w:spacing w:after="0" w:line="235" w:lineRule="auto"/>
        <w:tabs>
          <w:tab w:leader="none" w:pos="2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10,497 thousand will expire in 1998 whereas FF 49,923 thousand do not have expiration dates.</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In accordance with SFAS 109, the Division has evaluated the recoverability of the deferred tax assets and determined there was no need to record a valuation allowance. Management believes that future revenues will provide sufficient future income to realize the deferred tax assets.</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01"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tax rate</w:t>
      </w:r>
    </w:p>
    <w:p>
      <w:pPr>
        <w:spacing w:after="0" w:line="5"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The difference between the Division's income tax expense and that which would be calculated using the statutory income tax rate of 41.66% on income is as follows: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4620" w:type="dxa"/>
            <w:vAlign w:val="bottom"/>
          </w:tcPr>
          <w:p>
            <w:pPr>
              <w:spacing w:after="0"/>
              <w:rPr>
                <w:sz w:val="20"/>
                <w:szCs w:val="20"/>
                <w:color w:val="auto"/>
              </w:rPr>
            </w:pPr>
            <w:r>
              <w:rPr>
                <w:rFonts w:ascii="Courier New" w:cs="Courier New" w:eastAsia="Courier New" w:hAnsi="Courier New"/>
                <w:sz w:val="17"/>
                <w:szCs w:val="17"/>
                <w:color w:val="auto"/>
              </w:rPr>
              <w:t>Tax at statutory rate</w:t>
            </w:r>
          </w:p>
        </w:tc>
        <w:tc>
          <w:tcPr>
            <w:tcW w:w="1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28,191</w:t>
            </w: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rPr>
              <w:t>Effect of tax rate differences</w:t>
            </w:r>
          </w:p>
        </w:tc>
        <w:tc>
          <w:tcPr>
            <w:tcW w:w="1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3,867</w:t>
            </w: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amortization not tax deductible</w:t>
            </w:r>
          </w:p>
        </w:tc>
        <w:tc>
          <w:tcPr>
            <w:tcW w:w="1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3,778</w:t>
            </w: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Changes in tax rates</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(1,972)</w:t>
            </w: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rPr>
              <w:t>Miscellaneous other</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(5,274)</w:t>
            </w:r>
          </w:p>
        </w:tc>
      </w:tr>
      <w:tr>
        <w:trPr>
          <w:trHeight w:val="191"/>
        </w:trPr>
        <w:tc>
          <w:tcPr>
            <w:tcW w:w="4620" w:type="dxa"/>
            <w:vAlign w:val="bottom"/>
          </w:tcPr>
          <w:p>
            <w:pPr>
              <w:spacing w:after="0"/>
              <w:rPr>
                <w:sz w:val="16"/>
                <w:szCs w:val="16"/>
                <w:color w:val="auto"/>
              </w:rPr>
            </w:pPr>
          </w:p>
        </w:tc>
        <w:tc>
          <w:tcPr>
            <w:tcW w:w="1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Effective tax</w:t>
            </w:r>
          </w:p>
        </w:tc>
        <w:tc>
          <w:tcPr>
            <w:tcW w:w="1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28,590</w:t>
            </w:r>
          </w:p>
        </w:tc>
      </w:tr>
      <w:tr>
        <w:trPr>
          <w:trHeight w:val="191"/>
        </w:trPr>
        <w:tc>
          <w:tcPr>
            <w:tcW w:w="4620" w:type="dxa"/>
            <w:vAlign w:val="bottom"/>
          </w:tcPr>
          <w:p>
            <w:pPr>
              <w:spacing w:after="0"/>
              <w:rPr>
                <w:sz w:val="16"/>
                <w:szCs w:val="16"/>
                <w:color w:val="auto"/>
              </w:rPr>
            </w:pPr>
          </w:p>
        </w:tc>
        <w:tc>
          <w:tcPr>
            <w:tcW w:w="1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ind w:left="600" w:hanging="598"/>
        <w:spacing w:after="0"/>
        <w:tabs>
          <w:tab w:leader="none" w:pos="6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In 1997, Celaflor GmbH declared and paid a cash dividend of FF 33,457 thousand to Rhone-Poulenc Agro Holding GmbH. In conjunction with this dividend, there was a withholding tax in the amount of FF 9,033 thousand.</w:t>
      </w:r>
    </w:p>
    <w:p>
      <w:pPr>
        <w:spacing w:after="0" w:line="197" w:lineRule="exact"/>
        <w:rPr>
          <w:sz w:val="20"/>
          <w:szCs w:val="20"/>
          <w:color w:val="auto"/>
        </w:rPr>
      </w:pPr>
    </w:p>
    <w:p>
      <w:pPr>
        <w:ind w:right="4739" w:firstLine="2"/>
        <w:spacing w:after="0" w:line="468" w:lineRule="auto"/>
        <w:tabs>
          <w:tab w:leader="none" w:pos="597"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DISCLOSURES OF CASH FLOW INFORMATION Interest and income taxes paid:</w:t>
      </w:r>
    </w:p>
    <w:p>
      <w:pPr>
        <w:spacing w:after="0" w:line="200" w:lineRule="exact"/>
        <w:rPr>
          <w:sz w:val="20"/>
          <w:szCs w:val="20"/>
          <w:color w:val="auto"/>
        </w:rPr>
      </w:pPr>
    </w:p>
    <w:p>
      <w:pPr>
        <w:spacing w:after="0" w:line="381"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23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40" w:type="dxa"/>
            <w:vAlign w:val="bottom"/>
          </w:tcPr>
          <w:p>
            <w:pPr>
              <w:jc w:val="center"/>
              <w:ind w:left="457"/>
              <w:spacing w:after="0"/>
              <w:rPr>
                <w:sz w:val="20"/>
                <w:szCs w:val="20"/>
                <w:color w:val="auto"/>
              </w:rPr>
            </w:pPr>
            <w:r>
              <w:rPr>
                <w:rFonts w:ascii="Courier New" w:cs="Courier New" w:eastAsia="Courier New" w:hAnsi="Courier New"/>
                <w:sz w:val="17"/>
                <w:szCs w:val="17"/>
                <w:color w:val="auto"/>
                <w:w w:val="98"/>
              </w:rPr>
              <w:t>Nine months ended</w:t>
            </w:r>
          </w:p>
        </w:tc>
      </w:tr>
      <w:tr>
        <w:trPr>
          <w:trHeight w:val="191"/>
        </w:trPr>
        <w:tc>
          <w:tcPr>
            <w:tcW w:w="2340" w:type="dxa"/>
            <w:vAlign w:val="bottom"/>
          </w:tcPr>
          <w:p>
            <w:pPr>
              <w:spacing w:after="0"/>
              <w:rPr>
                <w:sz w:val="16"/>
                <w:szCs w:val="16"/>
                <w:color w:val="auto"/>
              </w:rPr>
            </w:pPr>
          </w:p>
        </w:tc>
        <w:tc>
          <w:tcPr>
            <w:tcW w:w="2380" w:type="dxa"/>
            <w:vAlign w:val="bottom"/>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Year ended</w:t>
            </w:r>
          </w:p>
        </w:tc>
        <w:tc>
          <w:tcPr>
            <w:tcW w:w="2240" w:type="dxa"/>
            <w:vAlign w:val="bottom"/>
          </w:tcPr>
          <w:p>
            <w:pPr>
              <w:jc w:val="center"/>
              <w:ind w:left="457"/>
              <w:spacing w:after="0" w:line="191" w:lineRule="exact"/>
              <w:rPr>
                <w:sz w:val="20"/>
                <w:szCs w:val="20"/>
                <w:color w:val="auto"/>
              </w:rPr>
            </w:pPr>
            <w:r>
              <w:rPr>
                <w:rFonts w:ascii="Courier New" w:cs="Courier New" w:eastAsia="Courier New" w:hAnsi="Courier New"/>
                <w:sz w:val="17"/>
                <w:szCs w:val="17"/>
                <w:color w:val="auto"/>
                <w:w w:val="98"/>
              </w:rPr>
              <w:t>September 30,</w:t>
            </w:r>
          </w:p>
        </w:tc>
      </w:tr>
      <w:tr>
        <w:trPr>
          <w:trHeight w:val="191"/>
        </w:trPr>
        <w:tc>
          <w:tcPr>
            <w:tcW w:w="2340" w:type="dxa"/>
            <w:vAlign w:val="bottom"/>
          </w:tcPr>
          <w:p>
            <w:pPr>
              <w:spacing w:after="0"/>
              <w:rPr>
                <w:sz w:val="16"/>
                <w:szCs w:val="16"/>
                <w:color w:val="auto"/>
              </w:rPr>
            </w:pPr>
          </w:p>
        </w:tc>
        <w:tc>
          <w:tcPr>
            <w:tcW w:w="2380" w:type="dxa"/>
            <w:vAlign w:val="bottom"/>
          </w:tcPr>
          <w:p>
            <w:pPr>
              <w:jc w:val="center"/>
              <w:ind w:left="17"/>
              <w:spacing w:after="0" w:line="191" w:lineRule="exact"/>
              <w:rPr>
                <w:sz w:val="20"/>
                <w:szCs w:val="20"/>
                <w:color w:val="auto"/>
              </w:rPr>
            </w:pPr>
            <w:r>
              <w:rPr>
                <w:rFonts w:ascii="Courier New" w:cs="Courier New" w:eastAsia="Courier New" w:hAnsi="Courier New"/>
                <w:sz w:val="17"/>
                <w:szCs w:val="17"/>
                <w:color w:val="auto"/>
                <w:w w:val="98"/>
              </w:rPr>
              <w:t>December 31,</w:t>
            </w:r>
          </w:p>
        </w:tc>
        <w:tc>
          <w:tcPr>
            <w:tcW w:w="22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2340" w:type="dxa"/>
            <w:vAlign w:val="bottom"/>
          </w:tcPr>
          <w:p>
            <w:pPr>
              <w:spacing w:after="0"/>
              <w:rPr>
                <w:sz w:val="16"/>
                <w:szCs w:val="16"/>
                <w:color w:val="auto"/>
              </w:rPr>
            </w:pPr>
          </w:p>
        </w:tc>
        <w:tc>
          <w:tcPr>
            <w:tcW w:w="2380" w:type="dxa"/>
            <w:vAlign w:val="bottom"/>
          </w:tcPr>
          <w:p>
            <w:pPr>
              <w:ind w:left="1040"/>
              <w:spacing w:after="0" w:line="191" w:lineRule="exact"/>
              <w:rPr>
                <w:sz w:val="20"/>
                <w:szCs w:val="20"/>
                <w:color w:val="auto"/>
              </w:rPr>
            </w:pPr>
            <w:r>
              <w:rPr>
                <w:rFonts w:ascii="Courier New" w:cs="Courier New" w:eastAsia="Courier New" w:hAnsi="Courier New"/>
                <w:sz w:val="17"/>
                <w:szCs w:val="17"/>
                <w:color w:val="auto"/>
              </w:rPr>
              <w:t>1997</w:t>
            </w:r>
          </w:p>
        </w:tc>
        <w:tc>
          <w:tcPr>
            <w:tcW w:w="2240" w:type="dxa"/>
            <w:vAlign w:val="bottom"/>
          </w:tcPr>
          <w:p>
            <w:pPr>
              <w:jc w:val="center"/>
              <w:ind w:left="457"/>
              <w:spacing w:after="0" w:line="191" w:lineRule="exact"/>
              <w:rPr>
                <w:sz w:val="20"/>
                <w:szCs w:val="20"/>
                <w:color w:val="auto"/>
              </w:rPr>
            </w:pPr>
            <w:r>
              <w:rPr>
                <w:rFonts w:ascii="Courier New" w:cs="Courier New" w:eastAsia="Courier New" w:hAnsi="Courier New"/>
                <w:sz w:val="17"/>
                <w:szCs w:val="17"/>
                <w:color w:val="auto"/>
                <w:w w:val="97"/>
              </w:rPr>
              <w:t>(unaudited)</w:t>
            </w:r>
          </w:p>
        </w:tc>
      </w:tr>
      <w:tr>
        <w:trPr>
          <w:trHeight w:val="191"/>
        </w:trPr>
        <w:tc>
          <w:tcPr>
            <w:tcW w:w="2340" w:type="dxa"/>
            <w:vAlign w:val="bottom"/>
          </w:tcPr>
          <w:p>
            <w:pPr>
              <w:spacing w:after="0"/>
              <w:rPr>
                <w:sz w:val="16"/>
                <w:szCs w:val="16"/>
                <w:color w:val="auto"/>
              </w:rPr>
            </w:pPr>
          </w:p>
        </w:tc>
        <w:tc>
          <w:tcPr>
            <w:tcW w:w="2380" w:type="dxa"/>
            <w:vAlign w:val="bottom"/>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w:t>
            </w:r>
          </w:p>
        </w:tc>
        <w:tc>
          <w:tcPr>
            <w:tcW w:w="22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340" w:type="dxa"/>
            <w:vAlign w:val="bottom"/>
          </w:tcPr>
          <w:p>
            <w:pPr>
              <w:spacing w:after="0"/>
              <w:rPr>
                <w:sz w:val="20"/>
                <w:szCs w:val="20"/>
                <w:color w:val="auto"/>
              </w:rPr>
            </w:pPr>
            <w:r>
              <w:rPr>
                <w:rFonts w:ascii="Courier New" w:cs="Courier New" w:eastAsia="Courier New" w:hAnsi="Courier New"/>
                <w:sz w:val="17"/>
                <w:szCs w:val="17"/>
                <w:color w:val="auto"/>
              </w:rPr>
              <w:t>Interest paid</w:t>
            </w:r>
          </w:p>
        </w:tc>
        <w:tc>
          <w:tcPr>
            <w:tcW w:w="2380" w:type="dxa"/>
            <w:vAlign w:val="bottom"/>
          </w:tcPr>
          <w:p>
            <w:pPr>
              <w:ind w:left="1040"/>
              <w:spacing w:after="0"/>
              <w:rPr>
                <w:sz w:val="20"/>
                <w:szCs w:val="20"/>
                <w:color w:val="auto"/>
              </w:rPr>
            </w:pPr>
            <w:r>
              <w:rPr>
                <w:rFonts w:ascii="Courier New" w:cs="Courier New" w:eastAsia="Courier New" w:hAnsi="Courier New"/>
                <w:sz w:val="17"/>
                <w:szCs w:val="17"/>
                <w:color w:val="auto"/>
              </w:rPr>
              <w:t>7,762</w:t>
            </w:r>
          </w:p>
        </w:tc>
        <w:tc>
          <w:tcPr>
            <w:tcW w:w="22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4,475</w:t>
            </w:r>
          </w:p>
        </w:tc>
      </w:tr>
      <w:tr>
        <w:trPr>
          <w:trHeight w:val="191"/>
        </w:trPr>
        <w:tc>
          <w:tcPr>
            <w:tcW w:w="23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taxes paid</w:t>
            </w:r>
          </w:p>
        </w:tc>
        <w:tc>
          <w:tcPr>
            <w:tcW w:w="2380" w:type="dxa"/>
            <w:vAlign w:val="bottom"/>
          </w:tcPr>
          <w:p>
            <w:pPr>
              <w:ind w:left="1040"/>
              <w:spacing w:after="0" w:line="191" w:lineRule="exact"/>
              <w:rPr>
                <w:sz w:val="20"/>
                <w:szCs w:val="20"/>
                <w:color w:val="auto"/>
              </w:rPr>
            </w:pPr>
            <w:r>
              <w:rPr>
                <w:rFonts w:ascii="Courier New" w:cs="Courier New" w:eastAsia="Courier New" w:hAnsi="Courier New"/>
                <w:sz w:val="17"/>
                <w:szCs w:val="17"/>
                <w:color w:val="auto"/>
              </w:rPr>
              <w:t>1,867</w:t>
            </w:r>
          </w:p>
        </w:tc>
        <w:tc>
          <w:tcPr>
            <w:tcW w:w="22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1,470</w:t>
            </w:r>
          </w:p>
        </w:tc>
      </w:tr>
    </w:tbl>
    <w:p>
      <w:pPr>
        <w:spacing w:after="0" w:line="381" w:lineRule="exact"/>
        <w:rPr>
          <w:sz w:val="20"/>
          <w:szCs w:val="20"/>
          <w:color w:val="auto"/>
        </w:rPr>
      </w:pPr>
    </w:p>
    <w:p>
      <w:pPr>
        <w:ind w:left="600" w:hanging="598"/>
        <w:spacing w:after="0"/>
        <w:tabs>
          <w:tab w:leader="none" w:pos="6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BENEFIT PLAN</w:t>
      </w:r>
    </w:p>
    <w:p>
      <w:pPr>
        <w:spacing w:after="0" w:line="196" w:lineRule="exact"/>
        <w:rPr>
          <w:sz w:val="20"/>
          <w:szCs w:val="20"/>
          <w:color w:val="auto"/>
        </w:rPr>
      </w:pPr>
    </w:p>
    <w:p>
      <w:pPr>
        <w:ind w:right="2259"/>
        <w:spacing w:after="0" w:line="255" w:lineRule="auto"/>
        <w:rPr>
          <w:sz w:val="20"/>
          <w:szCs w:val="20"/>
          <w:color w:val="auto"/>
        </w:rPr>
      </w:pPr>
      <w:r>
        <w:rPr>
          <w:rFonts w:ascii="Courier New" w:cs="Courier New" w:eastAsia="Courier New" w:hAnsi="Courier New"/>
          <w:sz w:val="16"/>
          <w:szCs w:val="16"/>
          <w:color w:val="auto"/>
        </w:rPr>
        <w:t>The Division has pension plans which cover all of its employees. The plans are defined benefit plans and provide pension benefits for employees at their retirement. The following table sets forth the plans' funded status and amounts recognized in the Division's combined financial statements at December 31, 1997:</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60" w:type="dxa"/>
            <w:vAlign w:val="bottom"/>
          </w:tcPr>
          <w:p>
            <w:pPr>
              <w:ind w:left="1100"/>
              <w:spacing w:after="0"/>
              <w:rPr>
                <w:sz w:val="20"/>
                <w:szCs w:val="20"/>
                <w:color w:val="auto"/>
              </w:rPr>
            </w:pPr>
            <w:r>
              <w:rPr>
                <w:rFonts w:ascii="Courier New" w:cs="Courier New" w:eastAsia="Courier New" w:hAnsi="Courier New"/>
                <w:sz w:val="17"/>
                <w:szCs w:val="17"/>
                <w:color w:val="auto"/>
              </w:rPr>
              <w:t>Actuarial present value of benefit obligations:</w:t>
            </w:r>
          </w:p>
        </w:tc>
        <w:tc>
          <w:tcPr>
            <w:tcW w:w="1000" w:type="dxa"/>
            <w:vAlign w:val="bottom"/>
          </w:tcPr>
          <w:p>
            <w:pPr>
              <w:spacing w:after="0"/>
              <w:rPr>
                <w:sz w:val="16"/>
                <w:szCs w:val="16"/>
                <w:color w:val="auto"/>
              </w:rPr>
            </w:pPr>
          </w:p>
        </w:tc>
      </w:tr>
      <w:tr>
        <w:trPr>
          <w:trHeight w:val="191"/>
        </w:trPr>
        <w:tc>
          <w:tcPr>
            <w:tcW w:w="6660" w:type="dxa"/>
            <w:vAlign w:val="bottom"/>
          </w:tcPr>
          <w:p>
            <w:pPr>
              <w:ind w:left="1300"/>
              <w:spacing w:after="0" w:line="191" w:lineRule="exact"/>
              <w:rPr>
                <w:sz w:val="20"/>
                <w:szCs w:val="20"/>
                <w:color w:val="auto"/>
              </w:rPr>
            </w:pPr>
            <w:r>
              <w:rPr>
                <w:rFonts w:ascii="Courier New" w:cs="Courier New" w:eastAsia="Courier New" w:hAnsi="Courier New"/>
                <w:sz w:val="17"/>
                <w:szCs w:val="17"/>
                <w:color w:val="auto"/>
              </w:rPr>
              <w:t>Vested benefit obligation</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34,236</w:t>
            </w:r>
          </w:p>
        </w:tc>
      </w:tr>
      <w:tr>
        <w:trPr>
          <w:trHeight w:val="191"/>
        </w:trPr>
        <w:tc>
          <w:tcPr>
            <w:tcW w:w="666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660" w:type="dxa"/>
            <w:vAlign w:val="bottom"/>
          </w:tcPr>
          <w:p>
            <w:pPr>
              <w:ind w:left="1300"/>
              <w:spacing w:after="0" w:line="191" w:lineRule="exact"/>
              <w:rPr>
                <w:sz w:val="20"/>
                <w:szCs w:val="20"/>
                <w:color w:val="auto"/>
              </w:rPr>
            </w:pPr>
            <w:r>
              <w:rPr>
                <w:rFonts w:ascii="Courier New" w:cs="Courier New" w:eastAsia="Courier New" w:hAnsi="Courier New"/>
                <w:sz w:val="17"/>
                <w:szCs w:val="17"/>
                <w:color w:val="auto"/>
              </w:rPr>
              <w:t>Accumulated benefit obligation</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42,989</w:t>
            </w:r>
          </w:p>
        </w:tc>
      </w:tr>
      <w:tr>
        <w:trPr>
          <w:trHeight w:val="191"/>
        </w:trPr>
        <w:tc>
          <w:tcPr>
            <w:tcW w:w="666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660" w:type="dxa"/>
            <w:vAlign w:val="bottom"/>
          </w:tcPr>
          <w:p>
            <w:pPr>
              <w:ind w:left="1100"/>
              <w:spacing w:after="0"/>
              <w:rPr>
                <w:sz w:val="20"/>
                <w:szCs w:val="20"/>
                <w:color w:val="auto"/>
              </w:rPr>
            </w:pPr>
            <w:r>
              <w:rPr>
                <w:rFonts w:ascii="Courier New" w:cs="Courier New" w:eastAsia="Courier New" w:hAnsi="Courier New"/>
                <w:sz w:val="17"/>
                <w:szCs w:val="17"/>
                <w:color w:val="auto"/>
              </w:rPr>
              <w:t>Projected benefit obligation</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52,751</w:t>
            </w:r>
          </w:p>
        </w:tc>
      </w:tr>
      <w:tr>
        <w:trPr>
          <w:trHeight w:val="191"/>
        </w:trPr>
        <w:tc>
          <w:tcPr>
            <w:tcW w:w="666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Plan assets at fair value</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666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Projected benefit obligation in excess of plan assets</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52,751</w:t>
            </w:r>
          </w:p>
        </w:tc>
      </w:tr>
      <w:tr>
        <w:trPr>
          <w:trHeight w:val="191"/>
        </w:trPr>
        <w:tc>
          <w:tcPr>
            <w:tcW w:w="666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Unrecognized prior service costs</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(4,434)</w:t>
            </w:r>
          </w:p>
        </w:tc>
      </w:tr>
      <w:tr>
        <w:trPr>
          <w:trHeight w:val="191"/>
        </w:trPr>
        <w:tc>
          <w:tcPr>
            <w:tcW w:w="666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Unrecognized net gain</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3,588</w:t>
            </w:r>
          </w:p>
        </w:tc>
      </w:tr>
      <w:tr>
        <w:trPr>
          <w:trHeight w:val="191"/>
        </w:trPr>
        <w:tc>
          <w:tcPr>
            <w:tcW w:w="666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Adjustment required to recognize minimum liability</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w:t>
            </w:r>
          </w:p>
        </w:tc>
      </w:tr>
      <w:tr>
        <w:trPr>
          <w:trHeight w:val="191"/>
        </w:trPr>
        <w:tc>
          <w:tcPr>
            <w:tcW w:w="666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660" w:type="dxa"/>
            <w:vAlign w:val="bottom"/>
          </w:tcPr>
          <w:p>
            <w:pPr>
              <w:ind w:left="1300"/>
              <w:spacing w:after="0" w:line="191" w:lineRule="exact"/>
              <w:rPr>
                <w:sz w:val="20"/>
                <w:szCs w:val="20"/>
                <w:color w:val="auto"/>
              </w:rPr>
            </w:pPr>
            <w:r>
              <w:rPr>
                <w:rFonts w:ascii="Courier New" w:cs="Courier New" w:eastAsia="Courier New" w:hAnsi="Courier New"/>
                <w:sz w:val="17"/>
                <w:szCs w:val="17"/>
                <w:color w:val="auto"/>
              </w:rPr>
              <w:t>Accrued pension liability</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51,956</w:t>
            </w:r>
          </w:p>
        </w:tc>
      </w:tr>
      <w:tr>
        <w:trPr>
          <w:trHeight w:val="191"/>
        </w:trPr>
        <w:tc>
          <w:tcPr>
            <w:tcW w:w="666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660" w:type="dxa"/>
            <w:vAlign w:val="bottom"/>
          </w:tcPr>
          <w:p>
            <w:pPr>
              <w:spacing w:after="0"/>
              <w:rPr>
                <w:sz w:val="20"/>
                <w:szCs w:val="20"/>
                <w:color w:val="auto"/>
              </w:rPr>
            </w:pPr>
            <w:r>
              <w:rPr>
                <w:rFonts w:ascii="Courier New" w:cs="Courier New" w:eastAsia="Courier New" w:hAnsi="Courier New"/>
                <w:sz w:val="17"/>
                <w:szCs w:val="17"/>
                <w:color w:val="auto"/>
              </w:rPr>
              <w:t>Net pension cost for 1997 included the following components:</w:t>
            </w:r>
          </w:p>
        </w:tc>
        <w:tc>
          <w:tcPr>
            <w:tcW w:w="1000" w:type="dxa"/>
            <w:vAlign w:val="bottom"/>
          </w:tcPr>
          <w:p>
            <w:pPr>
              <w:spacing w:after="0"/>
              <w:rPr>
                <w:sz w:val="24"/>
                <w:szCs w:val="24"/>
                <w:color w:val="auto"/>
              </w:rPr>
            </w:pPr>
          </w:p>
        </w:tc>
      </w:tr>
      <w:tr>
        <w:trPr>
          <w:trHeight w:val="383"/>
        </w:trPr>
        <w:tc>
          <w:tcPr>
            <w:tcW w:w="6660" w:type="dxa"/>
            <w:vAlign w:val="bottom"/>
          </w:tcPr>
          <w:p>
            <w:pPr>
              <w:ind w:left="1100"/>
              <w:spacing w:after="0"/>
              <w:rPr>
                <w:sz w:val="20"/>
                <w:szCs w:val="20"/>
                <w:color w:val="auto"/>
              </w:rPr>
            </w:pPr>
            <w:r>
              <w:rPr>
                <w:rFonts w:ascii="Courier New" w:cs="Courier New" w:eastAsia="Courier New" w:hAnsi="Courier New"/>
                <w:sz w:val="17"/>
                <w:szCs w:val="17"/>
                <w:color w:val="auto"/>
              </w:rPr>
              <w:t>Service cost</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2,521</w:t>
            </w:r>
          </w:p>
        </w:tc>
      </w:tr>
      <w:tr>
        <w:trPr>
          <w:trHeight w:val="191"/>
        </w:trPr>
        <w:tc>
          <w:tcPr>
            <w:tcW w:w="666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Interest cost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3,600</w:t>
            </w:r>
          </w:p>
        </w:tc>
      </w:tr>
      <w:tr>
        <w:trPr>
          <w:trHeight w:val="191"/>
        </w:trPr>
        <w:tc>
          <w:tcPr>
            <w:tcW w:w="666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Amortization of unrecognized prior service cost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481</w:t>
            </w:r>
          </w:p>
        </w:tc>
      </w:tr>
      <w:tr>
        <w:trPr>
          <w:trHeight w:val="191"/>
        </w:trPr>
        <w:tc>
          <w:tcPr>
            <w:tcW w:w="666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Amortization of unrecognized net loss</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w:t>
            </w:r>
          </w:p>
        </w:tc>
      </w:tr>
      <w:tr>
        <w:trPr>
          <w:trHeight w:val="191"/>
        </w:trPr>
        <w:tc>
          <w:tcPr>
            <w:tcW w:w="666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66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Net periodic pension cost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6,655</w:t>
            </w:r>
          </w:p>
        </w:tc>
      </w:tr>
      <w:tr>
        <w:trPr>
          <w:trHeight w:val="191"/>
        </w:trPr>
        <w:tc>
          <w:tcPr>
            <w:tcW w:w="666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219"/>
          </w:cols>
          <w:pgMar w:left="240" w:top="301" w:right="1440" w:bottom="102" w:gutter="0" w:footer="0" w:header="0"/>
        </w:sectPr>
      </w:pP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1" w:right="1440" w:bottom="102"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19</w:t>
      </w:r>
    </w:p>
    <w:p>
      <w:pPr>
        <w:spacing w:after="0" w:line="388" w:lineRule="exact"/>
        <w:rPr>
          <w:sz w:val="20"/>
          <w:szCs w:val="20"/>
          <w:color w:val="auto"/>
        </w:rPr>
      </w:pPr>
    </w:p>
    <w:p>
      <w:pPr>
        <w:ind w:right="700"/>
        <w:spacing w:after="0" w:line="236" w:lineRule="auto"/>
        <w:rPr>
          <w:sz w:val="20"/>
          <w:szCs w:val="20"/>
          <w:color w:val="auto"/>
        </w:rPr>
      </w:pPr>
      <w:r>
        <w:rPr>
          <w:rFonts w:ascii="Courier New" w:cs="Courier New" w:eastAsia="Courier New" w:hAnsi="Courier New"/>
          <w:sz w:val="17"/>
          <w:szCs w:val="17"/>
          <w:color w:val="auto"/>
        </w:rPr>
        <w:t>The projected benefit obligation was determined using an assumed discount rate ranging between 6.75% and 7.50% and an assumed compensation rate ranging between 3.00% and 4.50%.</w:t>
      </w:r>
    </w:p>
    <w:p>
      <w:pPr>
        <w:spacing w:after="0" w:line="190" w:lineRule="exact"/>
        <w:rPr>
          <w:sz w:val="20"/>
          <w:szCs w:val="20"/>
          <w:color w:val="auto"/>
        </w:rPr>
      </w:pPr>
    </w:p>
    <w:p>
      <w:pPr>
        <w:ind w:left="600" w:hanging="598"/>
        <w:spacing w:after="0"/>
        <w:tabs>
          <w:tab w:leader="none" w:pos="6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 PLAN</w:t>
      </w:r>
    </w:p>
    <w:p>
      <w:pPr>
        <w:spacing w:after="0" w:line="196" w:lineRule="exact"/>
        <w:rPr>
          <w:sz w:val="20"/>
          <w:szCs w:val="20"/>
          <w:color w:val="auto"/>
        </w:rPr>
      </w:pPr>
    </w:p>
    <w:p>
      <w:pPr>
        <w:ind w:right="800"/>
        <w:spacing w:after="0" w:line="236" w:lineRule="auto"/>
        <w:rPr>
          <w:sz w:val="20"/>
          <w:szCs w:val="20"/>
          <w:color w:val="auto"/>
        </w:rPr>
      </w:pPr>
      <w:r>
        <w:rPr>
          <w:rFonts w:ascii="Courier New" w:cs="Courier New" w:eastAsia="Courier New" w:hAnsi="Courier New"/>
          <w:sz w:val="17"/>
          <w:szCs w:val="17"/>
          <w:color w:val="auto"/>
        </w:rPr>
        <w:t>Rhone-Poulenc Jardin directors and key executive were offered stock options in 1994 and 1996 under the terms of a stock option plan that permit the company to grant options for up to 5% of Rhone-Poulenc Jardin SA's outstanding shares, or 18,000 shares.</w:t>
      </w:r>
    </w:p>
    <w:p>
      <w:pPr>
        <w:spacing w:after="0" w:line="199" w:lineRule="exact"/>
        <w:rPr>
          <w:sz w:val="20"/>
          <w:szCs w:val="20"/>
          <w:color w:val="auto"/>
        </w:rPr>
      </w:pPr>
    </w:p>
    <w:p>
      <w:pPr>
        <w:ind w:right="700"/>
        <w:spacing w:after="0" w:line="237" w:lineRule="auto"/>
        <w:rPr>
          <w:sz w:val="20"/>
          <w:szCs w:val="20"/>
          <w:color w:val="auto"/>
        </w:rPr>
      </w:pPr>
      <w:r>
        <w:rPr>
          <w:rFonts w:ascii="Courier New" w:cs="Courier New" w:eastAsia="Courier New" w:hAnsi="Courier New"/>
          <w:sz w:val="17"/>
          <w:szCs w:val="17"/>
          <w:color w:val="auto"/>
        </w:rPr>
        <w:t>The arrangement provides that the beneficiaries have a put option to sell the shares back to Rhone-Poulenc Jardin at a price based on the option exercise price and the company's market price at that date of the sale back. The exercise price of each option equals the market price of the company's stock on the date of the grant. The options maximum term is 10 years. Options are vested after a four-year service period.</w:t>
      </w:r>
    </w:p>
    <w:p>
      <w:pPr>
        <w:spacing w:after="0" w:line="198" w:lineRule="exact"/>
        <w:rPr>
          <w:sz w:val="20"/>
          <w:szCs w:val="20"/>
          <w:color w:val="auto"/>
        </w:rPr>
      </w:pPr>
    </w:p>
    <w:p>
      <w:pPr>
        <w:ind w:right="700"/>
        <w:spacing w:after="0" w:line="237" w:lineRule="auto"/>
        <w:rPr>
          <w:sz w:val="20"/>
          <w:szCs w:val="20"/>
          <w:color w:val="auto"/>
        </w:rPr>
      </w:pPr>
      <w:r>
        <w:rPr>
          <w:rFonts w:ascii="Courier New" w:cs="Courier New" w:eastAsia="Courier New" w:hAnsi="Courier New"/>
          <w:sz w:val="17"/>
          <w:szCs w:val="17"/>
          <w:color w:val="auto"/>
        </w:rPr>
        <w:t>The liability incurred by the company and corresponding to the put option (award settlement in cash) is measured each period based on the update of the stock buy back formula price. The effects of changes in this formula price, due to changes in the company's stock market price, are recognized as compensation cost over the service period. Changes in the amount of the liability due to stock market price changes after the service period are recognized as compensation cost in the period the changes occur.</w:t>
      </w:r>
    </w:p>
    <w:p>
      <w:pPr>
        <w:spacing w:after="0" w:line="199" w:lineRule="exact"/>
        <w:rPr>
          <w:sz w:val="20"/>
          <w:szCs w:val="20"/>
          <w:color w:val="auto"/>
        </w:rPr>
      </w:pPr>
    </w:p>
    <w:p>
      <w:pPr>
        <w:jc w:val="both"/>
        <w:ind w:right="900"/>
        <w:spacing w:after="0" w:line="236" w:lineRule="auto"/>
        <w:rPr>
          <w:sz w:val="20"/>
          <w:szCs w:val="20"/>
          <w:color w:val="auto"/>
        </w:rPr>
      </w:pPr>
      <w:r>
        <w:rPr>
          <w:rFonts w:ascii="Courier New" w:cs="Courier New" w:eastAsia="Courier New" w:hAnsi="Courier New"/>
          <w:sz w:val="17"/>
          <w:szCs w:val="17"/>
          <w:color w:val="auto"/>
        </w:rPr>
        <w:t>The following table details the options that have been granted and the related compensation cost for the year and cumulative compensation as of December 31, 1997.</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7"/>
                <w:szCs w:val="17"/>
                <w:color w:val="auto"/>
                <w:w w:val="97"/>
              </w:rPr>
              <w:t>TOTAL</w:t>
            </w:r>
          </w:p>
        </w:tc>
        <w:tc>
          <w:tcPr>
            <w:tcW w:w="1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CUMULATIVE</w:t>
            </w:r>
          </w:p>
        </w:tc>
      </w:tr>
      <w:tr>
        <w:trPr>
          <w:trHeight w:val="191"/>
        </w:trPr>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EXERCISE</w:t>
            </w:r>
          </w:p>
        </w:tc>
        <w:tc>
          <w:tcPr>
            <w:tcW w:w="20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CUMULATIVE</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COMPENSATIONS</w:t>
            </w:r>
          </w:p>
        </w:tc>
      </w:tr>
      <w:tr>
        <w:trPr>
          <w:trHeight w:val="191"/>
        </w:trPr>
        <w:tc>
          <w:tcPr>
            <w:tcW w:w="1600" w:type="dxa"/>
            <w:vAlign w:val="bottom"/>
          </w:tcPr>
          <w:p>
            <w:pPr>
              <w:spacing w:after="0"/>
              <w:rPr>
                <w:sz w:val="16"/>
                <w:szCs w:val="16"/>
                <w:color w:val="auto"/>
              </w:rPr>
            </w:pPr>
          </w:p>
        </w:tc>
        <w:tc>
          <w:tcPr>
            <w:tcW w:w="20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NUMBER OF</w:t>
            </w:r>
          </w:p>
        </w:tc>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PRICE</w:t>
            </w:r>
          </w:p>
        </w:tc>
        <w:tc>
          <w:tcPr>
            <w:tcW w:w="20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COMPENSATION AS</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AS OF</w:t>
            </w:r>
          </w:p>
        </w:tc>
      </w:tr>
      <w:tr>
        <w:trPr>
          <w:trHeight w:val="191"/>
        </w:trPr>
        <w:tc>
          <w:tcPr>
            <w:tcW w:w="1600" w:type="dxa"/>
            <w:vAlign w:val="bottom"/>
          </w:tcPr>
          <w:p>
            <w:pPr>
              <w:spacing w:after="0"/>
              <w:rPr>
                <w:sz w:val="16"/>
                <w:szCs w:val="16"/>
                <w:color w:val="auto"/>
              </w:rPr>
            </w:pPr>
          </w:p>
        </w:tc>
        <w:tc>
          <w:tcPr>
            <w:tcW w:w="2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OPTIONS GRANTED</w:t>
            </w:r>
          </w:p>
        </w:tc>
        <w:tc>
          <w:tcPr>
            <w:tcW w:w="1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 FF)</w:t>
            </w:r>
          </w:p>
        </w:tc>
        <w:tc>
          <w:tcPr>
            <w:tcW w:w="20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OF DEC 31, 1997</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DEC 31, 1997</w:t>
            </w:r>
          </w:p>
        </w:tc>
      </w:tr>
      <w:tr>
        <w:trPr>
          <w:trHeight w:val="191"/>
        </w:trPr>
        <w:tc>
          <w:tcPr>
            <w:tcW w:w="1600" w:type="dxa"/>
            <w:vAlign w:val="bottom"/>
          </w:tcPr>
          <w:p>
            <w:pPr>
              <w:spacing w:after="0"/>
              <w:rPr>
                <w:sz w:val="16"/>
                <w:szCs w:val="16"/>
                <w:color w:val="auto"/>
              </w:rPr>
            </w:pPr>
          </w:p>
        </w:tc>
        <w:tc>
          <w:tcPr>
            <w:tcW w:w="2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w:t>
            </w:r>
          </w:p>
        </w:tc>
        <w:tc>
          <w:tcPr>
            <w:tcW w:w="20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16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1994</w:t>
            </w:r>
          </w:p>
        </w:tc>
        <w:tc>
          <w:tcPr>
            <w:tcW w:w="208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900</w:t>
            </w:r>
          </w:p>
        </w:tc>
        <w:tc>
          <w:tcPr>
            <w:tcW w:w="1400" w:type="dxa"/>
            <w:vAlign w:val="bottom"/>
          </w:tcPr>
          <w:p>
            <w:pPr>
              <w:jc w:val="center"/>
              <w:ind w:right="17"/>
              <w:spacing w:after="0"/>
              <w:rPr>
                <w:sz w:val="20"/>
                <w:szCs w:val="20"/>
                <w:color w:val="auto"/>
              </w:rPr>
            </w:pPr>
            <w:r>
              <w:rPr>
                <w:rFonts w:ascii="Courier New" w:cs="Courier New" w:eastAsia="Courier New" w:hAnsi="Courier New"/>
                <w:sz w:val="17"/>
                <w:szCs w:val="17"/>
                <w:color w:val="auto"/>
                <w:w w:val="97"/>
              </w:rPr>
              <w:t>632</w:t>
            </w:r>
          </w:p>
        </w:tc>
        <w:tc>
          <w:tcPr>
            <w:tcW w:w="2080" w:type="dxa"/>
            <w:vAlign w:val="bottom"/>
          </w:tcPr>
          <w:p>
            <w:pPr>
              <w:jc w:val="center"/>
              <w:spacing w:after="0"/>
              <w:rPr>
                <w:sz w:val="20"/>
                <w:szCs w:val="20"/>
                <w:color w:val="auto"/>
              </w:rPr>
            </w:pPr>
            <w:r>
              <w:rPr>
                <w:rFonts w:ascii="Courier New" w:cs="Courier New" w:eastAsia="Courier New" w:hAnsi="Courier New"/>
                <w:sz w:val="17"/>
                <w:szCs w:val="17"/>
                <w:color w:val="auto"/>
                <w:w w:val="97"/>
              </w:rPr>
              <w:t>404</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303</w:t>
            </w:r>
          </w:p>
        </w:tc>
      </w:tr>
      <w:tr>
        <w:trPr>
          <w:trHeight w:val="191"/>
        </w:trPr>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1996</w:t>
            </w:r>
          </w:p>
        </w:tc>
        <w:tc>
          <w:tcPr>
            <w:tcW w:w="20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950</w:t>
            </w:r>
          </w:p>
        </w:tc>
        <w:tc>
          <w:tcPr>
            <w:tcW w:w="140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587</w:t>
            </w:r>
          </w:p>
        </w:tc>
        <w:tc>
          <w:tcPr>
            <w:tcW w:w="20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437</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182</w:t>
            </w:r>
          </w:p>
        </w:tc>
      </w:tr>
      <w:tr>
        <w:trPr>
          <w:trHeight w:val="191"/>
        </w:trPr>
        <w:tc>
          <w:tcPr>
            <w:tcW w:w="1600" w:type="dxa"/>
            <w:vAlign w:val="bottom"/>
          </w:tcPr>
          <w:p>
            <w:pPr>
              <w:spacing w:after="0"/>
              <w:rPr>
                <w:sz w:val="16"/>
                <w:szCs w:val="16"/>
                <w:color w:val="auto"/>
              </w:rPr>
            </w:pPr>
          </w:p>
        </w:tc>
        <w:tc>
          <w:tcPr>
            <w:tcW w:w="20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spacing w:after="0"/>
              <w:rPr>
                <w:sz w:val="16"/>
                <w:szCs w:val="16"/>
                <w:color w:val="auto"/>
              </w:rPr>
            </w:pPr>
          </w:p>
        </w:tc>
        <w:tc>
          <w:tcPr>
            <w:tcW w:w="20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60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w w:val="94"/>
              </w:rPr>
              <w:t>Total</w:t>
            </w:r>
          </w:p>
        </w:tc>
        <w:tc>
          <w:tcPr>
            <w:tcW w:w="20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1,850</w:t>
            </w:r>
          </w:p>
        </w:tc>
        <w:tc>
          <w:tcPr>
            <w:tcW w:w="1400" w:type="dxa"/>
            <w:vAlign w:val="bottom"/>
          </w:tcPr>
          <w:p>
            <w:pPr>
              <w:spacing w:after="0"/>
              <w:rPr>
                <w:sz w:val="16"/>
                <w:szCs w:val="16"/>
                <w:color w:val="auto"/>
              </w:rPr>
            </w:pPr>
          </w:p>
        </w:tc>
        <w:tc>
          <w:tcPr>
            <w:tcW w:w="20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841</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485</w:t>
            </w:r>
          </w:p>
        </w:tc>
      </w:tr>
    </w:tbl>
    <w:p>
      <w:pPr>
        <w:spacing w:after="0" w:line="388" w:lineRule="exact"/>
        <w:rPr>
          <w:sz w:val="20"/>
          <w:szCs w:val="20"/>
          <w:color w:val="auto"/>
        </w:rPr>
      </w:pPr>
    </w:p>
    <w:p>
      <w:pPr>
        <w:ind w:right="800"/>
        <w:spacing w:after="0" w:line="237" w:lineRule="auto"/>
        <w:rPr>
          <w:sz w:val="20"/>
          <w:szCs w:val="20"/>
          <w:color w:val="auto"/>
        </w:rPr>
      </w:pPr>
      <w:r>
        <w:rPr>
          <w:rFonts w:ascii="Courier New" w:cs="Courier New" w:eastAsia="Courier New" w:hAnsi="Courier New"/>
          <w:sz w:val="17"/>
          <w:szCs w:val="17"/>
          <w:color w:val="auto"/>
        </w:rPr>
        <w:t>Under the plan terms, if Rhone-Poulenc Jardin's parent company (Rhone-Poulenc Agro SA) disinvests its shares in Rhone-Poulenc Jardin SA, the selling price of the shares held at that date by the directors and key executives will be the highest of the selling price as per the plan or the purchase price paid by the acquirer.</w:t>
      </w:r>
    </w:p>
    <w:p>
      <w:pPr>
        <w:spacing w:after="0" w:line="190" w:lineRule="exact"/>
        <w:rPr>
          <w:sz w:val="20"/>
          <w:szCs w:val="20"/>
          <w:color w:val="auto"/>
        </w:rPr>
      </w:pPr>
    </w:p>
    <w:p>
      <w:pPr>
        <w:ind w:left="600" w:hanging="598"/>
        <w:spacing w:after="0"/>
        <w:tabs>
          <w:tab w:leader="none" w:pos="6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WITH RHONE-POULENC GROUP COMPANIES</w:t>
      </w:r>
    </w:p>
    <w:p>
      <w:pPr>
        <w:spacing w:after="0" w:line="196" w:lineRule="exact"/>
        <w:rPr>
          <w:sz w:val="20"/>
          <w:szCs w:val="20"/>
          <w:color w:val="auto"/>
        </w:rPr>
      </w:pPr>
    </w:p>
    <w:p>
      <w:pPr>
        <w:ind w:right="900"/>
        <w:spacing w:after="0" w:line="237" w:lineRule="auto"/>
        <w:rPr>
          <w:sz w:val="20"/>
          <w:szCs w:val="20"/>
          <w:color w:val="auto"/>
        </w:rPr>
      </w:pPr>
      <w:r>
        <w:rPr>
          <w:rFonts w:ascii="Courier New" w:cs="Courier New" w:eastAsia="Courier New" w:hAnsi="Courier New"/>
          <w:sz w:val="17"/>
          <w:szCs w:val="17"/>
          <w:color w:val="auto"/>
        </w:rPr>
        <w:t>The Rhone-Poulenc Jardin Division companies entered into various business transactions with Rhone-Poulenc Group companies. They result in a receivable from Rhone-Poulenc Group companies amounting to FF 2,089 thousand (of which FF 1,157 thousand receivable by Rhone-Poulenc Jardin SA from Rhone-Poulenc Agro Belgium) and a payable to Rhone-Poulenc Group companies amounting to FF 6,618 thousand (of which FF 6,592 thousand payable by Rhone-Poulenc Jardin SA to Rhone-Poulenc Agro SA).</w:t>
      </w:r>
    </w:p>
    <w:p>
      <w:pPr>
        <w:spacing w:after="0" w:line="199" w:lineRule="exact"/>
        <w:rPr>
          <w:sz w:val="20"/>
          <w:szCs w:val="20"/>
          <w:color w:val="auto"/>
        </w:rPr>
      </w:pPr>
    </w:p>
    <w:p>
      <w:pPr>
        <w:ind w:right="800"/>
        <w:spacing w:after="0" w:line="236" w:lineRule="auto"/>
        <w:rPr>
          <w:sz w:val="20"/>
          <w:szCs w:val="20"/>
          <w:color w:val="auto"/>
        </w:rPr>
      </w:pPr>
      <w:r>
        <w:rPr>
          <w:rFonts w:ascii="Courier New" w:cs="Courier New" w:eastAsia="Courier New" w:hAnsi="Courier New"/>
          <w:sz w:val="17"/>
          <w:szCs w:val="17"/>
          <w:color w:val="auto"/>
        </w:rPr>
        <w:t>These financial statements do not include a FF 34,755 thousand gain realized in December 1997 by Celaflor GmbH on the sale of the Celaflor Handelsgesellschaft shares. These shares have been sold to a Rhone-Poulenc affiliate, Rhone-Poulenc Agro Holding GmbH.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Courier New" w:cs="Courier New" w:eastAsia="Courier New" w:hAnsi="Courier New"/>
          <w:sz w:val="16"/>
          <w:szCs w:val="16"/>
          <w:color w:val="auto"/>
        </w:rPr>
        <w:t>COMPENSATION EXPENSE FOR THE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182</w:t>
      </w:r>
    </w:p>
    <w:p>
      <w:pPr>
        <w:ind w:left="380"/>
        <w:spacing w:after="0" w:line="238" w:lineRule="auto"/>
        <w:rPr>
          <w:sz w:val="20"/>
          <w:szCs w:val="20"/>
          <w:color w:val="auto"/>
        </w:rPr>
      </w:pPr>
      <w:r>
        <w:rPr>
          <w:rFonts w:ascii="Courier New" w:cs="Courier New" w:eastAsia="Courier New" w:hAnsi="Courier New"/>
          <w:sz w:val="17"/>
          <w:szCs w:val="17"/>
          <w:color w:val="auto"/>
        </w:rPr>
        <w:t>132</w:t>
      </w:r>
    </w:p>
    <w:p>
      <w:pPr>
        <w:ind w:left="380"/>
        <w:spacing w:after="0" w:line="238" w:lineRule="auto"/>
        <w:rPr>
          <w:sz w:val="20"/>
          <w:szCs w:val="20"/>
          <w:color w:val="auto"/>
        </w:rPr>
      </w:pPr>
      <w:r>
        <w:rPr>
          <w:rFonts w:ascii="Courier New" w:cs="Courier New" w:eastAsia="Courier New" w:hAnsi="Courier New"/>
          <w:sz w:val="17"/>
          <w:szCs w:val="17"/>
          <w:color w:val="auto"/>
        </w:rPr>
        <w:t>---</w:t>
      </w:r>
    </w:p>
    <w:p>
      <w:pPr>
        <w:ind w:left="380"/>
        <w:spacing w:after="0"/>
        <w:rPr>
          <w:sz w:val="20"/>
          <w:szCs w:val="20"/>
          <w:color w:val="auto"/>
        </w:rPr>
      </w:pPr>
      <w:r>
        <w:rPr>
          <w:rFonts w:ascii="Courier New" w:cs="Courier New" w:eastAsia="Courier New" w:hAnsi="Courier New"/>
          <w:sz w:val="17"/>
          <w:szCs w:val="17"/>
          <w:color w:val="auto"/>
        </w:rPr>
        <w:t>314</w:t>
      </w:r>
    </w:p>
    <w:p>
      <w:pPr>
        <w:spacing w:after="0" w:line="4404" w:lineRule="exact"/>
        <w:rPr>
          <w:sz w:val="20"/>
          <w:szCs w:val="20"/>
          <w:color w:val="auto"/>
        </w:rPr>
      </w:pPr>
    </w:p>
    <w:p>
      <w:pPr>
        <w:sectPr>
          <w:pgSz w:w="11900" w:h="16838" w:orient="portrait"/>
          <w:cols w:equalWidth="0" w:num="2">
            <w:col w:w="8660" w:space="600"/>
            <w:col w:w="1180"/>
          </w:cols>
          <w:pgMar w:left="240" w:top="301" w:right="1219" w:bottom="1440" w:gutter="0" w:footer="0" w:header="0"/>
        </w:sectPr>
      </w:pP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440"/>
          </w:cols>
          <w:pgMar w:left="240" w:top="301" w:right="1219"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20</w:t>
      </w:r>
    </w:p>
    <w:p>
      <w:pPr>
        <w:spacing w:after="0" w:line="200" w:lineRule="exact"/>
        <w:rPr>
          <w:sz w:val="20"/>
          <w:szCs w:val="20"/>
          <w:color w:val="auto"/>
        </w:rPr>
      </w:pPr>
    </w:p>
    <w:p>
      <w:pPr>
        <w:spacing w:after="0" w:line="372" w:lineRule="exact"/>
        <w:rPr>
          <w:sz w:val="20"/>
          <w:szCs w:val="20"/>
          <w:color w:val="auto"/>
        </w:rPr>
      </w:pPr>
    </w:p>
    <w:p>
      <w:pPr>
        <w:ind w:left="600" w:hanging="598"/>
        <w:spacing w:after="0"/>
        <w:tabs>
          <w:tab w:leader="none" w:pos="6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EVENTS</w:t>
      </w:r>
    </w:p>
    <w:p>
      <w:pPr>
        <w:spacing w:after="0" w:line="189" w:lineRule="exact"/>
        <w:rPr>
          <w:rFonts w:ascii="Courier New" w:cs="Courier New" w:eastAsia="Courier New" w:hAnsi="Courier New"/>
          <w:sz w:val="17"/>
          <w:szCs w:val="17"/>
          <w:color w:val="auto"/>
        </w:rPr>
      </w:pPr>
    </w:p>
    <w:p>
      <w:pPr>
        <w:ind w:left="600" w:hanging="399"/>
        <w:spacing w:after="0"/>
        <w:tabs>
          <w:tab w:leader="none" w:pos="6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LITIGATIONS</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At December 31, 1997, Celaflor GmbH Celaflor Handelsgesellschaft was involved in litigation related to a defective product as described in Footnote 11. During 1998, based on more current information, the companies have estimated their maximum liability to be FF 3,100 thousand. This amount has been recorded in the companies' accounts during 1998.</w:t>
      </w:r>
    </w:p>
    <w:p>
      <w:pPr>
        <w:spacing w:after="0" w:line="190" w:lineRule="exact"/>
        <w:rPr>
          <w:sz w:val="20"/>
          <w:szCs w:val="20"/>
          <w:color w:val="auto"/>
        </w:rPr>
      </w:pPr>
    </w:p>
    <w:p>
      <w:pPr>
        <w:ind w:left="500" w:hanging="498"/>
        <w:spacing w:after="0"/>
        <w:tabs>
          <w:tab w:leader="none" w:pos="5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 PLAN</w:t>
      </w:r>
    </w:p>
    <w:p>
      <w:pPr>
        <w:spacing w:after="0" w:line="196"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7"/>
          <w:szCs w:val="17"/>
          <w:color w:val="auto"/>
        </w:rPr>
        <w:t>In March 1997, the company offered 1 300 additional stock options to its directors and key executives at an exercise price of FF 1,214.</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In spring-summer 1998, the RP Jardin's parent company entered into discussions with a potential acquirer. Based on the selling price of the company's stock agreed upon by the two parties, and total options granted in 1994, 1996 and 1998 the total cumulative compensation would amount to FF 2,142 thousand.</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301"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21</w:t>
      </w:r>
    </w:p>
    <w:p>
      <w:pPr>
        <w:spacing w:after="0"/>
        <w:tabs>
          <w:tab w:leader="none" w:pos="1380" w:val="left"/>
        </w:tabs>
        <w:rPr>
          <w:sz w:val="20"/>
          <w:szCs w:val="20"/>
          <w:color w:val="auto"/>
        </w:rPr>
      </w:pPr>
      <w:r>
        <w:rPr>
          <w:rFonts w:ascii="Courier New" w:cs="Courier New" w:eastAsia="Courier New" w:hAnsi="Courier New"/>
          <w:sz w:val="17"/>
          <w:szCs w:val="17"/>
          <w:color w:val="auto"/>
        </w:rPr>
        <w:t>Item 7(b)</w:t>
      </w:r>
      <w:r>
        <w:rPr>
          <w:sz w:val="20"/>
          <w:szCs w:val="20"/>
          <w:color w:val="auto"/>
        </w:rPr>
        <w:tab/>
      </w:r>
      <w:r>
        <w:rPr>
          <w:rFonts w:ascii="Courier New" w:cs="Courier New" w:eastAsia="Courier New" w:hAnsi="Courier New"/>
          <w:sz w:val="16"/>
          <w:szCs w:val="16"/>
          <w:color w:val="auto"/>
        </w:rPr>
        <w:t>Pro Forma Financial Information:</w:t>
      </w:r>
    </w:p>
    <w:p>
      <w:pPr>
        <w:ind w:left="1400"/>
        <w:spacing w:after="0" w:line="238" w:lineRule="auto"/>
        <w:rPr>
          <w:sz w:val="20"/>
          <w:szCs w:val="20"/>
          <w:color w:val="auto"/>
        </w:rPr>
      </w:pPr>
      <w:r>
        <w:rPr>
          <w:rFonts w:ascii="Courier New" w:cs="Courier New" w:eastAsia="Courier New" w:hAnsi="Courier New"/>
          <w:sz w:val="17"/>
          <w:szCs w:val="17"/>
          <w:color w:val="auto"/>
        </w:rPr>
        <w:t>--------------------------------</w:t>
      </w:r>
    </w:p>
    <w:p>
      <w:pPr>
        <w:spacing w:after="0" w:line="382"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SCOTTS COMPANY</w:t>
      </w:r>
    </w:p>
    <w:p>
      <w:pPr>
        <w:jc w:val="center"/>
        <w:ind w:right="2259"/>
        <w:spacing w:after="0" w:line="238" w:lineRule="auto"/>
        <w:rPr>
          <w:sz w:val="20"/>
          <w:szCs w:val="20"/>
          <w:color w:val="auto"/>
        </w:rPr>
      </w:pPr>
      <w:r>
        <w:rPr>
          <w:rFonts w:ascii="Courier New" w:cs="Courier New" w:eastAsia="Courier New" w:hAnsi="Courier New"/>
          <w:sz w:val="17"/>
          <w:szCs w:val="17"/>
          <w:color w:val="auto"/>
        </w:rPr>
        <w:t>UNAUDITED PRO FORMA COMBINED FINANCIAL INFORMATION</w:t>
      </w:r>
    </w:p>
    <w:p>
      <w:pPr>
        <w:spacing w:after="0" w:line="200" w:lineRule="exact"/>
        <w:rPr>
          <w:sz w:val="20"/>
          <w:szCs w:val="20"/>
          <w:color w:val="auto"/>
        </w:rPr>
      </w:pPr>
    </w:p>
    <w:p>
      <w:pPr>
        <w:spacing w:after="0" w:line="37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accompanying unaudited pro forma combined financial information gives effect to the acquisition of Rhone-Poulenc Jardin ("RPJ") by The Scotts Company (the "Company") which occurred on October 7, 1998. RPJ includes the assets and liabilities of Rhone-Poulenc Jardin SA, Celaflor GmbH and Celaflor Handelsgesellschaft. The historical financial statements of RPJ were prepared in French francs and translated to U.S. dollars for inclusion in the unaudited pro forma combined statement of operations and balance sheet.</w:t>
      </w:r>
    </w:p>
    <w:p>
      <w:pPr>
        <w:spacing w:after="0" w:line="199"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The unaudited pro forma combined statement of operations for the twelve months ended September 30, 1998 gives effect to the acquisition of RPJ as if it had occurred on October 1, 1997. The unaudited pro forma combined balance sheet as of September 30, 1998 gives effect to the acquisition of RPJ as if it had occurred on that date. The adjustments, which are based on available information and upon certain assumptions which management believes are reasonable, are described in the accompanying notes. The pro forma combined financial information does not purport to represent what the financial position or results of operations of the Company actually would have been had the acquisition of RPJ occurred on the assumed dates or to project the financial position or results of operations of the Company for any future period or date.</w:t>
      </w:r>
    </w:p>
    <w:p>
      <w:pPr>
        <w:spacing w:after="0" w:line="200" w:lineRule="exact"/>
        <w:rPr>
          <w:sz w:val="20"/>
          <w:szCs w:val="20"/>
          <w:color w:val="auto"/>
        </w:rPr>
      </w:pPr>
    </w:p>
    <w:p>
      <w:pPr>
        <w:spacing w:after="0" w:line="36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01"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3"/>
        </w:trPr>
        <w:tc>
          <w:tcPr>
            <w:tcW w:w="5120" w:type="dxa"/>
            <w:vAlign w:val="bottom"/>
          </w:tcPr>
          <w:p>
            <w:pPr>
              <w:ind w:left="300"/>
              <w:spacing w:after="0"/>
              <w:rPr>
                <w:sz w:val="20"/>
                <w:szCs w:val="20"/>
                <w:color w:val="auto"/>
              </w:rPr>
            </w:pPr>
            <w:r>
              <w:rPr>
                <w:rFonts w:ascii="Courier New" w:cs="Courier New" w:eastAsia="Courier New" w:hAnsi="Courier New"/>
                <w:sz w:val="17"/>
                <w:szCs w:val="17"/>
                <w:color w:val="auto"/>
              </w:rPr>
              <w:t>22</w:t>
            </w: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765"/>
        </w:trPr>
        <w:tc>
          <w:tcPr>
            <w:tcW w:w="5120" w:type="dxa"/>
            <w:vAlign w:val="bottom"/>
          </w:tcPr>
          <w:p>
            <w:pPr>
              <w:jc w:val="center"/>
              <w:ind w:left="2757"/>
              <w:spacing w:after="0"/>
              <w:rPr>
                <w:sz w:val="20"/>
                <w:szCs w:val="20"/>
                <w:color w:val="auto"/>
              </w:rPr>
            </w:pPr>
            <w:r>
              <w:rPr>
                <w:rFonts w:ascii="Courier New" w:cs="Courier New" w:eastAsia="Courier New" w:hAnsi="Courier New"/>
                <w:sz w:val="17"/>
                <w:szCs w:val="17"/>
                <w:color w:val="auto"/>
                <w:w w:val="98"/>
              </w:rPr>
              <w:t>THE SCOTTS COMPANY</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1"/>
        </w:trPr>
        <w:tc>
          <w:tcPr>
            <w:tcW w:w="6660" w:type="dxa"/>
            <w:vAlign w:val="bottom"/>
            <w:gridSpan w:val="2"/>
          </w:tcPr>
          <w:p>
            <w:pPr>
              <w:jc w:val="center"/>
              <w:ind w:left="1217"/>
              <w:spacing w:after="0" w:line="191" w:lineRule="exact"/>
              <w:rPr>
                <w:sz w:val="20"/>
                <w:szCs w:val="20"/>
                <w:color w:val="auto"/>
              </w:rPr>
            </w:pPr>
            <w:r>
              <w:rPr>
                <w:rFonts w:ascii="Courier New" w:cs="Courier New" w:eastAsia="Courier New" w:hAnsi="Courier New"/>
                <w:sz w:val="17"/>
                <w:szCs w:val="17"/>
                <w:color w:val="auto"/>
                <w:w w:val="97"/>
              </w:rPr>
              <w:t>UNAUDITED PRO FORMA COMBINED STATEMENT OF OPERATIONS</w:t>
            </w: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6660" w:type="dxa"/>
            <w:vAlign w:val="bottom"/>
            <w:gridSpan w:val="2"/>
          </w:tcPr>
          <w:p>
            <w:pPr>
              <w:jc w:val="center"/>
              <w:ind w:left="1217"/>
              <w:spacing w:after="0" w:line="191" w:lineRule="exact"/>
              <w:rPr>
                <w:sz w:val="20"/>
                <w:szCs w:val="20"/>
                <w:color w:val="auto"/>
              </w:rPr>
            </w:pPr>
            <w:r>
              <w:rPr>
                <w:rFonts w:ascii="Courier New" w:cs="Courier New" w:eastAsia="Courier New" w:hAnsi="Courier New"/>
                <w:sz w:val="17"/>
                <w:szCs w:val="17"/>
                <w:color w:val="auto"/>
                <w:w w:val="97"/>
              </w:rPr>
              <w:t>FOR THE TWELVE MONTHS ENDED SEPTEMBER 30, 1998</w:t>
            </w: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5120" w:type="dxa"/>
            <w:vAlign w:val="bottom"/>
          </w:tcPr>
          <w:p>
            <w:pPr>
              <w:ind w:left="3380"/>
              <w:spacing w:after="0" w:line="191" w:lineRule="exact"/>
              <w:rPr>
                <w:sz w:val="20"/>
                <w:szCs w:val="20"/>
                <w:color w:val="auto"/>
              </w:rPr>
            </w:pPr>
            <w:r>
              <w:rPr>
                <w:rFonts w:ascii="Courier New" w:cs="Courier New" w:eastAsia="Courier New" w:hAnsi="Courier New"/>
                <w:sz w:val="17"/>
                <w:szCs w:val="17"/>
                <w:color w:val="auto"/>
              </w:rPr>
              <w:t>(in millions)</w:t>
            </w: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765"/>
        </w:trPr>
        <w:tc>
          <w:tcPr>
            <w:tcW w:w="5120" w:type="dxa"/>
            <w:vAlign w:val="bottom"/>
          </w:tcPr>
          <w:p>
            <w:pPr>
              <w:spacing w:after="0"/>
              <w:rPr>
                <w:sz w:val="24"/>
                <w:szCs w:val="24"/>
                <w:color w:val="auto"/>
              </w:rPr>
            </w:pP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Scotts</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RPJ (a)</w:t>
            </w:r>
          </w:p>
        </w:tc>
        <w:tc>
          <w:tcPr>
            <w:tcW w:w="16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Adjustments</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Pro forma</w:t>
            </w:r>
          </w:p>
        </w:tc>
      </w:tr>
      <w:tr>
        <w:trPr>
          <w:trHeight w:val="191"/>
        </w:trPr>
        <w:tc>
          <w:tcPr>
            <w:tcW w:w="5120" w:type="dxa"/>
            <w:vAlign w:val="bottom"/>
          </w:tcPr>
          <w:p>
            <w:pPr>
              <w:spacing w:after="0"/>
              <w:rPr>
                <w:sz w:val="16"/>
                <w:szCs w:val="16"/>
                <w:color w:val="auto"/>
              </w:rPr>
            </w:pP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120" w:type="dxa"/>
            <w:vAlign w:val="bottom"/>
          </w:tcPr>
          <w:p>
            <w:pPr>
              <w:spacing w:after="0"/>
              <w:rPr>
                <w:sz w:val="20"/>
                <w:szCs w:val="20"/>
                <w:color w:val="auto"/>
              </w:rPr>
            </w:pPr>
            <w:r>
              <w:rPr>
                <w:rFonts w:ascii="Courier New" w:cs="Courier New" w:eastAsia="Courier New" w:hAnsi="Courier New"/>
                <w:sz w:val="17"/>
                <w:szCs w:val="17"/>
                <w:color w:val="auto"/>
              </w:rPr>
              <w:t>Sales</w:t>
            </w:r>
          </w:p>
        </w:tc>
        <w:tc>
          <w:tcPr>
            <w:tcW w:w="15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$1,113.0</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$144.3</w:t>
            </w:r>
          </w:p>
        </w:tc>
        <w:tc>
          <w:tcPr>
            <w:tcW w:w="1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$1,257.3</w:t>
            </w:r>
          </w:p>
        </w:tc>
      </w:tr>
      <w:tr>
        <w:trPr>
          <w:trHeight w:val="191"/>
        </w:trPr>
        <w:tc>
          <w:tcPr>
            <w:tcW w:w="5120" w:type="dxa"/>
            <w:vAlign w:val="bottom"/>
          </w:tcPr>
          <w:p>
            <w:pPr>
              <w:spacing w:after="0" w:line="191" w:lineRule="exact"/>
              <w:rPr>
                <w:sz w:val="20"/>
                <w:szCs w:val="20"/>
                <w:color w:val="auto"/>
              </w:rPr>
            </w:pPr>
            <w:r>
              <w:rPr>
                <w:rFonts w:ascii="Courier New" w:cs="Courier New" w:eastAsia="Courier New" w:hAnsi="Courier New"/>
                <w:sz w:val="17"/>
                <w:szCs w:val="17"/>
                <w:color w:val="auto"/>
              </w:rPr>
              <w:t>Cost of sales</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715.0</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75.4</w:t>
            </w:r>
          </w:p>
        </w:tc>
        <w:tc>
          <w:tcPr>
            <w:tcW w:w="16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790.4</w:t>
            </w:r>
          </w:p>
        </w:tc>
      </w:tr>
      <w:tr>
        <w:trPr>
          <w:trHeight w:val="191"/>
        </w:trPr>
        <w:tc>
          <w:tcPr>
            <w:tcW w:w="5120" w:type="dxa"/>
            <w:vAlign w:val="bottom"/>
          </w:tcPr>
          <w:p>
            <w:pPr>
              <w:spacing w:after="0"/>
              <w:rPr>
                <w:sz w:val="16"/>
                <w:szCs w:val="16"/>
                <w:color w:val="auto"/>
              </w:rPr>
            </w:pP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Gross profit</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398.0</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68.9</w:t>
            </w:r>
          </w:p>
        </w:tc>
        <w:tc>
          <w:tcPr>
            <w:tcW w:w="16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466.9</w:t>
            </w:r>
          </w:p>
        </w:tc>
      </w:tr>
      <w:tr>
        <w:trPr>
          <w:trHeight w:val="383"/>
        </w:trPr>
        <w:tc>
          <w:tcPr>
            <w:tcW w:w="51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w:t>
            </w:r>
          </w:p>
        </w:tc>
        <w:tc>
          <w:tcPr>
            <w:tcW w:w="15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271.6</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55.7</w:t>
            </w:r>
          </w:p>
        </w:tc>
        <w:tc>
          <w:tcPr>
            <w:tcW w:w="1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327.3</w:t>
            </w:r>
          </w:p>
        </w:tc>
      </w:tr>
      <w:tr>
        <w:trPr>
          <w:trHeight w:val="191"/>
        </w:trPr>
        <w:tc>
          <w:tcPr>
            <w:tcW w:w="5120" w:type="dxa"/>
            <w:vAlign w:val="bottom"/>
          </w:tcPr>
          <w:p>
            <w:pPr>
              <w:spacing w:after="0" w:line="191" w:lineRule="exact"/>
              <w:rPr>
                <w:sz w:val="20"/>
                <w:szCs w:val="20"/>
                <w:color w:val="auto"/>
              </w:rPr>
            </w:pPr>
            <w:r>
              <w:rPr>
                <w:rFonts w:ascii="Courier New" w:cs="Courier New" w:eastAsia="Courier New" w:hAnsi="Courier New"/>
                <w:sz w:val="17"/>
                <w:szCs w:val="17"/>
                <w:color w:val="auto"/>
              </w:rPr>
              <w:t>Amortization of goodwill and other intangibles</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12.9</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3.5(b)</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18.7</w:t>
            </w:r>
          </w:p>
        </w:tc>
      </w:tr>
      <w:tr>
        <w:trPr>
          <w:trHeight w:val="191"/>
        </w:trPr>
        <w:tc>
          <w:tcPr>
            <w:tcW w:w="5120" w:type="dxa"/>
            <w:vAlign w:val="bottom"/>
          </w:tcPr>
          <w:p>
            <w:pPr>
              <w:spacing w:after="0" w:line="191" w:lineRule="exact"/>
              <w:rPr>
                <w:sz w:val="20"/>
                <w:szCs w:val="20"/>
                <w:color w:val="auto"/>
              </w:rPr>
            </w:pPr>
            <w:r>
              <w:rPr>
                <w:rFonts w:ascii="Courier New" w:cs="Courier New" w:eastAsia="Courier New" w:hAnsi="Courier New"/>
                <w:sz w:val="17"/>
                <w:szCs w:val="17"/>
                <w:color w:val="auto"/>
              </w:rPr>
              <w:t>Restructuring and other charges</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15.4</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6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17.2</w:t>
            </w:r>
          </w:p>
        </w:tc>
      </w:tr>
      <w:tr>
        <w:trPr>
          <w:trHeight w:val="191"/>
        </w:trPr>
        <w:tc>
          <w:tcPr>
            <w:tcW w:w="51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expense</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4.0</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0.4</w:t>
            </w:r>
          </w:p>
        </w:tc>
        <w:tc>
          <w:tcPr>
            <w:tcW w:w="16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w:t>
            </w:r>
          </w:p>
        </w:tc>
      </w:tr>
      <w:tr>
        <w:trPr>
          <w:trHeight w:val="191"/>
        </w:trPr>
        <w:tc>
          <w:tcPr>
            <w:tcW w:w="5120" w:type="dxa"/>
            <w:vAlign w:val="bottom"/>
          </w:tcPr>
          <w:p>
            <w:pPr>
              <w:spacing w:after="0"/>
              <w:rPr>
                <w:sz w:val="16"/>
                <w:szCs w:val="16"/>
                <w:color w:val="auto"/>
              </w:rPr>
            </w:pP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94.1</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8.7</w:t>
            </w:r>
          </w:p>
        </w:tc>
        <w:tc>
          <w:tcPr>
            <w:tcW w:w="16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(3.5)</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99.3</w:t>
            </w:r>
          </w:p>
        </w:tc>
      </w:tr>
      <w:tr>
        <w:trPr>
          <w:trHeight w:val="383"/>
        </w:trPr>
        <w:tc>
          <w:tcPr>
            <w:tcW w:w="512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5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32.2</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0.2</w:t>
            </w:r>
          </w:p>
        </w:tc>
        <w:tc>
          <w:tcPr>
            <w:tcW w:w="16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13.8(c)</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46.2</w:t>
            </w:r>
          </w:p>
        </w:tc>
      </w:tr>
      <w:tr>
        <w:trPr>
          <w:trHeight w:val="191"/>
        </w:trPr>
        <w:tc>
          <w:tcPr>
            <w:tcW w:w="5120" w:type="dxa"/>
            <w:vAlign w:val="bottom"/>
          </w:tcPr>
          <w:p>
            <w:pPr>
              <w:spacing w:after="0"/>
              <w:rPr>
                <w:sz w:val="16"/>
                <w:szCs w:val="16"/>
                <w:color w:val="auto"/>
              </w:rPr>
            </w:pP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before income taxes</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61.9</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w:t>
            </w:r>
          </w:p>
        </w:tc>
        <w:tc>
          <w:tcPr>
            <w:tcW w:w="16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(17.3)</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53.1</w:t>
            </w:r>
          </w:p>
        </w:tc>
      </w:tr>
      <w:tr>
        <w:trPr>
          <w:trHeight w:val="383"/>
        </w:trPr>
        <w:tc>
          <w:tcPr>
            <w:tcW w:w="512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15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24.9</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5.3</w:t>
            </w:r>
          </w:p>
        </w:tc>
        <w:tc>
          <w:tcPr>
            <w:tcW w:w="16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(8.8)(d)</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21.4</w:t>
            </w:r>
          </w:p>
        </w:tc>
      </w:tr>
      <w:tr>
        <w:trPr>
          <w:trHeight w:val="191"/>
        </w:trPr>
        <w:tc>
          <w:tcPr>
            <w:tcW w:w="5120" w:type="dxa"/>
            <w:vAlign w:val="bottom"/>
          </w:tcPr>
          <w:p>
            <w:pPr>
              <w:spacing w:after="0"/>
              <w:rPr>
                <w:sz w:val="16"/>
                <w:szCs w:val="16"/>
                <w:color w:val="auto"/>
              </w:rPr>
            </w:pP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before extraordinary item</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37.0</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w:t>
            </w:r>
          </w:p>
        </w:tc>
        <w:tc>
          <w:tcPr>
            <w:tcW w:w="16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(8.5)</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31.7</w:t>
            </w:r>
          </w:p>
        </w:tc>
      </w:tr>
      <w:tr>
        <w:trPr>
          <w:trHeight w:val="383"/>
        </w:trPr>
        <w:tc>
          <w:tcPr>
            <w:tcW w:w="5120" w:type="dxa"/>
            <w:vAlign w:val="bottom"/>
          </w:tcPr>
          <w:p>
            <w:pPr>
              <w:spacing w:after="0"/>
              <w:rPr>
                <w:sz w:val="20"/>
                <w:szCs w:val="20"/>
                <w:color w:val="auto"/>
              </w:rPr>
            </w:pPr>
            <w:r>
              <w:rPr>
                <w:rFonts w:ascii="Courier New" w:cs="Courier New" w:eastAsia="Courier New" w:hAnsi="Courier New"/>
                <w:sz w:val="17"/>
                <w:szCs w:val="17"/>
                <w:color w:val="auto"/>
              </w:rPr>
              <w:t>Preferred stock dividends</w:t>
            </w:r>
          </w:p>
        </w:tc>
        <w:tc>
          <w:tcPr>
            <w:tcW w:w="15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9.8</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r>
      <w:tr>
        <w:trPr>
          <w:trHeight w:val="191"/>
        </w:trPr>
        <w:tc>
          <w:tcPr>
            <w:tcW w:w="5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before extraordinary item</w:t>
            </w: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51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available to common shareholders</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  27.2</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3.2</w:t>
            </w:r>
          </w:p>
        </w:tc>
        <w:tc>
          <w:tcPr>
            <w:tcW w:w="16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 (8.5)</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$ 21.9</w:t>
            </w:r>
          </w:p>
        </w:tc>
      </w:tr>
      <w:tr>
        <w:trPr>
          <w:trHeight w:val="383"/>
        </w:trPr>
        <w:tc>
          <w:tcPr>
            <w:tcW w:w="5120" w:type="dxa"/>
            <w:vAlign w:val="bottom"/>
          </w:tcPr>
          <w:p>
            <w:pPr>
              <w:spacing w:after="0"/>
              <w:rPr>
                <w:sz w:val="20"/>
                <w:szCs w:val="20"/>
                <w:color w:val="auto"/>
              </w:rPr>
            </w:pPr>
            <w:r>
              <w:rPr>
                <w:rFonts w:ascii="Courier New" w:cs="Courier New" w:eastAsia="Courier New" w:hAnsi="Courier New"/>
                <w:sz w:val="17"/>
                <w:szCs w:val="17"/>
                <w:color w:val="auto"/>
              </w:rPr>
              <w:t>Income before extraordinary item per share:</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1"/>
        </w:trPr>
        <w:tc>
          <w:tcPr>
            <w:tcW w:w="5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Basic</w:t>
            </w: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$ 1.17</w:t>
            </w:r>
          </w:p>
        </w:tc>
      </w:tr>
      <w:tr>
        <w:trPr>
          <w:trHeight w:val="191"/>
        </w:trPr>
        <w:tc>
          <w:tcPr>
            <w:tcW w:w="5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Diluted</w:t>
            </w: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$ 1.05</w:t>
            </w:r>
          </w:p>
        </w:tc>
      </w:tr>
      <w:tr>
        <w:trPr>
          <w:trHeight w:val="383"/>
        </w:trPr>
        <w:tc>
          <w:tcPr>
            <w:tcW w:w="5120" w:type="dxa"/>
            <w:vAlign w:val="bottom"/>
          </w:tcPr>
          <w:p>
            <w:pPr>
              <w:spacing w:after="0"/>
              <w:rPr>
                <w:sz w:val="20"/>
                <w:szCs w:val="20"/>
                <w:color w:val="auto"/>
              </w:rPr>
            </w:pPr>
            <w:r>
              <w:rPr>
                <w:rFonts w:ascii="Courier New" w:cs="Courier New" w:eastAsia="Courier New" w:hAnsi="Courier New"/>
                <w:sz w:val="17"/>
                <w:szCs w:val="17"/>
                <w:color w:val="auto"/>
              </w:rPr>
              <w:t>Number of shares used in per share calculation:</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1"/>
        </w:trPr>
        <w:tc>
          <w:tcPr>
            <w:tcW w:w="5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Basic</w:t>
            </w: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18.7</w:t>
            </w:r>
          </w:p>
        </w:tc>
      </w:tr>
      <w:tr>
        <w:trPr>
          <w:trHeight w:val="191"/>
        </w:trPr>
        <w:tc>
          <w:tcPr>
            <w:tcW w:w="5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Diluted</w:t>
            </w: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30.3</w:t>
            </w:r>
          </w:p>
        </w:tc>
      </w:tr>
      <w:tr>
        <w:trPr>
          <w:trHeight w:val="956"/>
        </w:trPr>
        <w:tc>
          <w:tcPr>
            <w:tcW w:w="5120" w:type="dxa"/>
            <w:vAlign w:val="bottom"/>
          </w:tcPr>
          <w:p>
            <w:pPr>
              <w:jc w:val="center"/>
              <w:ind w:left="2757"/>
              <w:spacing w:after="0"/>
              <w:rPr>
                <w:sz w:val="20"/>
                <w:szCs w:val="20"/>
                <w:color w:val="auto"/>
              </w:rPr>
            </w:pPr>
            <w:r>
              <w:rPr>
                <w:rFonts w:ascii="Courier New" w:cs="Courier New" w:eastAsia="Courier New" w:hAnsi="Courier New"/>
                <w:sz w:val="17"/>
                <w:szCs w:val="17"/>
                <w:color w:val="auto"/>
                <w:w w:val="97"/>
              </w:rPr>
              <w:t>22</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340"/>
          </w:cols>
          <w:pgMar w:left="240" w:top="301" w:right="1319"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23</w:t>
      </w:r>
    </w:p>
    <w:p>
      <w:pPr>
        <w:spacing w:after="0" w:line="3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SCOTTS COMPANY</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THE UNAUDITED PRO FORMA</w:t>
      </w:r>
    </w:p>
    <w:p>
      <w:pPr>
        <w:jc w:val="center"/>
        <w:ind w:right="2259"/>
        <w:spacing w:after="0" w:line="238" w:lineRule="auto"/>
        <w:rPr>
          <w:sz w:val="20"/>
          <w:szCs w:val="20"/>
          <w:color w:val="auto"/>
        </w:rPr>
      </w:pPr>
      <w:r>
        <w:rPr>
          <w:rFonts w:ascii="Courier New" w:cs="Courier New" w:eastAsia="Courier New" w:hAnsi="Courier New"/>
          <w:sz w:val="17"/>
          <w:szCs w:val="17"/>
          <w:color w:val="auto"/>
        </w:rPr>
        <w:t>COMBINED STATEMENT OF OPERATIONS</w:t>
      </w:r>
    </w:p>
    <w:p>
      <w:pPr>
        <w:jc w:val="center"/>
        <w:ind w:right="2159"/>
        <w:spacing w:after="0"/>
        <w:rPr>
          <w:sz w:val="20"/>
          <w:szCs w:val="20"/>
          <w:color w:val="auto"/>
        </w:rPr>
      </w:pPr>
      <w:r>
        <w:rPr>
          <w:rFonts w:ascii="Courier New" w:cs="Courier New" w:eastAsia="Courier New" w:hAnsi="Courier New"/>
          <w:sz w:val="17"/>
          <w:szCs w:val="17"/>
          <w:color w:val="auto"/>
        </w:rPr>
        <w:t>(in millions)</w:t>
      </w:r>
    </w:p>
    <w:p>
      <w:pPr>
        <w:spacing w:after="0" w:line="387" w:lineRule="exact"/>
        <w:rPr>
          <w:sz w:val="20"/>
          <w:szCs w:val="20"/>
          <w:color w:val="auto"/>
        </w:rPr>
      </w:pPr>
    </w:p>
    <w:p>
      <w:pPr>
        <w:ind w:left="500" w:right="2259" w:hanging="498"/>
        <w:spacing w:after="0" w:line="236" w:lineRule="auto"/>
        <w:tabs>
          <w:tab w:leader="none" w:pos="5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 of operations for RPJ has been translated from French francs to U.S. dollars using the average exchange rate for the twelve months ended September 30, 1998.</w:t>
      </w:r>
    </w:p>
    <w:p>
      <w:pPr>
        <w:spacing w:after="0" w:line="196" w:lineRule="exact"/>
        <w:rPr>
          <w:rFonts w:ascii="Courier New" w:cs="Courier New" w:eastAsia="Courier New" w:hAnsi="Courier New"/>
          <w:sz w:val="17"/>
          <w:szCs w:val="17"/>
          <w:color w:val="auto"/>
        </w:rPr>
      </w:pPr>
    </w:p>
    <w:p>
      <w:pPr>
        <w:ind w:left="500" w:right="2259" w:hanging="498"/>
        <w:spacing w:after="0" w:line="259" w:lineRule="auto"/>
        <w:tabs>
          <w:tab w:leader="none" w:pos="5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increased amortization of goodwill and other intangibles resulting from an allocation of the estimated purchase price of the RPJ business:</w:t>
      </w:r>
    </w:p>
    <w:p>
      <w:pPr>
        <w:spacing w:after="0" w:line="200" w:lineRule="exact"/>
        <w:rPr>
          <w:sz w:val="20"/>
          <w:szCs w:val="20"/>
          <w:color w:val="auto"/>
        </w:rPr>
      </w:pPr>
    </w:p>
    <w:p>
      <w:pPr>
        <w:spacing w:after="0" w:line="359"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4980" w:type="dxa"/>
            <w:vAlign w:val="bottom"/>
          </w:tcPr>
          <w:p>
            <w:pPr>
              <w:spacing w:after="0"/>
              <w:rPr>
                <w:sz w:val="20"/>
                <w:szCs w:val="20"/>
                <w:color w:val="auto"/>
              </w:rPr>
            </w:pPr>
            <w:r>
              <w:rPr>
                <w:rFonts w:ascii="Courier New" w:cs="Courier New" w:eastAsia="Courier New" w:hAnsi="Courier New"/>
                <w:sz w:val="17"/>
                <w:szCs w:val="17"/>
                <w:color w:val="auto"/>
              </w:rPr>
              <w:t>Estimated purchase price</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$216.3</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amounts allocated to tangible</w:t>
            </w:r>
          </w:p>
        </w:tc>
        <w:tc>
          <w:tcPr>
            <w:tcW w:w="1580" w:type="dxa"/>
            <w:vAlign w:val="bottom"/>
          </w:tcPr>
          <w:p>
            <w:pPr>
              <w:spacing w:after="0"/>
              <w:rPr>
                <w:sz w:val="16"/>
                <w:szCs w:val="16"/>
                <w:color w:val="auto"/>
              </w:rPr>
            </w:pPr>
          </w:p>
        </w:tc>
      </w:tr>
      <w:tr>
        <w:trPr>
          <w:trHeight w:val="191"/>
        </w:trPr>
        <w:tc>
          <w:tcPr>
            <w:tcW w:w="4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assets and liabilities</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(13.1)</w:t>
            </w:r>
          </w:p>
        </w:tc>
      </w:tr>
      <w:tr>
        <w:trPr>
          <w:trHeight w:val="191"/>
        </w:trPr>
        <w:tc>
          <w:tcPr>
            <w:tcW w:w="4980" w:type="dxa"/>
            <w:vAlign w:val="bottom"/>
          </w:tcPr>
          <w:p>
            <w:pPr>
              <w:spacing w:after="0"/>
              <w:rPr>
                <w:sz w:val="16"/>
                <w:szCs w:val="16"/>
                <w:color w:val="auto"/>
              </w:rPr>
            </w:pP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Amount allocated to goodwill and</w:t>
            </w:r>
          </w:p>
        </w:tc>
        <w:tc>
          <w:tcPr>
            <w:tcW w:w="1580" w:type="dxa"/>
            <w:vAlign w:val="bottom"/>
          </w:tcPr>
          <w:p>
            <w:pPr>
              <w:spacing w:after="0"/>
              <w:rPr>
                <w:sz w:val="16"/>
                <w:szCs w:val="16"/>
                <w:color w:val="auto"/>
              </w:rPr>
            </w:pPr>
          </w:p>
        </w:tc>
      </w:tr>
      <w:tr>
        <w:trPr>
          <w:trHeight w:val="191"/>
        </w:trPr>
        <w:tc>
          <w:tcPr>
            <w:tcW w:w="4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intangibles</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203.2</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Estimated average useful life (in years)</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w:t>
            </w:r>
          </w:p>
        </w:tc>
      </w:tr>
      <w:tr>
        <w:trPr>
          <w:trHeight w:val="191"/>
        </w:trPr>
        <w:tc>
          <w:tcPr>
            <w:tcW w:w="4980" w:type="dxa"/>
            <w:vAlign w:val="bottom"/>
          </w:tcPr>
          <w:p>
            <w:pPr>
              <w:spacing w:after="0"/>
              <w:rPr>
                <w:sz w:val="16"/>
                <w:szCs w:val="16"/>
                <w:color w:val="auto"/>
              </w:rPr>
            </w:pP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amortization included in historical</w:t>
            </w:r>
          </w:p>
        </w:tc>
        <w:tc>
          <w:tcPr>
            <w:tcW w:w="1580" w:type="dxa"/>
            <w:vAlign w:val="bottom"/>
          </w:tcPr>
          <w:p>
            <w:pPr>
              <w:spacing w:after="0"/>
              <w:rPr>
                <w:sz w:val="16"/>
                <w:szCs w:val="16"/>
                <w:color w:val="auto"/>
              </w:rPr>
            </w:pPr>
          </w:p>
        </w:tc>
      </w:tr>
      <w:tr>
        <w:trPr>
          <w:trHeight w:val="191"/>
        </w:trPr>
        <w:tc>
          <w:tcPr>
            <w:tcW w:w="4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RPJ financial statements</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w:t>
            </w:r>
          </w:p>
        </w:tc>
      </w:tr>
      <w:tr>
        <w:trPr>
          <w:trHeight w:val="191"/>
        </w:trPr>
        <w:tc>
          <w:tcPr>
            <w:tcW w:w="4980" w:type="dxa"/>
            <w:vAlign w:val="bottom"/>
          </w:tcPr>
          <w:p>
            <w:pPr>
              <w:spacing w:after="0"/>
              <w:rPr>
                <w:sz w:val="16"/>
                <w:szCs w:val="16"/>
                <w:color w:val="auto"/>
              </w:rPr>
            </w:pP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3.5</w:t>
            </w:r>
          </w:p>
        </w:tc>
      </w:tr>
    </w:tbl>
    <w:p>
      <w:pPr>
        <w:spacing w:after="0" w:line="388" w:lineRule="exact"/>
        <w:rPr>
          <w:sz w:val="20"/>
          <w:szCs w:val="20"/>
          <w:color w:val="auto"/>
        </w:rPr>
      </w:pPr>
    </w:p>
    <w:p>
      <w:pPr>
        <w:ind w:left="500" w:right="2259"/>
        <w:spacing w:after="0" w:line="237" w:lineRule="auto"/>
        <w:rPr>
          <w:sz w:val="20"/>
          <w:szCs w:val="20"/>
          <w:color w:val="auto"/>
        </w:rPr>
      </w:pPr>
      <w:r>
        <w:rPr>
          <w:rFonts w:ascii="Courier New" w:cs="Courier New" w:eastAsia="Courier New" w:hAnsi="Courier New"/>
          <w:sz w:val="17"/>
          <w:szCs w:val="17"/>
          <w:color w:val="auto"/>
        </w:rPr>
        <w:t>A valuation of the RPJ business has not been completed as of the date of this filing. Accordingly, the allocation of the anticipated purchase price is based on management's estimates and assumes that the book value of fixed assets reasonably approximates its fair value. The excess of the purchase price over the value of tangible assets generally is assumed to represent goodwill with an estimated useful life of 40 years, however certain other intangible assets (e.g., trademarks, patents, etc.) may be identified in the valuation process which have useful lives of less than 40 years. Accordingly, the excess purchase price over the value of tangible assets is being amortized over an average life of 35 years. The Company expects that the final allocation of the purchase price to be completed by June 30, 1999.</w:t>
      </w:r>
    </w:p>
    <w:p>
      <w:pPr>
        <w:spacing w:after="0" w:line="204" w:lineRule="exact"/>
        <w:rPr>
          <w:sz w:val="20"/>
          <w:szCs w:val="20"/>
          <w:color w:val="auto"/>
        </w:rPr>
      </w:pPr>
    </w:p>
    <w:p>
      <w:pPr>
        <w:ind w:left="500" w:right="2659" w:hanging="498"/>
        <w:spacing w:after="0" w:line="236" w:lineRule="auto"/>
        <w:tabs>
          <w:tab w:leader="none" w:pos="5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additional interest expense incurred on borrowings under the Company's revolving credit facility to fund the RPJ acquisition. The borrowings bear interest at an average rate of 6.37%.</w:t>
      </w:r>
    </w:p>
    <w:p>
      <w:pPr>
        <w:spacing w:after="0" w:line="196" w:lineRule="exact"/>
        <w:rPr>
          <w:rFonts w:ascii="Courier New" w:cs="Courier New" w:eastAsia="Courier New" w:hAnsi="Courier New"/>
          <w:sz w:val="17"/>
          <w:szCs w:val="17"/>
          <w:color w:val="auto"/>
        </w:rPr>
      </w:pPr>
    </w:p>
    <w:p>
      <w:pPr>
        <w:ind w:left="500" w:right="2359" w:hanging="498"/>
        <w:spacing w:after="0" w:line="236" w:lineRule="auto"/>
        <w:tabs>
          <w:tab w:leader="none" w:pos="5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estimated provision for income taxes on a pro forma basis using the effective tax rate for the Company on a stand-alone basis for fiscal 1998 of 40.3%.</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01"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24</w:t>
      </w:r>
    </w:p>
    <w:p>
      <w:pPr>
        <w:spacing w:after="0" w:line="381"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7"/>
          <w:szCs w:val="17"/>
          <w:color w:val="auto"/>
        </w:rPr>
        <w:t>THE SCOTTS COMPANY</w:t>
      </w:r>
    </w:p>
    <w:p>
      <w:pPr>
        <w:jc w:val="center"/>
        <w:ind w:right="2480"/>
        <w:spacing w:after="0" w:line="238" w:lineRule="auto"/>
        <w:rPr>
          <w:sz w:val="20"/>
          <w:szCs w:val="20"/>
          <w:color w:val="auto"/>
        </w:rPr>
      </w:pPr>
      <w:r>
        <w:rPr>
          <w:rFonts w:ascii="Courier New" w:cs="Courier New" w:eastAsia="Courier New" w:hAnsi="Courier New"/>
          <w:sz w:val="17"/>
          <w:szCs w:val="17"/>
          <w:color w:val="auto"/>
        </w:rPr>
        <w:t>UNAUDITED PRO FORMA COMBINED BALANCE SHEET</w:t>
      </w:r>
    </w:p>
    <w:p>
      <w:pPr>
        <w:ind w:left="2780"/>
        <w:spacing w:after="0" w:line="238" w:lineRule="auto"/>
        <w:rPr>
          <w:sz w:val="20"/>
          <w:szCs w:val="20"/>
          <w:color w:val="auto"/>
        </w:rPr>
      </w:pPr>
      <w:r>
        <w:rPr>
          <w:rFonts w:ascii="Courier New" w:cs="Courier New" w:eastAsia="Courier New" w:hAnsi="Courier New"/>
          <w:sz w:val="17"/>
          <w:szCs w:val="17"/>
          <w:color w:val="auto"/>
        </w:rPr>
        <w:t>AS OF SEPTEMBER 30, 1998</w:t>
      </w:r>
    </w:p>
    <w:p>
      <w:pPr>
        <w:ind w:left="3380"/>
        <w:spacing w:after="0"/>
        <w:rPr>
          <w:sz w:val="20"/>
          <w:szCs w:val="20"/>
          <w:color w:val="auto"/>
        </w:rPr>
      </w:pPr>
      <w:r>
        <w:rPr>
          <w:rFonts w:ascii="Courier New" w:cs="Courier New" w:eastAsia="Courier New" w:hAnsi="Courier New"/>
          <w:sz w:val="17"/>
          <w:szCs w:val="17"/>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Scotts</w:t>
            </w:r>
          </w:p>
        </w:tc>
        <w:tc>
          <w:tcPr>
            <w:tcW w:w="1140" w:type="dxa"/>
            <w:vAlign w:val="bottom"/>
            <w:gridSpan w:val="2"/>
          </w:tcPr>
          <w:p>
            <w:pPr>
              <w:ind w:left="340"/>
              <w:spacing w:after="0"/>
              <w:rPr>
                <w:sz w:val="20"/>
                <w:szCs w:val="20"/>
                <w:color w:val="auto"/>
              </w:rPr>
            </w:pPr>
            <w:r>
              <w:rPr>
                <w:rFonts w:ascii="Courier New" w:cs="Courier New" w:eastAsia="Courier New" w:hAnsi="Courier New"/>
                <w:sz w:val="17"/>
                <w:szCs w:val="17"/>
                <w:color w:val="auto"/>
              </w:rPr>
              <w:t>RPJ (a)</w:t>
            </w:r>
          </w:p>
        </w:tc>
        <w:tc>
          <w:tcPr>
            <w:tcW w:w="16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Adjustments</w:t>
            </w:r>
          </w:p>
        </w:tc>
        <w:tc>
          <w:tcPr>
            <w:tcW w:w="124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Pro forma</w:t>
            </w:r>
          </w:p>
        </w:tc>
      </w:tr>
      <w:tr>
        <w:trPr>
          <w:trHeight w:val="191"/>
        </w:trPr>
        <w:tc>
          <w:tcPr>
            <w:tcW w:w="4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5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10.6</w:t>
            </w:r>
          </w:p>
        </w:tc>
        <w:tc>
          <w:tcPr>
            <w:tcW w:w="5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10.1</w:t>
            </w:r>
          </w:p>
        </w:tc>
        <w:tc>
          <w:tcPr>
            <w:tcW w:w="1640" w:type="dxa"/>
            <w:vAlign w:val="bottom"/>
          </w:tcPr>
          <w:p>
            <w:pPr>
              <w:spacing w:after="0"/>
              <w:rPr>
                <w:sz w:val="16"/>
                <w:szCs w:val="16"/>
                <w:color w:val="auto"/>
              </w:rPr>
            </w:pPr>
          </w:p>
        </w:tc>
        <w:tc>
          <w:tcPr>
            <w:tcW w:w="3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20.7</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146.6</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16.9</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163.5</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Inventory</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177.7</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29.6</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207.3</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current assets</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32.3</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10.1</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42.4</w:t>
            </w:r>
          </w:p>
        </w:tc>
      </w:tr>
      <w:tr>
        <w:trPr>
          <w:trHeight w:val="191"/>
        </w:trPr>
        <w:tc>
          <w:tcPr>
            <w:tcW w:w="4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3"/>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367.2</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66.7</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433.9</w:t>
            </w:r>
          </w:p>
        </w:tc>
      </w:tr>
      <w:tr>
        <w:trPr>
          <w:trHeight w:val="383"/>
        </w:trPr>
        <w:tc>
          <w:tcPr>
            <w:tcW w:w="4580" w:type="dxa"/>
            <w:vAlign w:val="bottom"/>
          </w:tcPr>
          <w:p>
            <w:pPr>
              <w:spacing w:after="0"/>
              <w:rPr>
                <w:sz w:val="20"/>
                <w:szCs w:val="20"/>
                <w:color w:val="auto"/>
              </w:rPr>
            </w:pPr>
            <w:r>
              <w:rPr>
                <w:rFonts w:ascii="Courier New" w:cs="Courier New" w:eastAsia="Courier New" w:hAnsi="Courier New"/>
                <w:sz w:val="17"/>
                <w:szCs w:val="17"/>
                <w:color w:val="auto"/>
              </w:rPr>
              <w:t>Plant, property and equipment</w:t>
            </w:r>
          </w:p>
        </w:tc>
        <w:tc>
          <w:tcPr>
            <w:tcW w:w="800" w:type="dxa"/>
            <w:vAlign w:val="bottom"/>
          </w:tcPr>
          <w:p>
            <w:pPr>
              <w:spacing w:after="0"/>
              <w:rPr>
                <w:sz w:val="24"/>
                <w:szCs w:val="24"/>
                <w:color w:val="auto"/>
              </w:rPr>
            </w:pPr>
          </w:p>
        </w:tc>
        <w:tc>
          <w:tcPr>
            <w:tcW w:w="10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197.0</w:t>
            </w:r>
          </w:p>
        </w:tc>
        <w:tc>
          <w:tcPr>
            <w:tcW w:w="50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4.4</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201.4</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and other intangibles</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435.1</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82.2</w:t>
            </w:r>
          </w:p>
        </w:tc>
        <w:tc>
          <w:tcPr>
            <w:tcW w:w="16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121.0(b)</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638.3</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35.9</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38.1</w:t>
            </w:r>
          </w:p>
        </w:tc>
      </w:tr>
      <w:tr>
        <w:trPr>
          <w:trHeight w:val="191"/>
        </w:trPr>
        <w:tc>
          <w:tcPr>
            <w:tcW w:w="4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3"/>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assets</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1,035.2</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155.5</w:t>
            </w:r>
          </w:p>
        </w:tc>
        <w:tc>
          <w:tcPr>
            <w:tcW w:w="16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121.0</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1,311.7</w:t>
            </w:r>
          </w:p>
        </w:tc>
      </w:tr>
      <w:tr>
        <w:trPr>
          <w:trHeight w:val="574"/>
        </w:trPr>
        <w:tc>
          <w:tcPr>
            <w:tcW w:w="4580" w:type="dxa"/>
            <w:vAlign w:val="bottom"/>
          </w:tcPr>
          <w:p>
            <w:pPr>
              <w:spacing w:after="0"/>
              <w:rPr>
                <w:sz w:val="20"/>
                <w:szCs w:val="20"/>
                <w:color w:val="auto"/>
              </w:rPr>
            </w:pPr>
            <w:r>
              <w:rPr>
                <w:rFonts w:ascii="Courier New" w:cs="Courier New" w:eastAsia="Courier New" w:hAnsi="Courier New"/>
                <w:sz w:val="17"/>
                <w:szCs w:val="17"/>
                <w:color w:val="auto"/>
              </w:rPr>
              <w:t>LIABILITIES AND EQUITY</w:t>
            </w: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portion of long-term debt</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13.3</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15.8</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Accounts payable</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77.8</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22.6</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100.4</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Accrued liabilities</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140.8</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152.8</w:t>
            </w:r>
          </w:p>
        </w:tc>
      </w:tr>
      <w:tr>
        <w:trPr>
          <w:trHeight w:val="191"/>
        </w:trPr>
        <w:tc>
          <w:tcPr>
            <w:tcW w:w="4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3"/>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231.9</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37.1</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269.0</w:t>
            </w:r>
          </w:p>
        </w:tc>
      </w:tr>
      <w:tr>
        <w:trPr>
          <w:trHeight w:val="383"/>
        </w:trPr>
        <w:tc>
          <w:tcPr>
            <w:tcW w:w="458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800" w:type="dxa"/>
            <w:vAlign w:val="bottom"/>
          </w:tcPr>
          <w:p>
            <w:pPr>
              <w:spacing w:after="0"/>
              <w:rPr>
                <w:sz w:val="24"/>
                <w:szCs w:val="24"/>
                <w:color w:val="auto"/>
              </w:rPr>
            </w:pPr>
          </w:p>
        </w:tc>
        <w:tc>
          <w:tcPr>
            <w:tcW w:w="10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359.2</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216.3(c)</w:t>
            </w:r>
          </w:p>
        </w:tc>
        <w:tc>
          <w:tcPr>
            <w:tcW w:w="3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575.5</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long-term liabilities</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40.2</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23.1</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63.3</w:t>
            </w:r>
          </w:p>
        </w:tc>
      </w:tr>
      <w:tr>
        <w:trPr>
          <w:trHeight w:val="191"/>
        </w:trPr>
        <w:tc>
          <w:tcPr>
            <w:tcW w:w="4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3"/>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liabilities</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631.3</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60.2</w:t>
            </w:r>
          </w:p>
        </w:tc>
        <w:tc>
          <w:tcPr>
            <w:tcW w:w="16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216.3</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907.8</w:t>
            </w:r>
          </w:p>
        </w:tc>
      </w:tr>
      <w:tr>
        <w:trPr>
          <w:trHeight w:val="383"/>
        </w:trPr>
        <w:tc>
          <w:tcPr>
            <w:tcW w:w="4580" w:type="dxa"/>
            <w:vAlign w:val="bottom"/>
          </w:tcPr>
          <w:p>
            <w:pPr>
              <w:spacing w:after="0"/>
              <w:rPr>
                <w:sz w:val="20"/>
                <w:szCs w:val="20"/>
                <w:color w:val="auto"/>
              </w:rPr>
            </w:pPr>
            <w:r>
              <w:rPr>
                <w:rFonts w:ascii="Courier New" w:cs="Courier New" w:eastAsia="Courier New" w:hAnsi="Courier New"/>
                <w:sz w:val="17"/>
                <w:szCs w:val="17"/>
                <w:color w:val="auto"/>
              </w:rPr>
              <w:t>Preferred stock</w:t>
            </w:r>
          </w:p>
        </w:tc>
        <w:tc>
          <w:tcPr>
            <w:tcW w:w="800" w:type="dxa"/>
            <w:vAlign w:val="bottom"/>
          </w:tcPr>
          <w:p>
            <w:pPr>
              <w:spacing w:after="0"/>
              <w:rPr>
                <w:sz w:val="24"/>
                <w:szCs w:val="24"/>
                <w:color w:val="auto"/>
              </w:rPr>
            </w:pPr>
          </w:p>
        </w:tc>
        <w:tc>
          <w:tcPr>
            <w:tcW w:w="10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177.3</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177.3</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Common shares</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0.2</w:t>
            </w: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0.2</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in excess of par</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208.7</w:t>
            </w: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208.7</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earnings</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76.6</w:t>
            </w: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76.6</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Divisional equity</w:t>
            </w: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87.4</w:t>
            </w:r>
          </w:p>
        </w:tc>
        <w:tc>
          <w:tcPr>
            <w:tcW w:w="1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(87.4)(d)</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Cumulative foreign currency translation</w:t>
            </w: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adjustment</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(3.0)</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w:t>
            </w:r>
          </w:p>
        </w:tc>
        <w:tc>
          <w:tcPr>
            <w:tcW w:w="16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(7.9)(d)</w:t>
            </w:r>
          </w:p>
        </w:tc>
        <w:tc>
          <w:tcPr>
            <w:tcW w:w="3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w:t>
            </w:r>
          </w:p>
        </w:tc>
      </w:tr>
      <w:tr>
        <w:trPr>
          <w:trHeight w:val="191"/>
        </w:trPr>
        <w:tc>
          <w:tcPr>
            <w:tcW w:w="4580" w:type="dxa"/>
            <w:vAlign w:val="bottom"/>
          </w:tcPr>
          <w:p>
            <w:pPr>
              <w:spacing w:after="0" w:line="191" w:lineRule="exact"/>
              <w:rPr>
                <w:sz w:val="20"/>
                <w:szCs w:val="20"/>
                <w:color w:val="auto"/>
              </w:rPr>
            </w:pPr>
            <w:r>
              <w:rPr>
                <w:rFonts w:ascii="Courier New" w:cs="Courier New" w:eastAsia="Courier New" w:hAnsi="Courier New"/>
                <w:sz w:val="17"/>
                <w:szCs w:val="17"/>
                <w:color w:val="auto"/>
              </w:rPr>
              <w:t>Treasury stock</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(55.9)</w:t>
            </w: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(55.9)</w:t>
            </w:r>
          </w:p>
        </w:tc>
      </w:tr>
      <w:tr>
        <w:trPr>
          <w:trHeight w:val="191"/>
        </w:trPr>
        <w:tc>
          <w:tcPr>
            <w:tcW w:w="4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3"/>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4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equity</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403.9</w:t>
            </w:r>
          </w:p>
        </w:tc>
        <w:tc>
          <w:tcPr>
            <w:tcW w:w="50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95.3</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(95.3)</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403.9</w:t>
            </w:r>
          </w:p>
        </w:tc>
      </w:tr>
      <w:tr>
        <w:trPr>
          <w:trHeight w:val="191"/>
        </w:trPr>
        <w:tc>
          <w:tcPr>
            <w:tcW w:w="4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3"/>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45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Total liabilities and equity</w:t>
            </w:r>
          </w:p>
        </w:tc>
        <w:tc>
          <w:tcPr>
            <w:tcW w:w="8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3"/>
              </w:rPr>
              <w:t>$1,035.2</w:t>
            </w:r>
          </w:p>
        </w:tc>
        <w:tc>
          <w:tcPr>
            <w:tcW w:w="5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155.5</w:t>
            </w:r>
          </w:p>
        </w:tc>
        <w:tc>
          <w:tcPr>
            <w:tcW w:w="16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121.0</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$1,311.7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440"/>
          </w:cols>
          <w:pgMar w:left="240" w:top="301" w:right="1219"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25</w:t>
      </w:r>
    </w:p>
    <w:p>
      <w:pPr>
        <w:spacing w:after="0" w:line="3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SCOTTS COMPANY</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THE UNAUDITED PRO FORMA</w:t>
      </w:r>
    </w:p>
    <w:p>
      <w:pPr>
        <w:ind w:left="2880"/>
        <w:spacing w:after="0" w:line="238" w:lineRule="auto"/>
        <w:rPr>
          <w:sz w:val="20"/>
          <w:szCs w:val="20"/>
          <w:color w:val="auto"/>
        </w:rPr>
      </w:pPr>
      <w:r>
        <w:rPr>
          <w:rFonts w:ascii="Courier New" w:cs="Courier New" w:eastAsia="Courier New" w:hAnsi="Courier New"/>
          <w:sz w:val="17"/>
          <w:szCs w:val="17"/>
          <w:color w:val="auto"/>
        </w:rPr>
        <w:t>COMBINED BALANCE SHEET</w:t>
      </w:r>
    </w:p>
    <w:p>
      <w:pPr>
        <w:ind w:left="3380"/>
        <w:spacing w:after="0"/>
        <w:rPr>
          <w:sz w:val="20"/>
          <w:szCs w:val="20"/>
          <w:color w:val="auto"/>
        </w:rPr>
      </w:pPr>
      <w:r>
        <w:rPr>
          <w:rFonts w:ascii="Courier New" w:cs="Courier New" w:eastAsia="Courier New" w:hAnsi="Courier New"/>
          <w:sz w:val="17"/>
          <w:szCs w:val="17"/>
          <w:color w:val="auto"/>
        </w:rPr>
        <w:t>(in millions)</w:t>
      </w:r>
    </w:p>
    <w:p>
      <w:pPr>
        <w:spacing w:after="0" w:line="387" w:lineRule="exact"/>
        <w:rPr>
          <w:sz w:val="20"/>
          <w:szCs w:val="20"/>
          <w:color w:val="auto"/>
        </w:rPr>
      </w:pPr>
    </w:p>
    <w:p>
      <w:pPr>
        <w:ind w:left="500" w:right="2259" w:hanging="498"/>
        <w:spacing w:after="0" w:line="236" w:lineRule="auto"/>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balance sheet for RPJ as of September 30, 1998 has been translated from French francs to U.S. dollars. Assets and liabilities were translated using the exchange rate as of September 30, 1998. Equity accounts have been translated using historical exchange rates.</w:t>
      </w:r>
    </w:p>
    <w:p>
      <w:pPr>
        <w:spacing w:after="0" w:line="198" w:lineRule="exact"/>
        <w:rPr>
          <w:rFonts w:ascii="Courier New" w:cs="Courier New" w:eastAsia="Courier New" w:hAnsi="Courier New"/>
          <w:sz w:val="17"/>
          <w:szCs w:val="17"/>
          <w:color w:val="auto"/>
        </w:rPr>
      </w:pPr>
    </w:p>
    <w:p>
      <w:pPr>
        <w:ind w:left="500" w:right="2559" w:hanging="498"/>
        <w:spacing w:after="0" w:line="235" w:lineRule="auto"/>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net adjustment to goodwill and other intangibles as a result of the RPJ acquisition as follows: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5320" w:type="dxa"/>
            <w:vAlign w:val="bottom"/>
          </w:tcPr>
          <w:p>
            <w:pPr>
              <w:spacing w:after="0"/>
              <w:rPr>
                <w:sz w:val="20"/>
                <w:szCs w:val="20"/>
                <w:color w:val="auto"/>
              </w:rPr>
            </w:pPr>
            <w:r>
              <w:rPr>
                <w:rFonts w:ascii="Courier New" w:cs="Courier New" w:eastAsia="Courier New" w:hAnsi="Courier New"/>
                <w:sz w:val="17"/>
                <w:szCs w:val="17"/>
                <w:color w:val="auto"/>
              </w:rPr>
              <w:t>Net amount of purchase price allocated to</w:t>
            </w:r>
          </w:p>
        </w:tc>
        <w:tc>
          <w:tcPr>
            <w:tcW w:w="1240" w:type="dxa"/>
            <w:vAlign w:val="bottom"/>
          </w:tcPr>
          <w:p>
            <w:pPr>
              <w:spacing w:after="0"/>
              <w:rPr>
                <w:sz w:val="16"/>
                <w:szCs w:val="16"/>
                <w:color w:val="auto"/>
              </w:rPr>
            </w:pPr>
          </w:p>
        </w:tc>
      </w:tr>
      <w:tr>
        <w:trPr>
          <w:trHeight w:val="191"/>
        </w:trPr>
        <w:tc>
          <w:tcPr>
            <w:tcW w:w="53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Goodwill and other intangibles (see note</w:t>
            </w:r>
          </w:p>
        </w:tc>
        <w:tc>
          <w:tcPr>
            <w:tcW w:w="1240" w:type="dxa"/>
            <w:vAlign w:val="bottom"/>
          </w:tcPr>
          <w:p>
            <w:pPr>
              <w:spacing w:after="0"/>
              <w:rPr>
                <w:sz w:val="16"/>
                <w:szCs w:val="16"/>
                <w:color w:val="auto"/>
              </w:rPr>
            </w:pPr>
          </w:p>
        </w:tc>
      </w:tr>
      <w:tr>
        <w:trPr>
          <w:trHeight w:val="191"/>
        </w:trPr>
        <w:tc>
          <w:tcPr>
            <w:tcW w:w="53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 to the pro forma statement of operations)</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$203.2</w:t>
            </w:r>
          </w:p>
        </w:tc>
      </w:tr>
      <w:tr>
        <w:trPr>
          <w:trHeight w:val="383"/>
        </w:trPr>
        <w:tc>
          <w:tcPr>
            <w:tcW w:w="532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intangibles included in</w:t>
            </w:r>
          </w:p>
        </w:tc>
        <w:tc>
          <w:tcPr>
            <w:tcW w:w="1240" w:type="dxa"/>
            <w:vAlign w:val="bottom"/>
          </w:tcPr>
          <w:p>
            <w:pPr>
              <w:spacing w:after="0"/>
              <w:rPr>
                <w:sz w:val="24"/>
                <w:szCs w:val="24"/>
                <w:color w:val="auto"/>
              </w:rPr>
            </w:pPr>
          </w:p>
        </w:tc>
      </w:tr>
      <w:tr>
        <w:trPr>
          <w:trHeight w:val="191"/>
        </w:trPr>
        <w:tc>
          <w:tcPr>
            <w:tcW w:w="53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historical RPJ balance sheet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82.2</w:t>
            </w:r>
          </w:p>
        </w:tc>
      </w:tr>
      <w:tr>
        <w:trPr>
          <w:trHeight w:val="191"/>
        </w:trPr>
        <w:tc>
          <w:tcPr>
            <w:tcW w:w="532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Pro forma adjustment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$121.0</w:t>
            </w:r>
          </w:p>
        </w:tc>
      </w:tr>
    </w:tbl>
    <w:p>
      <w:pPr>
        <w:spacing w:after="0" w:line="388" w:lineRule="exact"/>
        <w:rPr>
          <w:sz w:val="20"/>
          <w:szCs w:val="20"/>
          <w:color w:val="auto"/>
        </w:rPr>
      </w:pPr>
    </w:p>
    <w:p>
      <w:pPr>
        <w:ind w:left="500" w:right="3059" w:hanging="498"/>
        <w:spacing w:after="0" w:line="235" w:lineRule="auto"/>
        <w:tabs>
          <w:tab w:leader="none" w:pos="5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additional borrowings under the Company's revolving credit facility to fund the RPJ acquisition.</w:t>
      </w:r>
    </w:p>
    <w:p>
      <w:pPr>
        <w:spacing w:after="0" w:line="190"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elimination of historical equity accounts of RPJ.</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301"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26</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1880" w:type="dxa"/>
            <w:vAlign w:val="bottom"/>
          </w:tcPr>
          <w:p>
            <w:pPr>
              <w:spacing w:after="0"/>
              <w:rPr>
                <w:sz w:val="16"/>
                <w:szCs w:val="16"/>
                <w:color w:val="auto"/>
              </w:rPr>
            </w:pPr>
          </w:p>
        </w:tc>
        <w:tc>
          <w:tcPr>
            <w:tcW w:w="5380" w:type="dxa"/>
            <w:vAlign w:val="bottom"/>
          </w:tcPr>
          <w:p>
            <w:pPr>
              <w:ind w:left="2200"/>
              <w:spacing w:after="0"/>
              <w:rPr>
                <w:sz w:val="20"/>
                <w:szCs w:val="20"/>
                <w:color w:val="auto"/>
              </w:rPr>
            </w:pPr>
            <w:r>
              <w:rPr>
                <w:rFonts w:ascii="Courier New" w:cs="Courier New" w:eastAsia="Courier New" w:hAnsi="Courier New"/>
                <w:sz w:val="17"/>
                <w:szCs w:val="17"/>
                <w:color w:val="auto"/>
              </w:rPr>
              <w:t>INDEX TO EXHIBITS</w:t>
            </w:r>
          </w:p>
        </w:tc>
      </w:tr>
      <w:tr>
        <w:trPr>
          <w:trHeight w:val="191"/>
        </w:trPr>
        <w:tc>
          <w:tcPr>
            <w:tcW w:w="1880" w:type="dxa"/>
            <w:vAlign w:val="bottom"/>
          </w:tcPr>
          <w:p>
            <w:pPr>
              <w:spacing w:after="0"/>
              <w:rPr>
                <w:sz w:val="16"/>
                <w:szCs w:val="16"/>
                <w:color w:val="auto"/>
              </w:rPr>
            </w:pPr>
          </w:p>
        </w:tc>
        <w:tc>
          <w:tcPr>
            <w:tcW w:w="5380" w:type="dxa"/>
            <w:vAlign w:val="bottom"/>
          </w:tcPr>
          <w:p>
            <w:pPr>
              <w:ind w:left="220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880" w:type="dxa"/>
            <w:vAlign w:val="bottom"/>
          </w:tcPr>
          <w:p>
            <w:pPr>
              <w:spacing w:after="0"/>
              <w:rPr>
                <w:sz w:val="20"/>
                <w:szCs w:val="20"/>
                <w:color w:val="auto"/>
              </w:rPr>
            </w:pPr>
            <w:r>
              <w:rPr>
                <w:rFonts w:ascii="Courier New" w:cs="Courier New" w:eastAsia="Courier New" w:hAnsi="Courier New"/>
                <w:sz w:val="17"/>
                <w:szCs w:val="17"/>
                <w:color w:val="auto"/>
              </w:rPr>
              <w:t>EXHIBIT NUMBER</w:t>
            </w:r>
          </w:p>
        </w:tc>
        <w:tc>
          <w:tcPr>
            <w:tcW w:w="5380" w:type="dxa"/>
            <w:vAlign w:val="bottom"/>
          </w:tcPr>
          <w:p>
            <w:pPr>
              <w:ind w:left="2400"/>
              <w:spacing w:after="0"/>
              <w:rPr>
                <w:sz w:val="20"/>
                <w:szCs w:val="20"/>
                <w:color w:val="auto"/>
              </w:rPr>
            </w:pPr>
            <w:r>
              <w:rPr>
                <w:rFonts w:ascii="Courier New" w:cs="Courier New" w:eastAsia="Courier New" w:hAnsi="Courier New"/>
                <w:sz w:val="17"/>
                <w:szCs w:val="17"/>
                <w:color w:val="auto"/>
              </w:rPr>
              <w:t>DESCRIPTION</w:t>
            </w:r>
          </w:p>
        </w:tc>
      </w:tr>
      <w:tr>
        <w:trPr>
          <w:trHeight w:val="191"/>
        </w:trPr>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5380" w:type="dxa"/>
            <w:vAlign w:val="bottom"/>
          </w:tcPr>
          <w:p>
            <w:pPr>
              <w:ind w:left="240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880" w:type="dxa"/>
            <w:vAlign w:val="bottom"/>
          </w:tcPr>
          <w:p>
            <w:pPr>
              <w:ind w:left="600"/>
              <w:spacing w:after="0"/>
              <w:rPr>
                <w:sz w:val="20"/>
                <w:szCs w:val="20"/>
                <w:color w:val="auto"/>
              </w:rPr>
            </w:pPr>
            <w:r>
              <w:rPr>
                <w:rFonts w:ascii="Courier New" w:cs="Courier New" w:eastAsia="Courier New" w:hAnsi="Courier New"/>
                <w:sz w:val="17"/>
                <w:szCs w:val="17"/>
                <w:color w:val="auto"/>
              </w:rPr>
              <w:t>2</w:t>
            </w:r>
          </w:p>
        </w:tc>
        <w:tc>
          <w:tcPr>
            <w:tcW w:w="5380" w:type="dxa"/>
            <w:vAlign w:val="bottom"/>
          </w:tcPr>
          <w:p>
            <w:pPr>
              <w:ind w:left="500"/>
              <w:spacing w:after="0"/>
              <w:rPr>
                <w:sz w:val="20"/>
                <w:szCs w:val="20"/>
                <w:color w:val="auto"/>
              </w:rPr>
            </w:pPr>
            <w:r>
              <w:rPr>
                <w:rFonts w:ascii="Courier New" w:cs="Courier New" w:eastAsia="Courier New" w:hAnsi="Courier New"/>
                <w:sz w:val="17"/>
                <w:szCs w:val="17"/>
                <w:color w:val="auto"/>
                <w:w w:val="97"/>
              </w:rPr>
              <w:t>Master Contract, dated September 30, 1998, by and</w:t>
            </w:r>
          </w:p>
        </w:tc>
      </w:tr>
      <w:tr>
        <w:trPr>
          <w:trHeight w:val="191"/>
        </w:trPr>
        <w:tc>
          <w:tcPr>
            <w:tcW w:w="1880" w:type="dxa"/>
            <w:vAlign w:val="bottom"/>
          </w:tcPr>
          <w:p>
            <w:pPr>
              <w:spacing w:after="0"/>
              <w:rPr>
                <w:sz w:val="16"/>
                <w:szCs w:val="16"/>
                <w:color w:val="auto"/>
              </w:rPr>
            </w:pPr>
          </w:p>
        </w:tc>
        <w:tc>
          <w:tcPr>
            <w:tcW w:w="53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between Rhone-Poulenc Agro; The Scotts Company;</w:t>
            </w:r>
          </w:p>
        </w:tc>
      </w:tr>
      <w:tr>
        <w:trPr>
          <w:trHeight w:val="191"/>
        </w:trPr>
        <w:tc>
          <w:tcPr>
            <w:tcW w:w="1880" w:type="dxa"/>
            <w:vAlign w:val="bottom"/>
          </w:tcPr>
          <w:p>
            <w:pPr>
              <w:spacing w:after="0"/>
              <w:rPr>
                <w:sz w:val="16"/>
                <w:szCs w:val="16"/>
                <w:color w:val="auto"/>
              </w:rPr>
            </w:pPr>
          </w:p>
        </w:tc>
        <w:tc>
          <w:tcPr>
            <w:tcW w:w="53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Scotts Celaflor GmbH &amp; Co. K.G.; "David"</w:t>
            </w:r>
          </w:p>
        </w:tc>
      </w:tr>
      <w:tr>
        <w:trPr>
          <w:trHeight w:val="191"/>
        </w:trPr>
        <w:tc>
          <w:tcPr>
            <w:tcW w:w="1880" w:type="dxa"/>
            <w:vAlign w:val="bottom"/>
          </w:tcPr>
          <w:p>
            <w:pPr>
              <w:spacing w:after="0"/>
              <w:rPr>
                <w:sz w:val="16"/>
                <w:szCs w:val="16"/>
                <w:color w:val="auto"/>
              </w:rPr>
            </w:pPr>
          </w:p>
        </w:tc>
        <w:tc>
          <w:tcPr>
            <w:tcW w:w="53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Sechsundfunfzigste Beteiligungs und</w:t>
            </w:r>
          </w:p>
        </w:tc>
      </w:tr>
      <w:tr>
        <w:trPr>
          <w:trHeight w:val="191"/>
        </w:trPr>
        <w:tc>
          <w:tcPr>
            <w:tcW w:w="1880" w:type="dxa"/>
            <w:vAlign w:val="bottom"/>
          </w:tcPr>
          <w:p>
            <w:pPr>
              <w:spacing w:after="0"/>
              <w:rPr>
                <w:sz w:val="16"/>
                <w:szCs w:val="16"/>
                <w:color w:val="auto"/>
              </w:rPr>
            </w:pPr>
          </w:p>
        </w:tc>
        <w:tc>
          <w:tcPr>
            <w:tcW w:w="53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Verwaltungsgesellschaft GmbH; Rhone-Poulenc Agro</w:t>
            </w:r>
          </w:p>
        </w:tc>
      </w:tr>
      <w:tr>
        <w:trPr>
          <w:trHeight w:val="191"/>
        </w:trPr>
        <w:tc>
          <w:tcPr>
            <w:tcW w:w="1880" w:type="dxa"/>
            <w:vAlign w:val="bottom"/>
          </w:tcPr>
          <w:p>
            <w:pPr>
              <w:spacing w:after="0"/>
              <w:rPr>
                <w:sz w:val="16"/>
                <w:szCs w:val="16"/>
                <w:color w:val="auto"/>
              </w:rPr>
            </w:pPr>
          </w:p>
        </w:tc>
        <w:tc>
          <w:tcPr>
            <w:tcW w:w="53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Europe GmbH; Scotts France Holdings S.A.R.L.;</w:t>
            </w:r>
          </w:p>
        </w:tc>
      </w:tr>
      <w:tr>
        <w:trPr>
          <w:trHeight w:val="191"/>
        </w:trPr>
        <w:tc>
          <w:tcPr>
            <w:tcW w:w="1880" w:type="dxa"/>
            <w:vAlign w:val="bottom"/>
          </w:tcPr>
          <w:p>
            <w:pPr>
              <w:spacing w:after="0"/>
              <w:rPr>
                <w:sz w:val="16"/>
                <w:szCs w:val="16"/>
                <w:color w:val="auto"/>
              </w:rPr>
            </w:pPr>
          </w:p>
        </w:tc>
        <w:tc>
          <w:tcPr>
            <w:tcW w:w="53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Scotts France S.A.R.L.; and Scotts Belgium 2</w:t>
            </w:r>
          </w:p>
        </w:tc>
      </w:tr>
      <w:tr>
        <w:trPr>
          <w:trHeight w:val="191"/>
        </w:trPr>
        <w:tc>
          <w:tcPr>
            <w:tcW w:w="1880" w:type="dxa"/>
            <w:vAlign w:val="bottom"/>
          </w:tcPr>
          <w:p>
            <w:pPr>
              <w:spacing w:after="0"/>
              <w:rPr>
                <w:sz w:val="16"/>
                <w:szCs w:val="16"/>
                <w:color w:val="auto"/>
              </w:rPr>
            </w:pPr>
          </w:p>
        </w:tc>
        <w:tc>
          <w:tcPr>
            <w:tcW w:w="53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B.V.B.A.</w:t>
            </w:r>
          </w:p>
        </w:tc>
      </w:tr>
      <w:tr>
        <w:trPr>
          <w:trHeight w:val="383"/>
        </w:trPr>
        <w:tc>
          <w:tcPr>
            <w:tcW w:w="1880" w:type="dxa"/>
            <w:vAlign w:val="bottom"/>
          </w:tcPr>
          <w:p>
            <w:pPr>
              <w:ind w:left="600"/>
              <w:spacing w:after="0"/>
              <w:rPr>
                <w:sz w:val="20"/>
                <w:szCs w:val="20"/>
                <w:color w:val="auto"/>
              </w:rPr>
            </w:pPr>
            <w:r>
              <w:rPr>
                <w:rFonts w:ascii="Courier New" w:cs="Courier New" w:eastAsia="Courier New" w:hAnsi="Courier New"/>
                <w:sz w:val="17"/>
                <w:szCs w:val="17"/>
                <w:color w:val="auto"/>
              </w:rPr>
              <w:t>23</w:t>
            </w:r>
          </w:p>
        </w:tc>
        <w:tc>
          <w:tcPr>
            <w:tcW w:w="5380" w:type="dxa"/>
            <w:vAlign w:val="bottom"/>
          </w:tcPr>
          <w:p>
            <w:pPr>
              <w:ind w:left="500"/>
              <w:spacing w:after="0"/>
              <w:rPr>
                <w:sz w:val="20"/>
                <w:szCs w:val="20"/>
                <w:color w:val="auto"/>
              </w:rPr>
            </w:pPr>
            <w:r>
              <w:rPr>
                <w:rFonts w:ascii="Courier New" w:cs="Courier New" w:eastAsia="Courier New" w:hAnsi="Courier New"/>
                <w:sz w:val="17"/>
                <w:szCs w:val="17"/>
                <w:color w:val="auto"/>
              </w:rPr>
              <w:t>Consent of Independent Accountants</w:t>
            </w:r>
          </w:p>
        </w:tc>
      </w:tr>
      <w:tr>
        <w:trPr>
          <w:trHeight w:val="383"/>
        </w:trPr>
        <w:tc>
          <w:tcPr>
            <w:tcW w:w="1880" w:type="dxa"/>
            <w:vAlign w:val="bottom"/>
          </w:tcPr>
          <w:p>
            <w:pPr>
              <w:ind w:left="600"/>
              <w:spacing w:after="0"/>
              <w:rPr>
                <w:sz w:val="20"/>
                <w:szCs w:val="20"/>
                <w:color w:val="auto"/>
              </w:rPr>
            </w:pPr>
            <w:r>
              <w:rPr>
                <w:rFonts w:ascii="Courier New" w:cs="Courier New" w:eastAsia="Courier New" w:hAnsi="Courier New"/>
                <w:sz w:val="17"/>
                <w:szCs w:val="17"/>
                <w:color w:val="auto"/>
              </w:rPr>
              <w:t>99</w:t>
            </w:r>
          </w:p>
        </w:tc>
        <w:tc>
          <w:tcPr>
            <w:tcW w:w="5380" w:type="dxa"/>
            <w:vAlign w:val="bottom"/>
          </w:tcPr>
          <w:p>
            <w:pPr>
              <w:ind w:left="500"/>
              <w:spacing w:after="0"/>
              <w:rPr>
                <w:sz w:val="20"/>
                <w:szCs w:val="20"/>
                <w:color w:val="auto"/>
              </w:rPr>
            </w:pPr>
            <w:r>
              <w:rPr>
                <w:rFonts w:ascii="Courier New" w:cs="Courier New" w:eastAsia="Courier New" w:hAnsi="Courier New"/>
                <w:sz w:val="17"/>
                <w:szCs w:val="17"/>
                <w:color w:val="auto"/>
              </w:rPr>
              <w:t>Press Release issued October 7, 1998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hanging="198"/>
        <w:spacing w:after="0"/>
        <w:tabs>
          <w:tab w:leader="none" w:pos="2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Filed herewith.</w:t>
      </w: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80"/>
        <w:spacing w:after="0"/>
        <w:rPr>
          <w:sz w:val="20"/>
          <w:szCs w:val="20"/>
          <w:color w:val="auto"/>
        </w:rPr>
      </w:pPr>
      <w:r>
        <w:rPr>
          <w:rFonts w:ascii="Courier New" w:cs="Courier New" w:eastAsia="Courier New" w:hAnsi="Courier New"/>
          <w:sz w:val="17"/>
          <w:szCs w:val="17"/>
          <w:color w:val="auto"/>
        </w:rPr>
        <w:t>PAGE NO.</w:t>
      </w:r>
    </w:p>
    <w:p>
      <w:pPr>
        <w:ind w:left="11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spacing w:after="0" w:line="237" w:lineRule="auto"/>
        <w:rPr>
          <w:sz w:val="20"/>
          <w:szCs w:val="20"/>
          <w:color w:val="auto"/>
        </w:rPr>
      </w:pPr>
      <w:r>
        <w:rPr>
          <w:rFonts w:ascii="Courier New" w:cs="Courier New" w:eastAsia="Courier New" w:hAnsi="Courier New"/>
          <w:sz w:val="17"/>
          <w:szCs w:val="17"/>
          <w:color w:val="auto"/>
        </w:rPr>
        <w:t>Incorporated herein by reference to the Registrant's Current Report on Form 8-K filed on October 22, 1998 (File No. 1-11593) [Exhibit 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spacing w:after="0" w:line="254" w:lineRule="auto"/>
        <w:rPr>
          <w:sz w:val="20"/>
          <w:szCs w:val="20"/>
          <w:color w:val="auto"/>
        </w:rPr>
      </w:pPr>
      <w:r>
        <w:rPr>
          <w:rFonts w:ascii="Courier New" w:cs="Courier New" w:eastAsia="Courier New" w:hAnsi="Courier New"/>
          <w:sz w:val="16"/>
          <w:szCs w:val="16"/>
          <w:color w:val="auto"/>
        </w:rPr>
        <w:t>Incorporated herein by reference to the Registrant's Current Report on Form 8-K filed on October 22, 1998 (File No. 1-11593) [Exhibit 99]</w:t>
      </w:r>
    </w:p>
    <w:p>
      <w:pPr>
        <w:sectPr>
          <w:pgSz w:w="11900" w:h="16838" w:orient="portrait"/>
          <w:cols w:equalWidth="0" w:num="2">
            <w:col w:w="8060" w:space="300"/>
            <w:col w:w="3080"/>
          </w:cols>
          <w:pgMar w:left="240" w:top="301" w:right="219"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1</w:t>
      </w:r>
    </w:p>
    <w:p>
      <w:pPr>
        <w:jc w:val="right"/>
        <w:ind w:right="2259"/>
        <w:spacing w:after="0" w:line="238" w:lineRule="auto"/>
        <w:rPr>
          <w:sz w:val="20"/>
          <w:szCs w:val="20"/>
          <w:color w:val="auto"/>
        </w:rPr>
      </w:pPr>
      <w:r>
        <w:rPr>
          <w:rFonts w:ascii="Courier New" w:cs="Courier New" w:eastAsia="Courier New" w:hAnsi="Courier New"/>
          <w:sz w:val="17"/>
          <w:szCs w:val="17"/>
          <w:color w:val="auto"/>
        </w:rPr>
        <w:t>Exhibit 23</w:t>
      </w:r>
    </w:p>
    <w:p>
      <w:pPr>
        <w:spacing w:after="0" w:line="381"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388"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We consent to the incorporation by reference in the Registration Statements of The Scotts Company on Form S-8 (File Nos. 33-47073, 33-60056, 333-00021,</w:t>
      </w:r>
    </w:p>
    <w:p>
      <w:pPr>
        <w:spacing w:after="0" w:line="5"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333-06061, and 333-27561) of our report dated September 11, 1998 on our audit of the combined financial statements of Rhone-Poulenc Jardin as of December 31, 1997 and for the year then ended, which report is incorporated by reference in this Current Report on Form 8-K.</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Lyon, France</w:t>
      </w:r>
    </w:p>
    <w:p>
      <w:pPr>
        <w:spacing w:after="0" w:line="238" w:lineRule="auto"/>
        <w:rPr>
          <w:sz w:val="20"/>
          <w:szCs w:val="20"/>
          <w:color w:val="auto"/>
        </w:rPr>
      </w:pPr>
      <w:r>
        <w:rPr>
          <w:rFonts w:ascii="Courier New" w:cs="Courier New" w:eastAsia="Courier New" w:hAnsi="Courier New"/>
          <w:sz w:val="17"/>
          <w:szCs w:val="17"/>
          <w:color w:val="auto"/>
        </w:rPr>
        <w:t>December 21, 1998</w:t>
      </w:r>
    </w:p>
    <w:sectPr>
      <w:pgSz w:w="11900" w:h="16838" w:orient="portrait"/>
      <w:cols w:equalWidth="0" w:num="1">
        <w:col w:w="10219"/>
      </w:cols>
      <w:pgMar w:left="2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2)"/>
      <w:numFmt w:val="lowerLetter"/>
      <w:start w:val="1"/>
    </w:lvl>
  </w:abstractNum>
  <w:abstractNum w:abstractNumId="1">
    <w:nsid w:val="4E6AFB66"/>
    <w:multiLevelType w:val="hybridMultilevel"/>
    <w:lvl w:ilvl="0">
      <w:lvlJc w:val="left"/>
      <w:lvlText w:val="2"/>
      <w:numFmt w:val="bullet"/>
      <w:start w:val="1"/>
    </w:lvl>
  </w:abstractNum>
  <w:abstractNum w:abstractNumId="2">
    <w:nsid w:val="25E45D32"/>
    <w:multiLevelType w:val="hybridMultilevel"/>
    <w:lvl w:ilvl="0">
      <w:lvlJc w:val="left"/>
      <w:lvlText w:val="%1"/>
      <w:numFmt w:val="decimal"/>
      <w:start w:val="23"/>
    </w:lvl>
  </w:abstractNum>
  <w:abstractNum w:abstractNumId="3">
    <w:nsid w:val="519B500D"/>
    <w:multiLevelType w:val="hybridMultilevel"/>
    <w:lvl w:ilvl="0">
      <w:lvlJc w:val="left"/>
      <w:lvlText w:val="%1"/>
      <w:numFmt w:val="decimal"/>
      <w:start w:val="99"/>
    </w:lvl>
  </w:abstractNum>
  <w:abstractNum w:abstractNumId="4">
    <w:nsid w:val="431BD7B7"/>
    <w:multiLevelType w:val="hybridMultilevel"/>
    <w:lvl w:ilvl="0">
      <w:lvlJc w:val="left"/>
      <w:lvlText w:val="%1"/>
      <w:numFmt w:val="decimal"/>
      <w:start w:val="23"/>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3"/>
    </w:lvl>
  </w:abstractNum>
  <w:abstractNum w:abstractNumId="10">
    <w:nsid w:val="628C895D"/>
    <w:multiLevelType w:val="hybridMultilevel"/>
    <w:lvl w:ilvl="0">
      <w:lvlJc w:val="left"/>
      <w:lvlText w:val="%1."/>
      <w:numFmt w:val="decimal"/>
      <w:start w:val="5"/>
    </w:lvl>
  </w:abstractNum>
  <w:abstractNum w:abstractNumId="11">
    <w:nsid w:val="333AB105"/>
    <w:multiLevelType w:val="hybridMultilevel"/>
    <w:lvl w:ilvl="0">
      <w:lvlJc w:val="left"/>
      <w:lvlText w:val="%1."/>
      <w:numFmt w:val="decimal"/>
      <w:start w:val="7"/>
    </w:lvl>
  </w:abstractNum>
  <w:abstractNum w:abstractNumId="12">
    <w:nsid w:val="721DA317"/>
    <w:multiLevelType w:val="hybridMultilevel"/>
    <w:lvl w:ilvl="0">
      <w:lvlJc w:val="left"/>
      <w:lvlText w:val="%1."/>
      <w:numFmt w:val="decimal"/>
      <w:start w:val="8"/>
    </w:lvl>
  </w:abstractNum>
  <w:abstractNum w:abstractNumId="13">
    <w:nsid w:val="2443A858"/>
    <w:multiLevelType w:val="hybridMultilevel"/>
    <w:lvl w:ilvl="0">
      <w:lvlJc w:val="left"/>
      <w:lvlText w:val="%1."/>
      <w:numFmt w:val="decimal"/>
      <w:start w:val="9"/>
    </w:lvl>
  </w:abstractNum>
  <w:abstractNum w:abstractNumId="14">
    <w:nsid w:val="2D1D5AE9"/>
    <w:multiLevelType w:val="hybridMultilevel"/>
    <w:lvl w:ilvl="0">
      <w:lvlJc w:val="left"/>
      <w:lvlText w:val="%1."/>
      <w:numFmt w:val="decimal"/>
      <w:start w:val="10"/>
    </w:lvl>
  </w:abstractNum>
  <w:abstractNum w:abstractNumId="15">
    <w:nsid w:val="6763845E"/>
    <w:multiLevelType w:val="hybridMultilevel"/>
    <w:lvl w:ilvl="0">
      <w:lvlJc w:val="left"/>
      <w:lvlText w:val="%1."/>
      <w:numFmt w:val="decimal"/>
      <w:start w:val="11"/>
    </w:lvl>
  </w:abstractNum>
  <w:abstractNum w:abstractNumId="16">
    <w:nsid w:val="75A2A8D4"/>
    <w:multiLevelType w:val="hybridMultilevel"/>
    <w:lvl w:ilvl="0">
      <w:lvlJc w:val="left"/>
      <w:lvlText w:val="%1."/>
      <w:numFmt w:val="decimal"/>
      <w:start w:val="12"/>
    </w:lvl>
  </w:abstractNum>
  <w:abstractNum w:abstractNumId="17">
    <w:nsid w:val="8EDBDAB"/>
    <w:multiLevelType w:val="hybridMultilevel"/>
    <w:lvl w:ilvl="0">
      <w:lvlJc w:val="left"/>
      <w:lvlText w:val="%1."/>
      <w:numFmt w:val="decimal"/>
      <w:start w:val="14"/>
    </w:lvl>
  </w:abstractNum>
  <w:abstractNum w:abstractNumId="18">
    <w:nsid w:val="79838CB2"/>
    <w:multiLevelType w:val="hybridMultilevel"/>
    <w:lvl w:ilvl="0">
      <w:lvlJc w:val="left"/>
      <w:lvlText w:val="%1"/>
      <w:numFmt w:val="upperLetter"/>
      <w:start w:val="32"/>
    </w:lvl>
  </w:abstractNum>
  <w:abstractNum w:abstractNumId="19">
    <w:nsid w:val="4353D0CD"/>
    <w:multiLevelType w:val="hybridMultilevel"/>
    <w:lvl w:ilvl="0">
      <w:lvlJc w:val="left"/>
      <w:lvlText w:val="%1."/>
      <w:numFmt w:val="decimal"/>
      <w:start w:val="15"/>
    </w:lvl>
  </w:abstractNum>
  <w:abstractNum w:abstractNumId="20">
    <w:nsid w:val="B03E0C6"/>
    <w:multiLevelType w:val="hybridMultilevel"/>
    <w:lvl w:ilvl="0">
      <w:lvlJc w:val="left"/>
      <w:lvlText w:val="%1."/>
      <w:numFmt w:val="decimal"/>
      <w:start w:val="16"/>
    </w:lvl>
  </w:abstractNum>
  <w:abstractNum w:abstractNumId="21">
    <w:nsid w:val="189A769B"/>
    <w:multiLevelType w:val="hybridMultilevel"/>
    <w:lvl w:ilvl="0">
      <w:lvlJc w:val="left"/>
      <w:lvlText w:val="%1."/>
      <w:numFmt w:val="decimal"/>
      <w:start w:val="17"/>
    </w:lvl>
  </w:abstractNum>
  <w:abstractNum w:abstractNumId="22">
    <w:nsid w:val="54E49EB4"/>
    <w:multiLevelType w:val="hybridMultilevel"/>
    <w:lvl w:ilvl="0">
      <w:lvlJc w:val="left"/>
      <w:lvlText w:val="%1."/>
      <w:numFmt w:val="decimal"/>
      <w:start w:val="18"/>
    </w:lvl>
  </w:abstractNum>
  <w:abstractNum w:abstractNumId="23">
    <w:nsid w:val="71F32454"/>
    <w:multiLevelType w:val="hybridMultilevel"/>
    <w:lvl w:ilvl="0">
      <w:lvlJc w:val="left"/>
      <w:lvlText w:val="%1."/>
      <w:numFmt w:val="decimal"/>
      <w:start w:val="19"/>
    </w:lvl>
  </w:abstractNum>
  <w:abstractNum w:abstractNumId="24">
    <w:nsid w:val="2CA88611"/>
    <w:multiLevelType w:val="hybridMultilevel"/>
    <w:lvl w:ilvl="0">
      <w:lvlJc w:val="left"/>
      <w:lvlText w:val="%1."/>
      <w:numFmt w:val="decimal"/>
      <w:start w:val="20"/>
    </w:lvl>
    <w:lvl w:ilvl="1">
      <w:lvlJc w:val="left"/>
      <w:lvlText w:val="%2)"/>
      <w:numFmt w:val="lowerRoman"/>
      <w:start w:val="1"/>
    </w:lvl>
  </w:abstractNum>
  <w:abstractNum w:abstractNumId="25">
    <w:nsid w:val="836C40E"/>
    <w:multiLevelType w:val="hybridMultilevel"/>
    <w:lvl w:ilvl="0">
      <w:lvlJc w:val="left"/>
      <w:lvlText w:val="%1)"/>
      <w:numFmt w:val="lowerRoman"/>
      <w:start w:val="2"/>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3"/>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3"/>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2019-12-20T06:28:08Z</dcterms:created>
  <dcterms:modified xsi:type="dcterms:W3CDTF">2019-12-20T06:28:08Z</dcterms:modified>
</cp:coreProperties>
</file>