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34290</wp:posOffset>
            </wp:positionV>
            <wp:extent cx="6969760" cy="172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21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HAGEDORN JAMES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300"/>
        <w:spacing w:after="0" w:line="337"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3" w:lineRule="exact"/>
        <w:rPr>
          <w:sz w:val="24"/>
          <w:szCs w:val="24"/>
          <w:color w:val="auto"/>
        </w:rPr>
      </w:pPr>
    </w:p>
    <w:tbl>
      <w:tblPr>
        <w:tblLayout w:type="fixed"/>
        <w:tblInd w:w="80" w:type="dxa"/>
        <w:tblCellMar>
          <w:top w:w="0" w:type="dxa"/>
          <w:left w:w="0" w:type="dxa"/>
          <w:bottom w:w="0" w:type="dxa"/>
          <w:right w:w="0" w:type="dxa"/>
        </w:tblCellMar>
      </w:tblPr>
      <w:tr>
        <w:trPr>
          <w:trHeight w:val="17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OH</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46"/>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u w:val="single" w:color="auto"/>
                  <w:color w:val="0000EE"/>
                </w:rPr>
                <w:t>SCOTTS MIRACLE-GRO CO</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SMG</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84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3840" w:type="dxa"/>
            <w:vAlign w:val="bottom"/>
          </w:tcPr>
          <w:p>
            <w:pPr>
              <w:spacing w:after="0"/>
              <w:rPr>
                <w:sz w:val="19"/>
                <w:szCs w:val="19"/>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6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59"/>
        </w:trPr>
        <w:tc>
          <w:tcPr>
            <w:tcW w:w="3840" w:type="dxa"/>
            <w:vAlign w:val="bottom"/>
            <w:tcBorders>
              <w:bottom w:val="single" w:sz="8" w:color="2C2C2C"/>
            </w:tcBorders>
          </w:tcPr>
          <w:p>
            <w:pPr>
              <w:spacing w:after="0"/>
              <w:rPr>
                <w:sz w:val="13"/>
                <w:szCs w:val="13"/>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500"/>
              <w:spacing w:after="0" w:line="147"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384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5"/>
        </w:trPr>
        <w:tc>
          <w:tcPr>
            <w:tcW w:w="38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12/10/2020</w:t>
            </w:r>
          </w:p>
        </w:tc>
        <w:tc>
          <w:tcPr>
            <w:tcW w:w="480" w:type="dxa"/>
            <w:vAlign w:val="bottom"/>
          </w:tcPr>
          <w:p>
            <w:pPr>
              <w:spacing w:after="0"/>
              <w:rPr>
                <w:sz w:val="19"/>
                <w:szCs w:val="19"/>
                <w:color w:val="auto"/>
              </w:rPr>
            </w:pPr>
          </w:p>
        </w:tc>
        <w:tc>
          <w:tcPr>
            <w:tcW w:w="28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rPr>
                <w:sz w:val="1"/>
                <w:szCs w:val="1"/>
                <w:color w:val="auto"/>
              </w:rPr>
            </w:pPr>
          </w:p>
        </w:tc>
      </w:tr>
      <w:tr>
        <w:trPr>
          <w:trHeight w:val="312"/>
        </w:trPr>
        <w:tc>
          <w:tcPr>
            <w:tcW w:w="384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840" w:type="dxa"/>
            <w:vAlign w:val="bottom"/>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3840" w:type="dxa"/>
            <w:vAlign w:val="bottom"/>
          </w:tcPr>
          <w:p>
            <w:pPr>
              <w:ind w:left="80"/>
              <w:spacing w:after="0" w:line="182" w:lineRule="exact"/>
              <w:rPr>
                <w:sz w:val="20"/>
                <w:szCs w:val="20"/>
                <w:color w:val="auto"/>
              </w:rPr>
            </w:pPr>
            <w:r>
              <w:rPr>
                <w:rFonts w:ascii="Times New Roman" w:cs="Times New Roman" w:eastAsia="Times New Roman" w:hAnsi="Times New Roman"/>
                <w:sz w:val="17"/>
                <w:szCs w:val="17"/>
                <w:color w:val="0000FF"/>
              </w:rPr>
              <w:t>12/14/2020</w:t>
            </w: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84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180340</wp:posOffset>
            </wp:positionV>
            <wp:extent cx="6969760" cy="1754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754505"/>
                    </a:xfrm>
                    <a:prstGeom prst="rect">
                      <a:avLst/>
                    </a:prstGeom>
                    <a:noFill/>
                  </pic:spPr>
                </pic:pic>
              </a:graphicData>
            </a:graphic>
          </wp:anchor>
        </w:drawing>
      </w:r>
    </w:p>
    <w:p>
      <w:pPr>
        <w:spacing w:after="0" w:line="341"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00"/>
              <w:spacing w:after="0" w:line="122"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70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vMerge w:val="continue"/>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12/10/2020</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1"/>
              </w:rPr>
              <w:t>24.716</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187.979</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88,375.718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49,866.673</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1,814,791</w:t>
            </w:r>
          </w:p>
        </w:tc>
        <w:tc>
          <w:tcPr>
            <w:tcW w:w="3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HPLP</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6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12/10/2020</w:t>
            </w:r>
          </w:p>
        </w:tc>
        <w:tc>
          <w:tcPr>
            <w:tcW w:w="1080" w:type="dxa"/>
            <w:vAlign w:val="bottom"/>
          </w:tcPr>
          <w:p>
            <w:pPr>
              <w:spacing w:after="0"/>
              <w:rPr>
                <w:sz w:val="19"/>
                <w:szCs w:val="19"/>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9"/>
                <w:szCs w:val="19"/>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482.538</w:t>
            </w:r>
          </w:p>
        </w:tc>
        <w:tc>
          <w:tcPr>
            <w:tcW w:w="260" w:type="dxa"/>
            <w:vAlign w:val="bottom"/>
          </w:tcPr>
          <w:p>
            <w:pPr>
              <w:spacing w:after="0"/>
              <w:rPr>
                <w:sz w:val="19"/>
                <w:szCs w:val="19"/>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482.538</w:t>
            </w:r>
          </w:p>
        </w:tc>
        <w:tc>
          <w:tcPr>
            <w:tcW w:w="6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178.13</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139,633.1541</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-1640840</wp:posOffset>
            </wp:positionV>
            <wp:extent cx="7034530" cy="16497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649730"/>
                    </a:xfrm>
                    <a:prstGeom prst="rect">
                      <a:avLst/>
                    </a:prstGeom>
                    <a:noFill/>
                  </pic:spPr>
                </pic:pic>
              </a:graphicData>
            </a:graphic>
          </wp:anchor>
        </w:drawing>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showed 27.6783 shares acquired. This amendment displays the correct number.</w:t>
      </w:r>
    </w:p>
    <w:p>
      <w:pPr>
        <w:spacing w:after="0" w:line="41" w:lineRule="exact"/>
        <w:rPr>
          <w:rFonts w:ascii="Times New Roman" w:cs="Times New Roman" w:eastAsia="Times New Roman" w:hAnsi="Times New Roman"/>
          <w:sz w:val="13"/>
          <w:szCs w:val="13"/>
          <w:color w:val="008000"/>
        </w:rPr>
      </w:pPr>
    </w:p>
    <w:p>
      <w:pPr>
        <w:jc w:val="both"/>
        <w:ind w:left="40" w:right="260"/>
        <w:spacing w:after="0" w:line="23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Exchange Act Rule 16a-1(a)(1), the reporting person may be deemed, solely for purposes of determining whether he is a beneficial owner of more than 10% of the common shares of the Issuer ("Common Shares"), to be the beneficial owner of the securities of the Issuer that are held by Hagedorn Partnership, L.P., a Delaware limited partnership in which the reporting person is a general partner (the "Partnership"). Represents the aggregate proportionate interest of the reporting person and those family members in whose holdings he may be deemed to have a pecuniary interest, in Common Shares held by the Partnership.</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represents the right to receive one common share of Issuer or the cash value thereof.</w:t>
      </w:r>
    </w:p>
    <w:p>
      <w:pPr>
        <w:spacing w:after="0" w:line="41" w:lineRule="exact"/>
        <w:rPr>
          <w:rFonts w:ascii="Times New Roman" w:cs="Times New Roman" w:eastAsia="Times New Roman" w:hAnsi="Times New Roman"/>
          <w:sz w:val="13"/>
          <w:szCs w:val="13"/>
          <w:color w:val="008000"/>
        </w:rPr>
      </w:pPr>
    </w:p>
    <w:p>
      <w:pPr>
        <w:ind w:left="40" w:right="6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phantom stock are payable in cash following termination of the reporting person's employment with Issuer. The reporting person may transfer his/her phantom stock account into an alternative investment account at any time.</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Kathy L. Uttley as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01/08/2021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James Hagedorn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89" w:lineRule="exact"/>
        <w:rPr>
          <w:sz w:val="20"/>
          <w:szCs w:val="20"/>
          <w:color w:val="auto"/>
        </w:rPr>
      </w:pPr>
    </w:p>
    <w:p>
      <w:pPr>
        <w:ind w:right="2159" w:firstLine="397"/>
        <w:spacing w:after="0" w:line="274" w:lineRule="auto"/>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76" w:lineRule="exact"/>
        <w:rPr>
          <w:sz w:val="20"/>
          <w:szCs w:val="20"/>
          <w:color w:val="auto"/>
        </w:rPr>
      </w:pPr>
    </w:p>
    <w:p>
      <w:pPr>
        <w:ind w:right="2259" w:firstLine="2"/>
        <w:spacing w:after="0" w:line="250" w:lineRule="auto"/>
        <w:tabs>
          <w:tab w:leader="none" w:pos="29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1" w:lineRule="exact"/>
        <w:rPr>
          <w:rFonts w:ascii="Courier New" w:cs="Courier New" w:eastAsia="Courier New" w:hAnsi="Courier New"/>
          <w:sz w:val="17"/>
          <w:szCs w:val="17"/>
          <w:color w:val="auto"/>
        </w:rPr>
      </w:pPr>
    </w:p>
    <w:p>
      <w:pPr>
        <w:ind w:right="2539"/>
        <w:spacing w:after="0" w:line="26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87" w:lineRule="exact"/>
        <w:rPr>
          <w:rFonts w:ascii="Courier New" w:cs="Courier New" w:eastAsia="Courier New" w:hAnsi="Courier New"/>
          <w:sz w:val="17"/>
          <w:szCs w:val="17"/>
          <w:color w:val="auto"/>
        </w:rPr>
      </w:pPr>
    </w:p>
    <w:p>
      <w:pPr>
        <w:ind w:right="2359" w:firstLine="2"/>
        <w:spacing w:after="0" w:line="259" w:lineRule="auto"/>
        <w:tabs>
          <w:tab w:leader="none" w:pos="29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90" w:lineRule="exact"/>
        <w:rPr>
          <w:rFonts w:ascii="Courier New" w:cs="Courier New" w:eastAsia="Courier New" w:hAnsi="Courier New"/>
          <w:sz w:val="17"/>
          <w:szCs w:val="17"/>
          <w:color w:val="auto"/>
        </w:rPr>
      </w:pPr>
    </w:p>
    <w:p>
      <w:pPr>
        <w:ind w:right="2259" w:firstLine="2"/>
        <w:spacing w:after="0" w:line="262" w:lineRule="auto"/>
        <w:tabs>
          <w:tab w:leader="none" w:pos="29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2" w:lineRule="exact"/>
        <w:rPr>
          <w:rFonts w:ascii="Courier New" w:cs="Courier New" w:eastAsia="Courier New" w:hAnsi="Courier New"/>
          <w:sz w:val="16"/>
          <w:szCs w:val="16"/>
          <w:color w:val="auto"/>
        </w:rPr>
      </w:pPr>
    </w:p>
    <w:p>
      <w:pPr>
        <w:ind w:right="2539"/>
        <w:spacing w:after="0" w:line="273"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77" w:lineRule="exact"/>
        <w:rPr>
          <w:sz w:val="20"/>
          <w:szCs w:val="20"/>
          <w:color w:val="auto"/>
        </w:rPr>
      </w:pPr>
    </w:p>
    <w:p>
      <w:pPr>
        <w:ind w:right="2259" w:firstLine="397"/>
        <w:spacing w:after="0" w:line="24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5" w:lineRule="exact"/>
        <w:rPr>
          <w:sz w:val="20"/>
          <w:szCs w:val="20"/>
          <w:color w:val="auto"/>
        </w:rPr>
      </w:pPr>
    </w:p>
    <w:p>
      <w:pPr>
        <w:ind w:right="2739"/>
        <w:spacing w:after="0" w:line="275"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78" w:lineRule="exact"/>
        <w:rPr>
          <w:sz w:val="20"/>
          <w:szCs w:val="20"/>
          <w:color w:val="auto"/>
        </w:rPr>
      </w:pPr>
    </w:p>
    <w:p>
      <w:pPr>
        <w:ind w:right="2259" w:firstLine="397"/>
        <w:spacing w:after="0" w:line="271"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 I hereby revoke all previous Powers of Attorney that have been granted by me in connection with my reporting obligations under the 1934 Act or the Securities Act with respect to my holdings of and transactions in securities issued by the Company.</w:t>
      </w:r>
    </w:p>
    <w:p>
      <w:pPr>
        <w:spacing w:after="0" w:line="82" w:lineRule="exact"/>
        <w:rPr>
          <w:sz w:val="20"/>
          <w:szCs w:val="20"/>
          <w:color w:val="auto"/>
        </w:rPr>
      </w:pPr>
    </w:p>
    <w:p>
      <w:pPr>
        <w:ind w:right="3939" w:firstLine="397"/>
        <w:spacing w:after="0" w:line="379"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5th day of May, 2016.</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/s/ James Hagedorn</w:t>
      </w:r>
    </w:p>
    <w:p>
      <w:pPr>
        <w:spacing w:after="0" w:line="28"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Signature</w:t>
      </w:r>
    </w:p>
    <w:p>
      <w:pPr>
        <w:spacing w:after="0" w:line="159"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7"/>
          <w:szCs w:val="17"/>
          <w:color w:val="auto"/>
        </w:rPr>
        <w:t>James Hagedorn</w:t>
      </w:r>
    </w:p>
    <w:p>
      <w:pPr>
        <w:spacing w:after="0" w:line="28"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80171"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2021-01-08T10:56:08Z</dcterms:created>
  <dcterms:modified xsi:type="dcterms:W3CDTF">2021-01-08T10:56:08Z</dcterms:modified>
</cp:coreProperties>
</file>