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6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8" w:lineRule="exact"/>
        <w:rPr>
          <w:sz w:val="20"/>
          <w:szCs w:val="20"/>
          <w:color w:val="auto"/>
        </w:rPr>
      </w:pPr>
    </w:p>
    <w:p>
      <w:pPr>
        <w:ind w:left="1380" w:right="1579"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51"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2006</w:t>
      </w:r>
    </w:p>
    <w:p>
      <w:pPr>
        <w:spacing w:after="0" w:line="11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1139"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51" w:lineRule="exact"/>
        <w:rPr>
          <w:sz w:val="20"/>
          <w:szCs w:val="20"/>
          <w:color w:val="auto"/>
        </w:rPr>
      </w:pPr>
    </w:p>
    <w:p>
      <w:pPr>
        <w:ind w:left="138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-5080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33-147397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11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Smith &amp; Hawken 401(k) Plan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4 Hamilton Landing</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Novato, California 94949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REQUIRED INFORMATION</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financial statements and supplemental schedule for the Smith &amp; Hawken 401(k) Plan are being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Financial Statements</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Statement of Net Assets Available for Benefits as of December 31, 2006 and 2005</w:t>
      </w:r>
    </w:p>
    <w:p>
      <w:pPr>
        <w:spacing w:after="0" w:line="117" w:lineRule="exact"/>
        <w:rPr>
          <w:sz w:val="20"/>
          <w:szCs w:val="20"/>
          <w:color w:val="auto"/>
        </w:rPr>
      </w:pPr>
    </w:p>
    <w:p>
      <w:pPr>
        <w:ind w:left="1040" w:right="2520"/>
        <w:spacing w:after="0" w:line="375" w:lineRule="auto"/>
        <w:rPr>
          <w:sz w:val="20"/>
          <w:szCs w:val="20"/>
          <w:color w:val="auto"/>
        </w:rPr>
      </w:pPr>
      <w:r>
        <w:rPr>
          <w:rFonts w:ascii="Times New Roman" w:cs="Times New Roman" w:eastAsia="Times New Roman" w:hAnsi="Times New Roman"/>
          <w:sz w:val="18"/>
          <w:szCs w:val="18"/>
          <w:color w:val="auto"/>
        </w:rPr>
        <w:t>Statement of Changes in Net Assets Available for Benefits for the Years Ended December 31, 2006 and 2005 Notes to Financial Statements</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Schedule:</w:t>
      </w:r>
    </w:p>
    <w:p>
      <w:pPr>
        <w:spacing w:after="0" w:line="11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Schedule of Assets Held for Investment Purposes at End of Year</w:t>
      </w:r>
    </w:p>
    <w:p>
      <w:pPr>
        <w:spacing w:after="0" w:line="117" w:lineRule="exact"/>
        <w:rPr>
          <w:sz w:val="20"/>
          <w:szCs w:val="20"/>
          <w:color w:val="auto"/>
        </w:rPr>
      </w:pPr>
    </w:p>
    <w:p>
      <w:pPr>
        <w:ind w:left="1040" w:right="320"/>
        <w:spacing w:after="0" w:line="282" w:lineRule="auto"/>
        <w:rPr>
          <w:sz w:val="20"/>
          <w:szCs w:val="20"/>
          <w:color w:val="auto"/>
        </w:rPr>
      </w:pPr>
      <w:r>
        <w:rPr>
          <w:rFonts w:ascii="Times New Roman" w:cs="Times New Roman" w:eastAsia="Times New Roman" w:hAnsi="Times New Roman"/>
          <w:sz w:val="18"/>
          <w:szCs w:val="18"/>
          <w:color w:val="auto"/>
        </w:rPr>
        <w:t>Note: Other supplemental schedules required by Section 252.103-10 of the Department of Labor’s Rules and Regulations for Reporting and Disclosure under ERISA have been omitted because they are not applicable.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42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 Meaden &amp; Moore, Ltd.</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79"/>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right="220" w:firstLine="222"/>
        <w:spacing w:after="0" w:line="282" w:lineRule="auto"/>
        <w:rPr>
          <w:sz w:val="20"/>
          <w:szCs w:val="20"/>
          <w:color w:val="auto"/>
        </w:rPr>
      </w:pPr>
      <w:r>
        <w:rPr>
          <w:rFonts w:ascii="Times New Roman" w:cs="Times New Roman" w:eastAsia="Times New Roman" w:hAnsi="Times New Roman"/>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2007</w:t>
            </w:r>
          </w:p>
        </w:tc>
        <w:tc>
          <w:tcPr>
            <w:tcW w:w="6560" w:type="dxa"/>
            <w:vAlign w:val="bottom"/>
            <w:gridSpan w:val="3"/>
          </w:tcPr>
          <w:p>
            <w:pPr>
              <w:jc w:val="right"/>
              <w:ind w:right="3010"/>
              <w:spacing w:after="0"/>
              <w:rPr>
                <w:sz w:val="20"/>
                <w:szCs w:val="20"/>
                <w:color w:val="auto"/>
              </w:rPr>
            </w:pPr>
            <w:r>
              <w:rPr>
                <w:rFonts w:ascii="Times New Roman" w:cs="Times New Roman" w:eastAsia="Times New Roman" w:hAnsi="Times New Roman"/>
                <w:sz w:val="18"/>
                <w:szCs w:val="18"/>
                <w:color w:val="auto"/>
              </w:rPr>
              <w:t>By: /s/ DAVID C. EVANS</w:t>
            </w:r>
          </w:p>
        </w:tc>
        <w:tc>
          <w:tcPr>
            <w:tcW w:w="1500" w:type="dxa"/>
            <w:vAlign w:val="bottom"/>
          </w:tcPr>
          <w:p>
            <w:pPr>
              <w:spacing w:after="0"/>
              <w:rPr>
                <w:sz w:val="20"/>
                <w:szCs w:val="20"/>
                <w:color w:val="auto"/>
              </w:rPr>
            </w:pPr>
          </w:p>
        </w:tc>
      </w:tr>
      <w:tr>
        <w:trPr>
          <w:trHeight w:val="228"/>
        </w:trPr>
        <w:tc>
          <w:tcPr>
            <w:tcW w:w="3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Printed Name: David C. Evans</w:t>
            </w:r>
          </w:p>
        </w:tc>
        <w:tc>
          <w:tcPr>
            <w:tcW w:w="1500" w:type="dxa"/>
            <w:vAlign w:val="bottom"/>
          </w:tcPr>
          <w:p>
            <w:pPr>
              <w:spacing w:after="0"/>
              <w:rPr>
                <w:sz w:val="19"/>
                <w:szCs w:val="19"/>
                <w:color w:val="auto"/>
              </w:rPr>
            </w:pPr>
          </w:p>
        </w:tc>
      </w:tr>
      <w:tr>
        <w:trPr>
          <w:trHeight w:val="396"/>
        </w:trPr>
        <w:tc>
          <w:tcPr>
            <w:tcW w:w="3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50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Smith &amp; Hawken Ltd.</w:t>
            </w:r>
          </w:p>
        </w:tc>
        <w:tc>
          <w:tcPr>
            <w:tcW w:w="1500" w:type="dxa"/>
            <w:vAlign w:val="bottom"/>
          </w:tcPr>
          <w:p>
            <w:pPr>
              <w:spacing w:after="0"/>
              <w:rPr>
                <w:sz w:val="20"/>
                <w:szCs w:val="20"/>
                <w:color w:val="auto"/>
              </w:rPr>
            </w:pPr>
          </w:p>
        </w:tc>
      </w:tr>
      <w:tr>
        <w:trPr>
          <w:trHeight w:val="621"/>
        </w:trPr>
        <w:tc>
          <w:tcPr>
            <w:tcW w:w="3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SMITH &amp; HAWKEN 401(K)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THE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2006 and 2005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85"/>
        </w:trPr>
        <w:tc>
          <w:tcPr>
            <w:tcW w:w="10620" w:type="dxa"/>
            <w:vAlign w:val="bottom"/>
            <w:gridSpan w:val="1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Report of Independent Registered Public Accounting Firm</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42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Financial Statements:</w:t>
              </w:r>
            </w:hyperlink>
          </w:p>
        </w:tc>
        <w:tc>
          <w:tcPr>
            <w:tcW w:w="640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Statement of Net Assets Available for Benefits</w:t>
              </w:r>
            </w:hyperlink>
          </w:p>
        </w:tc>
        <w:tc>
          <w:tcPr>
            <w:tcW w:w="70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0" w:type="dxa"/>
            <w:vAlign w:val="bottom"/>
            <w:gridSpan w:val="9"/>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Statement of Changes in Net Assets Available for Benefits</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Financial Statements</w:t>
              </w:r>
            </w:hyperlink>
          </w:p>
        </w:tc>
        <w:tc>
          <w:tcPr>
            <w:tcW w:w="620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8 - 17</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620" w:type="dxa"/>
            <w:vAlign w:val="bottom"/>
            <w:gridSpan w:val="11"/>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Supplemental Schedule</w:t>
              </w:r>
            </w:hyperlink>
          </w:p>
        </w:tc>
        <w:tc>
          <w:tcPr>
            <w:tcW w:w="80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Schedule of Assets Held for Investment Purposes at End of Year</w:t>
              </w:r>
            </w:hyperlink>
          </w:p>
        </w:tc>
        <w:tc>
          <w:tcPr>
            <w:tcW w:w="57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EX-23.1</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34"/>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w:t>
            </w:r>
          </w:p>
        </w:tc>
        <w:tc>
          <w:tcPr>
            <w:tcW w:w="1076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w w:val="99"/>
              </w:rPr>
              <w:t>Other supplement schedules required by Section 252.103-10 of the Department of Labor’s Rules and Regulations for Reporting and Disclosure and</w:t>
            </w:r>
          </w:p>
        </w:tc>
      </w:t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6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ERISA have been omitted because they are not applicable.</w:t>
            </w:r>
          </w:p>
        </w:tc>
        <w:tc>
          <w:tcPr>
            <w:tcW w:w="8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Participants and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Smith &amp; Hawken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Novato, California</w:t>
      </w:r>
    </w:p>
    <w:p>
      <w:pPr>
        <w:spacing w:after="0" w:line="9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the SMITH &amp; HAWKEN 401(k) PLAN as of December 31, 2006 and 2005 and the related Statement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2006, the Plan adopted FSP AAG INV-1 and SOP 94-4-1, Reporting of Fully Benefit-Responsive Investment Contracts Held by Certain Investment Companies Subject to the AICPA Investment Company Guide and Defined-Contribution Health and Welfare and Pension Plans.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the Smith &amp; Hawken 401(k) Plan as of December 31, 2006 and 2005, and the changes in its net assets available for benefits for the years then ended, in conformity with accounting principles generally accepted in the United States of America.</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audits were performed for the purpose of forming an opinion on the financial statements taken as a whole. The accompanying supplemental schedule of assets (held at end of year) as of December 31, 2006, is presented for the purposes of additional analysis and is not a required part of the financial statements but is supplemental information required by the Department of Labor’s Rules and Regulations for Reporting and Disclosure under the Employee Retirement Income Security Act of 1974. The suppplemental schedule is the responsibility of the Plan’s management. The supplemental information has been subjected to the auditing procedures applied in our audits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MEADEN &amp; MOORE,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13,219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 Employer contributions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All/Bern Balanced A</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463,029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Columbia Acorn A</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515,445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Dreyfus S&amp;P500 Index Fund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696,689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Fidelity Advisor Diversified International Fund</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517,002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Fidelity Advisor Dividend Growth Fund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Fidelity Advisor International Small Cap 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337,410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Fidelity Advisor New Insights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816,028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Fidelity Advisor Stable Value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398,414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Fidelity Advisor Strategic Income Fund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503,217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JPM Intrepid America Fund</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765,183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Robertson Stephens Partners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320,295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Scotts Miracle-Gro Company Common Shares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2,543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VK Comstock A</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71,460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Participant Loans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62,248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5,469,331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3,536,605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5,482,550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3,539,537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reflecting all investments at fair value</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5,482,550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3,539,537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 from fair value to contract value for the Fidelity Advisor</w:t>
            </w: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w:t>
            </w:r>
          </w:p>
        </w:tc>
        <w:tc>
          <w:tcPr>
            <w:tcW w:w="66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Stable Value Fund, a fully benefit-responsive investment contract</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5,486,567</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3,542,756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Net Assets Attributed to:</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Employer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807,100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892,694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Rollover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333,386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151,802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2,033,180</w:t>
            </w:r>
          </w:p>
        </w:tc>
        <w:tc>
          <w:tcPr>
            <w:tcW w:w="6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254,473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unrealized/realized gain on investments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255,063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Additions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2,542,716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930,947</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Deductions from Net Assets Attributed to:</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587,883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11,022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598,905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Increase</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9"/>
              </w:rPr>
              <w:t>1,943,811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of Year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3,542,756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2,996,591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5,486,567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3,542,756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w:t>
      </w:r>
    </w:p>
    <w:p>
      <w:pPr>
        <w:spacing w:after="0" w:line="229" w:lineRule="exact"/>
        <w:rPr>
          <w:rFonts w:ascii="Times New Roman" w:cs="Times New Roman" w:eastAsia="Times New Roman" w:hAnsi="Times New Roman"/>
          <w:sz w:val="18"/>
          <w:szCs w:val="18"/>
          <w:b w:val="1"/>
          <w:bCs w:val="1"/>
          <w:color w:val="auto"/>
        </w:rPr>
      </w:pPr>
    </w:p>
    <w:p>
      <w:pPr>
        <w:ind w:left="46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Smith &amp; Hawken 401(k) Plan (the Plan) provides only general information. Participants should refer to the Plan document for a complete description of the Plan’s provisions.</w:t>
      </w:r>
    </w:p>
    <w:p>
      <w:pPr>
        <w:spacing w:after="0" w:line="15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ind w:left="4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which began February 28, 1999, is a defined contribution plan covering all employees of Smith &amp; Hawken, Ltd. (the Company) who meet the hour and age requirements. It is subject to the provisions of the Employee Retirement Income Security Act of 1974 (ERISA).</w:t>
      </w:r>
    </w:p>
    <w:p>
      <w:pPr>
        <w:spacing w:after="0" w:line="161" w:lineRule="exact"/>
        <w:rPr>
          <w:rFonts w:ascii="Times New Roman" w:cs="Times New Roman" w:eastAsia="Times New Roman" w:hAnsi="Times New Roman"/>
          <w:sz w:val="18"/>
          <w:szCs w:val="18"/>
          <w:b w:val="1"/>
          <w:bCs w:val="1"/>
          <w:color w:val="auto"/>
        </w:rPr>
      </w:pPr>
    </w:p>
    <w:p>
      <w:pPr>
        <w:ind w:left="4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was amended and restated effective January 1, 2006, in order to satisfy the requirements of a “safe harbor” plan. The Plan was amended and restated effective January 23, 2003, for provisions stated in the Economic Growth and Tax Relief Reconciliation Act (EGTRRA).</w:t>
      </w:r>
    </w:p>
    <w:p>
      <w:pPr>
        <w:spacing w:after="0" w:line="15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Eligibility:</w:t>
      </w:r>
    </w:p>
    <w:p>
      <w:pPr>
        <w:spacing w:after="0" w:line="229" w:lineRule="exact"/>
        <w:rPr>
          <w:rFonts w:ascii="Times New Roman" w:cs="Times New Roman" w:eastAsia="Times New Roman" w:hAnsi="Times New Roman"/>
          <w:sz w:val="18"/>
          <w:szCs w:val="18"/>
          <w:b w:val="1"/>
          <w:bCs w:val="1"/>
          <w:color w:val="auto"/>
        </w:rPr>
      </w:pPr>
    </w:p>
    <w:p>
      <w:pPr>
        <w:ind w:left="46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employees of the Company age twenty-one and older, except nonresident aliens working outside the United States and temporary/leased employees, and who have completed two months of service in a twelve month period are eligible to participate in the Plan and to receive safe harbor matching contributions by the Company. Employees of the Company age twenty-one and older and who have completed 1,000 hours of service in a twelve month period are eligible to receive discretionary nonelective employer contributions.</w:t>
      </w:r>
    </w:p>
    <w:p>
      <w:pPr>
        <w:spacing w:after="0" w:line="17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p>
    <w:p>
      <w:pPr>
        <w:spacing w:after="0" w:line="229"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participant may elect to contribute to the Plan, though salary deferrals, a minimum of 1% to a maximum 75% of their pretax annual compensation. Contributions are limited to the amounts defined by the Internal Revenue Code (IRC) and indexed annually for inflation. The Plan limits the salary deferral of a participant if the participant’s annual contribution limitations are exceeded, as described by the IRC. The maximum pre-tax contributions for the years ended December 31, 2006 and 2005 were $15,000 and $14,000, respectively. The Plan also provides that participants who are projected to be age 50 or older by the end of the calendar year and who are making deferral contributions to the Plan may also make catch-up contributions of up to $5,000 and $4,000 during the years ended December 31, 2006 and 2005, respectively.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right="8540" w:hanging="452"/>
        <w:spacing w:after="0" w:line="533" w:lineRule="auto"/>
        <w:tabs>
          <w:tab w:leader="none" w:pos="4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Description of Plan, Continued </w:t>
      </w:r>
      <w:r>
        <w:rPr>
          <w:rFonts w:ascii="Times New Roman" w:cs="Times New Roman" w:eastAsia="Times New Roman" w:hAnsi="Times New Roman"/>
          <w:sz w:val="17"/>
          <w:szCs w:val="17"/>
          <w:b w:val="1"/>
          <w:bCs w:val="1"/>
          <w:i w:val="1"/>
          <w:iCs w:val="1"/>
          <w:color w:val="auto"/>
        </w:rPr>
        <w:t>Contributions, continued:</w:t>
      </w:r>
    </w:p>
    <w:p>
      <w:pPr>
        <w:ind w:left="4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With the adoption of the 401(k) Safe-Harbor Provisions effective January 1, 2006, Company matching contributions were mandatory. For the year ended December 31, 2006, the Company matched 100% of each participant’s contribution, up to the first 3% of covered compensation, plus 50% of the next 2% of covered compensation. At its discretion, the Company may make discretionary nonelective employer contributions to the Plan. The aggregate discretionary nonelective employer contributions were $356,566 and $2,932 for the years ended December 31, 2006 and 2005, respectively.</w:t>
      </w:r>
    </w:p>
    <w:p>
      <w:pPr>
        <w:spacing w:after="0" w:line="180" w:lineRule="exact"/>
        <w:rPr>
          <w:rFonts w:ascii="Times New Roman" w:cs="Times New Roman" w:eastAsia="Times New Roman" w:hAnsi="Times New Roman"/>
          <w:sz w:val="17"/>
          <w:szCs w:val="17"/>
          <w:b w:val="1"/>
          <w:bCs w:val="1"/>
          <w:color w:val="auto"/>
        </w:rPr>
      </w:pPr>
    </w:p>
    <w:p>
      <w:pPr>
        <w:ind w:left="460" w:right="6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Participants are also allowed to make rollover contributions of amounts received from other qualified employer sponsored retirement plans. All contributions are invested as directed by each participant.</w:t>
      </w:r>
    </w:p>
    <w:p>
      <w:pPr>
        <w:spacing w:after="0" w:line="15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Participants’ Accounts:</w:t>
      </w:r>
    </w:p>
    <w:p>
      <w:pPr>
        <w:spacing w:after="0" w:line="229" w:lineRule="exact"/>
        <w:rPr>
          <w:rFonts w:ascii="Times New Roman" w:cs="Times New Roman" w:eastAsia="Times New Roman" w:hAnsi="Times New Roman"/>
          <w:sz w:val="17"/>
          <w:szCs w:val="17"/>
          <w:b w:val="1"/>
          <w:bCs w:val="1"/>
          <w:color w:val="auto"/>
        </w:rPr>
      </w:pPr>
    </w:p>
    <w:p>
      <w:pPr>
        <w:ind w:left="460" w:right="1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401(k) Accounts — Each participant’s account is credited with the participant’s elective contributions, employer matching contributions, earnings and losses thereon. Rollover contributions from other plans are also accepted, providing certain specified conditions are met.</w:t>
      </w:r>
    </w:p>
    <w:p>
      <w:pPr>
        <w:spacing w:after="0" w:line="15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Vesting:</w:t>
      </w:r>
    </w:p>
    <w:p>
      <w:pPr>
        <w:spacing w:after="0" w:line="229" w:lineRule="exact"/>
        <w:rPr>
          <w:rFonts w:ascii="Times New Roman" w:cs="Times New Roman" w:eastAsia="Times New Roman" w:hAnsi="Times New Roman"/>
          <w:sz w:val="17"/>
          <w:szCs w:val="17"/>
          <w:b w:val="1"/>
          <w:bCs w:val="1"/>
          <w:color w:val="auto"/>
        </w:rPr>
      </w:pPr>
    </w:p>
    <w:p>
      <w:pPr>
        <w:ind w:left="4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year ended December 31, 2006, all participants are 100% vested in elective deferrals, rollover contributions, safe harbor matching contributions made by the Company, and any earnings thereon. Participants become 100% vested in the discretionary nonelective employer contributions after</w:t>
      </w:r>
    </w:p>
    <w:p>
      <w:pPr>
        <w:ind w:left="460" w:right="2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3 years of service. For the year ended December 31, 2005, all participants are 100% vested in elective deferrals, qualified non-elective contributions and rollover contributions made to the Plan.</w:t>
      </w:r>
    </w:p>
    <w:p>
      <w:pPr>
        <w:spacing w:after="0" w:line="175"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Participants’ Loans:</w:t>
      </w:r>
    </w:p>
    <w:p>
      <w:pPr>
        <w:spacing w:after="0" w:line="229" w:lineRule="exact"/>
        <w:rPr>
          <w:rFonts w:ascii="Times New Roman" w:cs="Times New Roman" w:eastAsia="Times New Roman" w:hAnsi="Times New Roman"/>
          <w:sz w:val="17"/>
          <w:szCs w:val="17"/>
          <w:b w:val="1"/>
          <w:bCs w:val="1"/>
          <w:color w:val="auto"/>
        </w:rPr>
      </w:pPr>
    </w:p>
    <w:p>
      <w:pPr>
        <w:ind w:left="4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Loans are permitted under certain circumstances and are subject to limitations. Participants may borrow from their account up to a maximum equal to the lesser of $50,000 or 50% of their account balance. Loans are repaid over a period not to exceed 5 years with exceptions for the purchase of a primary residence. The loans are secured by the balance in the participant’s account and bear interest at rates established by Fidelity Management Trust Company. Principal and interest are paid ratably through monthly payroll deductions.</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right="8440" w:hanging="452"/>
        <w:spacing w:after="0" w:line="533" w:lineRule="auto"/>
        <w:tabs>
          <w:tab w:leader="none" w:pos="46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Description of Plan, Continued </w:t>
      </w:r>
      <w:r>
        <w:rPr>
          <w:rFonts w:ascii="Times New Roman" w:cs="Times New Roman" w:eastAsia="Times New Roman" w:hAnsi="Times New Roman"/>
          <w:sz w:val="17"/>
          <w:szCs w:val="17"/>
          <w:b w:val="1"/>
          <w:bCs w:val="1"/>
          <w:i w:val="1"/>
          <w:iCs w:val="1"/>
          <w:color w:val="auto"/>
        </w:rPr>
        <w:t>Other Plan Provisions:</w:t>
      </w:r>
    </w:p>
    <w:p>
      <w:pPr>
        <w:ind w:left="4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Normal retirement age is 65, however, a participant may elect early retirement on or after age 55. The Plan also provides for early payment of benefits after reaching age 59-1/2.</w:t>
      </w:r>
    </w:p>
    <w:p>
      <w:pPr>
        <w:spacing w:after="0" w:line="15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rFonts w:ascii="Times New Roman" w:cs="Times New Roman" w:eastAsia="Times New Roman" w:hAnsi="Times New Roman"/>
          <w:sz w:val="17"/>
          <w:szCs w:val="17"/>
          <w:b w:val="1"/>
          <w:bCs w:val="1"/>
          <w:color w:val="auto"/>
        </w:rPr>
      </w:pPr>
    </w:p>
    <w:p>
      <w:pPr>
        <w:ind w:left="460" w:right="2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Upon termination of service by reason of retirement, death or total and permanent disability, a participant receives a lump sum amount equal to the vested value of his or her account.</w:t>
      </w:r>
    </w:p>
    <w:p>
      <w:pPr>
        <w:spacing w:after="0" w:line="15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Hardship Withdrawals:</w:t>
      </w:r>
    </w:p>
    <w:p>
      <w:pPr>
        <w:spacing w:after="0" w:line="229"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Hardship withdrawals are permitted in accordance with Internal Revenue Service guidelines.</w:t>
      </w:r>
    </w:p>
    <w:p>
      <w:pPr>
        <w:spacing w:after="0" w:line="221"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Investment Options:</w:t>
      </w:r>
    </w:p>
    <w:p>
      <w:pPr>
        <w:spacing w:after="0" w:line="229"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Upon enrollment in the Plan, a participant may direct his or her contributions in any of the investment options offered by the Plan.</w:t>
      </w:r>
    </w:p>
    <w:p>
      <w:pPr>
        <w:spacing w:after="0" w:line="221"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Forfeitures: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Forfeited non-vested accounts totaled $-0- and $679 as of December 31, 2006 and 2005, respectively.</w:t>
      </w:r>
    </w:p>
    <w:p>
      <w:pPr>
        <w:spacing w:after="0" w:line="1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right="7560" w:hanging="452"/>
        <w:spacing w:after="0" w:line="503" w:lineRule="auto"/>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Accounting:</w:t>
      </w: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transactions are reported on the accrual basis of accounting. The Plan’s investments are stated at fair value. Quoted market prices are used to value investments. Shares of mutual funds are valued at the net asset value of shares held by the Plan at year end.</w:t>
      </w:r>
    </w:p>
    <w:p>
      <w:pPr>
        <w:spacing w:after="0" w:line="161" w:lineRule="exact"/>
        <w:rPr>
          <w:rFonts w:ascii="Times New Roman" w:cs="Times New Roman" w:eastAsia="Times New Roman" w:hAnsi="Times New Roman"/>
          <w:sz w:val="18"/>
          <w:szCs w:val="18"/>
          <w:b w:val="1"/>
          <w:bCs w:val="1"/>
          <w:color w:val="auto"/>
        </w:rPr>
      </w:pPr>
    </w:p>
    <w:p>
      <w:pPr>
        <w:ind w:left="4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described in Financial Accounting Standards Board Staff Position, FSP AAG INV-1 and SOP 94-4-1, “Reporting of Fully Benefit-Responsive Investment Contracts Held by Certain Investment Companies Subject to the AICPA Investment Company Guide and Defined-Contribution Health and Welfare and Pension Plans” (the “FSP”), investment contracts held by a defined-contribution plan are required to be reported at fair value. However, contract value is the relevant measurement attribute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the FSP, the Statement of Net Assets Available for Benefits presents the fair value of the investment contracts as well as the adjustment of the Fidelity Advisor Stable Value Fund, a fully benefit-responsive investment contract from fair value to contract value. The Statement of Changes in Net Assets Available for Benefits is prepared on a contract value basis.</w:t>
      </w:r>
    </w:p>
    <w:p>
      <w:pPr>
        <w:spacing w:after="0" w:line="18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equivalents include short-term investments with original term to maturity of 90 days or less. Cost approximates fair value.</w:t>
      </w:r>
    </w:p>
    <w:p>
      <w:pPr>
        <w:spacing w:after="0" w:line="225"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presents in the statements of changes in net assets available for benefits the net appreciation (depreciation) in the fair value of its investments, which consists of the realized gains or losses and the unrealized appreciation (depreciation) on those investments. Gains and losses on sales of investments are based on the average cost method.</w:t>
      </w:r>
    </w:p>
    <w:p>
      <w:pPr>
        <w:spacing w:after="0" w:line="17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460" w:righ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right="6680" w:hanging="452"/>
        <w:spacing w:after="0" w:line="503" w:lineRule="auto"/>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Continued </w:t>
      </w:r>
      <w:r>
        <w:rPr>
          <w:rFonts w:ascii="Times New Roman" w:cs="Times New Roman" w:eastAsia="Times New Roman" w:hAnsi="Times New Roman"/>
          <w:sz w:val="18"/>
          <w:szCs w:val="18"/>
          <w:b w:val="1"/>
          <w:bCs w:val="1"/>
          <w:i w:val="1"/>
          <w:iCs w:val="1"/>
          <w:color w:val="auto"/>
        </w:rPr>
        <w:t>Administrative Fees:</w:t>
      </w:r>
    </w:p>
    <w:p>
      <w:pPr>
        <w:ind w:left="4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fees and expenses of administering the Plan are paid by the Plan sponsor, except for fees relating to the investment management services of the Plan ($11,022 in 2006 and $8,585 in 2005).</w:t>
      </w:r>
    </w:p>
    <w:p>
      <w:pPr>
        <w:spacing w:after="0" w:line="15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Plan Termination:</w:t>
      </w:r>
    </w:p>
    <w:p>
      <w:pPr>
        <w:spacing w:after="0" w:line="229" w:lineRule="exact"/>
        <w:rPr>
          <w:rFonts w:ascii="Times New Roman" w:cs="Times New Roman" w:eastAsia="Times New Roman" w:hAnsi="Times New Roman"/>
          <w:sz w:val="18"/>
          <w:szCs w:val="18"/>
          <w:b w:val="1"/>
          <w:bCs w:val="1"/>
          <w:color w:val="auto"/>
        </w:rPr>
      </w:pPr>
    </w:p>
    <w:p>
      <w:pPr>
        <w:ind w:left="4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5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investments include investments in mutual funds and collective funds holding investment contracts with varying degrees of risk,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the amounts reported in the statements of net assets available for plan benefits.</w:t>
      </w:r>
    </w:p>
    <w:p>
      <w:pPr>
        <w:spacing w:after="0" w:line="176"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29"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an adoption of the standardized prototype plan written by Fidelity Management &amp; Research Company. The prototype sponsor received a favorable determination letter dated October 9, 2003, in which the Internal Revenue Service stated that the prototype plan, as then designated, was in compliance with applicable requirements of the IRC. Therefore, the Plan Administrator believes that the Plan was qualified and the related trust was tax exempt as of the financial statement dates. Accordingly, no provision for federal income taxes has been made.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ind w:left="4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funds are invested in the various stock, bond and cash investments through the Fidelity Management Trust Company. Investments which constitute more than 5% of the Plan’s net assets are: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2006</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100" w:type="dxa"/>
            <w:vAlign w:val="bottom"/>
          </w:tcPr>
          <w:p>
            <w:pPr>
              <w:spacing w:after="0"/>
              <w:rPr>
                <w:sz w:val="15"/>
                <w:szCs w:val="15"/>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All/Bern Balanced A</w:t>
            </w: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$ 463,029</w:t>
            </w:r>
          </w:p>
        </w:tc>
        <w:tc>
          <w:tcPr>
            <w:tcW w:w="114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$ 378,330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Columbia Acorn A</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$ 515,445</w:t>
            </w:r>
          </w:p>
        </w:tc>
        <w:tc>
          <w:tcPr>
            <w:tcW w:w="11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$ 252,269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Dreyfus S&amp;P500 Index Fund</w:t>
            </w: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$ 696,689</w:t>
            </w:r>
          </w:p>
        </w:tc>
        <w:tc>
          <w:tcPr>
            <w:tcW w:w="114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$ 482,184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Fidelity Advisor Diversified International Fund</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$ 517,002</w:t>
            </w:r>
          </w:p>
        </w:tc>
        <w:tc>
          <w:tcPr>
            <w:tcW w:w="11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$ 314,559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Advisor Dividend Growth Fund</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NA</w:t>
            </w:r>
          </w:p>
        </w:tc>
        <w:tc>
          <w:tcPr>
            <w:tcW w:w="114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$ 559,534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Fidelity Advisor International Small Cap T</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$ 337,410</w:t>
            </w:r>
          </w:p>
        </w:tc>
        <w:tc>
          <w:tcPr>
            <w:tcW w:w="3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Advisor New Insights</w:t>
            </w: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$ 816,028</w:t>
            </w:r>
          </w:p>
        </w:tc>
        <w:tc>
          <w:tcPr>
            <w:tcW w:w="114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$ 570,840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Fidelity Advisor Stable Value Fund</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$ 398,414</w:t>
            </w:r>
          </w:p>
        </w:tc>
        <w:tc>
          <w:tcPr>
            <w:tcW w:w="11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$ 247,923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Advisor Strategic Income Fund</w:t>
            </w: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$ 503,217</w:t>
            </w:r>
          </w:p>
        </w:tc>
        <w:tc>
          <w:tcPr>
            <w:tcW w:w="114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$ 386,379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JPM Intrepid America Fund</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$ 765,183</w:t>
            </w:r>
          </w:p>
        </w:tc>
        <w:tc>
          <w:tcPr>
            <w:tcW w:w="3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Robertson Stephens Partners</w:t>
            </w: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$ 320,295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Contract with Fidelity Management Trust Company</w:t>
      </w:r>
    </w:p>
    <w:p>
      <w:pPr>
        <w:spacing w:after="0" w:line="229" w:lineRule="exact"/>
        <w:rPr>
          <w:rFonts w:ascii="Times New Roman" w:cs="Times New Roman" w:eastAsia="Times New Roman" w:hAnsi="Times New Roman"/>
          <w:sz w:val="18"/>
          <w:szCs w:val="18"/>
          <w:b w:val="1"/>
          <w:bCs w:val="1"/>
          <w:color w:val="auto"/>
        </w:rPr>
      </w:pPr>
    </w:p>
    <w:p>
      <w:pPr>
        <w:ind w:left="46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holds a stable value investment contract, Fidelity Advisor Stable Value Fund, (the “Fund”) with Fidelity Management Trust Company, the trustee. The Fund is an open-end commingled pool dedicated exclusively to the management of assets of defined contribution plans. The Fund invests in underlying assets (typically fixed-income securities or bond funds and may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Fund an amount sufficient to cover unitholder redemptions and certain other payments (such as fund expenses), provided all the terms of the wrap contract have been met. Wrappers are normally purchased from issuers rated in the top three long-term rating categories (A- or the equivalent and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Contract with Fidelity Management Trust Company, continued</w:t>
      </w:r>
    </w:p>
    <w:p>
      <w:pPr>
        <w:spacing w:after="0" w:line="229" w:lineRule="exact"/>
        <w:rPr>
          <w:rFonts w:ascii="Times New Roman" w:cs="Times New Roman" w:eastAsia="Times New Roman" w:hAnsi="Times New Roman"/>
          <w:sz w:val="18"/>
          <w:szCs w:val="18"/>
          <w:b w:val="1"/>
          <w:bCs w:val="1"/>
          <w:color w:val="auto"/>
        </w:rPr>
      </w:pPr>
    </w:p>
    <w:p>
      <w:pPr>
        <w:ind w:left="460" w:right="2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described in Note 2, because the Fidelity Advisor Stable Value investment contract is fully benefit-responsive, contract value is the relevant measurement attribute for that portion of the net assets available for benefits attributable to the stable value investment contract. Contract value, as reported by Fidelity Management Trust Company, represents contributions made under the contract, plus earnings, less participant withdrawals and administrative expenses. Participants may ordinarily direct the withdrawal or transfer of all or a portion of their investment at contract value. The fair value of the wrapper investment is calculated by discounting the related cash flows based on current yields of similar instruments with comparable durations.</w:t>
      </w:r>
    </w:p>
    <w:p>
      <w:pPr>
        <w:spacing w:after="0" w:line="187" w:lineRule="exact"/>
        <w:rPr>
          <w:rFonts w:ascii="Times New Roman" w:cs="Times New Roman" w:eastAsia="Times New Roman" w:hAnsi="Times New Roman"/>
          <w:sz w:val="18"/>
          <w:szCs w:val="18"/>
          <w:b w:val="1"/>
          <w:bCs w:val="1"/>
          <w:color w:val="auto"/>
        </w:rPr>
      </w:pPr>
    </w:p>
    <w:p>
      <w:pPr>
        <w:ind w:left="4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reserves against contract value for credit risk of the contract issuer or otherwise. The crediting interest rate is based on a formula agreed upon with the issuer. Such interest rates are reviewed on a quarterly basis for resetting.</w:t>
      </w:r>
    </w:p>
    <w:p>
      <w:pPr>
        <w:spacing w:after="0" w:line="161" w:lineRule="exact"/>
        <w:rPr>
          <w:rFonts w:ascii="Times New Roman" w:cs="Times New Roman" w:eastAsia="Times New Roman" w:hAnsi="Times New Roman"/>
          <w:sz w:val="18"/>
          <w:szCs w:val="18"/>
          <w:b w:val="1"/>
          <w:bCs w:val="1"/>
          <w:color w:val="auto"/>
        </w:rPr>
      </w:pPr>
    </w:p>
    <w:p>
      <w:pPr>
        <w:ind w:left="4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events limit the ability of the Plan to transact at contract value with the issuer. Such events include the following: (1) amendments to the Plan documents (including complete or partial plan termination or merger with another plan), (2) changes to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Employee Retirement Income Security Act of 1974. The Plan administrator does not believe that the occurrence of any such value event, which would limit the Plan’s ability to transact at contract value with participants, is probable.</w:t>
      </w:r>
    </w:p>
    <w:p>
      <w:pPr>
        <w:spacing w:after="0" w:line="187" w:lineRule="exact"/>
        <w:rPr>
          <w:rFonts w:ascii="Times New Roman" w:cs="Times New Roman" w:eastAsia="Times New Roman" w:hAnsi="Times New Roman"/>
          <w:sz w:val="18"/>
          <w:szCs w:val="18"/>
          <w:b w:val="1"/>
          <w:bCs w:val="1"/>
          <w:color w:val="auto"/>
        </w:rPr>
      </w:pPr>
    </w:p>
    <w:p>
      <w:pPr>
        <w:ind w:left="46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guaranteed bank investment contract does not permit Fidelity Management Trust Company to terminate the agreement prior to the scheduled maturity date.</w:t>
      </w:r>
    </w:p>
    <w:p>
      <w:pPr>
        <w:spacing w:after="0" w:line="16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the average yields for the guaranteed investment contract for 2006 and 2005: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Average Yields:</w:t>
            </w:r>
          </w:p>
        </w:tc>
        <w:tc>
          <w:tcPr>
            <w:tcW w:w="4480" w:type="dxa"/>
            <w:vAlign w:val="bottom"/>
          </w:tcPr>
          <w:p>
            <w:pPr>
              <w:spacing w:after="0"/>
              <w:rPr>
                <w:sz w:val="19"/>
                <w:szCs w:val="19"/>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2006</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2005</w:t>
            </w:r>
          </w:p>
        </w:tc>
        <w:tc>
          <w:tcPr>
            <w:tcW w:w="160" w:type="dxa"/>
            <w:vAlign w:val="bottom"/>
          </w:tcPr>
          <w:p>
            <w:pPr>
              <w:spacing w:after="0"/>
              <w:rPr>
                <w:sz w:val="19"/>
                <w:szCs w:val="19"/>
                <w:color w:val="auto"/>
              </w:rPr>
            </w:pPr>
          </w:p>
        </w:tc>
      </w:tr>
      <w:tr>
        <w:trPr>
          <w:trHeight w:val="403"/>
        </w:trPr>
        <w:tc>
          <w:tcPr>
            <w:tcW w:w="4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Based on actual earnings</w:t>
            </w:r>
          </w:p>
        </w:tc>
        <w:tc>
          <w:tcPr>
            <w:tcW w:w="5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238"/>
        </w:trPr>
        <w:tc>
          <w:tcPr>
            <w:tcW w:w="4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Based on interest rates credited to participants</w:t>
            </w:r>
          </w:p>
        </w:tc>
        <w:tc>
          <w:tcPr>
            <w:tcW w:w="5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3.88%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405"/>
        </w:trPr>
        <w:tc>
          <w:tcPr>
            <w:tcW w:w="4760" w:type="dxa"/>
            <w:vAlign w:val="bottom"/>
          </w:tcPr>
          <w:p>
            <w:pPr>
              <w:spacing w:after="0"/>
              <w:rPr>
                <w:sz w:val="24"/>
                <w:szCs w:val="24"/>
                <w:color w:val="auto"/>
              </w:rPr>
            </w:pPr>
          </w:p>
        </w:tc>
        <w:tc>
          <w:tcPr>
            <w:tcW w:w="4480" w:type="dxa"/>
            <w:vAlign w:val="bottom"/>
          </w:tcPr>
          <w:p>
            <w:pPr>
              <w:jc w:val="right"/>
              <w:ind w:right="335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476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Financial Statements to Form 5500</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employee contributions remitted to the Plan per the financial statements to the Form 5500, for the year ended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 remitted to the Plan per financial statements</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$ 807,100</w:t>
            </w:r>
          </w:p>
        </w:tc>
        <w:tc>
          <w:tcPr>
            <w:tcW w:w="0" w:type="dxa"/>
            <w:vAlign w:val="bottom"/>
          </w:tcPr>
          <w:p>
            <w:pPr>
              <w:spacing w:after="0"/>
              <w:rPr>
                <w:sz w:val="1"/>
                <w:szCs w:val="1"/>
                <w:color w:val="auto"/>
              </w:rPr>
            </w:pPr>
          </w:p>
        </w:tc>
      </w:tr>
      <w:tr>
        <w:trPr>
          <w:trHeight w:val="432"/>
        </w:trPr>
        <w:tc>
          <w:tcPr>
            <w:tcW w:w="10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Contributions receivable per prior year Form 5500 not included in prior year financial statements</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2,932</w:t>
            </w:r>
          </w:p>
        </w:tc>
        <w:tc>
          <w:tcPr>
            <w:tcW w:w="0" w:type="dxa"/>
            <w:vAlign w:val="bottom"/>
          </w:tcPr>
          <w:p>
            <w:pPr>
              <w:spacing w:after="0"/>
              <w:rPr>
                <w:sz w:val="1"/>
                <w:szCs w:val="1"/>
                <w:color w:val="auto"/>
              </w:rPr>
            </w:pPr>
          </w:p>
        </w:tc>
      </w:tr>
      <w:tr>
        <w:trPr>
          <w:trHeight w:val="223"/>
        </w:trPr>
        <w:tc>
          <w:tcPr>
            <w:tcW w:w="460" w:type="dxa"/>
            <w:vAlign w:val="bottom"/>
            <w:vMerge w:val="restart"/>
          </w:tcPr>
          <w:p>
            <w:pPr>
              <w:spacing w:after="0"/>
              <w:rPr>
                <w:sz w:val="19"/>
                <w:szCs w:val="19"/>
                <w:color w:val="auto"/>
              </w:rPr>
            </w:pPr>
          </w:p>
        </w:tc>
        <w:tc>
          <w:tcPr>
            <w:tcW w:w="10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 remitted to the Plan per Form 5500</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$ 810,032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0" w:type="dxa"/>
            <w:vAlign w:val="bottom"/>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as of December 31, 2006:</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1002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5"/>
              </w:rPr>
              <w:t>$ 5,486,567</w:t>
            </w:r>
          </w:p>
        </w:tc>
        <w:tc>
          <w:tcPr>
            <w:tcW w:w="0" w:type="dxa"/>
            <w:vAlign w:val="bottom"/>
          </w:tcPr>
          <w:p>
            <w:pPr>
              <w:spacing w:after="0"/>
              <w:rPr>
                <w:sz w:val="1"/>
                <w:szCs w:val="1"/>
                <w:color w:val="auto"/>
              </w:rPr>
            </w:pPr>
          </w:p>
        </w:tc>
      </w:tr>
      <w:tr>
        <w:trPr>
          <w:trHeight w:val="432"/>
        </w:trPr>
        <w:tc>
          <w:tcPr>
            <w:tcW w:w="10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(4,017)</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1002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Rounding</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439"/>
        </w:trPr>
        <w:tc>
          <w:tcPr>
            <w:tcW w:w="10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$ 5,482,542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80" w:type="dxa"/>
            <w:vAlign w:val="bottom"/>
            <w:gridSpan w:val="2"/>
            <w:vMerge w:val="restart"/>
          </w:tcPr>
          <w:p>
            <w:pPr>
              <w:jc w:val="right"/>
              <w:ind w:right="45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Borders>
              <w:bottom w:val="single" w:sz="8" w:color="808080"/>
            </w:tcBorders>
          </w:tcPr>
          <w:p>
            <w:pPr>
              <w:spacing w:after="0"/>
              <w:rPr>
                <w:sz w:val="19"/>
                <w:szCs w:val="19"/>
                <w:color w:val="auto"/>
              </w:rPr>
            </w:pPr>
          </w:p>
        </w:tc>
        <w:tc>
          <w:tcPr>
            <w:tcW w:w="10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Financial Statements to Form 5500, continued</w:t>
      </w:r>
    </w:p>
    <w:p>
      <w:pPr>
        <w:spacing w:after="0" w:line="22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reconciliation of investment income per the financial statements to the Form 5500, as of December 31, 2006.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per the financial statements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$ 509,536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Rounding</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439"/>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 per the Form 5500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$ 505,514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reconciliation of administrative expenses per the financial statements to the Form 5500, for the year ended December 31, 2006: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 per the financial statements</w:t>
            </w:r>
          </w:p>
        </w:tc>
        <w:tc>
          <w:tcPr>
            <w:tcW w:w="3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$ 11,022</w:t>
            </w:r>
          </w:p>
        </w:tc>
        <w:tc>
          <w:tcPr>
            <w:tcW w:w="0" w:type="dxa"/>
            <w:vAlign w:val="bottom"/>
          </w:tcPr>
          <w:p>
            <w:pPr>
              <w:spacing w:after="0"/>
              <w:rPr>
                <w:sz w:val="1"/>
                <w:szCs w:val="1"/>
                <w:color w:val="auto"/>
              </w:rPr>
            </w:pPr>
          </w:p>
        </w:tc>
      </w:tr>
      <w:tr>
        <w:trPr>
          <w:trHeight w:val="432"/>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Rounding</w:t>
            </w:r>
          </w:p>
        </w:tc>
        <w:tc>
          <w:tcPr>
            <w:tcW w:w="3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 per the Form 5500</w:t>
            </w:r>
          </w:p>
        </w:tc>
        <w:tc>
          <w:tcPr>
            <w:tcW w:w="3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$ 11,026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 Transactions</w:t>
      </w:r>
    </w:p>
    <w:p>
      <w:pPr>
        <w:spacing w:after="0" w:line="229" w:lineRule="exact"/>
        <w:rPr>
          <w:rFonts w:ascii="Times New Roman" w:cs="Times New Roman" w:eastAsia="Times New Roman" w:hAnsi="Times New Roman"/>
          <w:sz w:val="18"/>
          <w:szCs w:val="18"/>
          <w:b w:val="1"/>
          <w:bCs w:val="1"/>
          <w:color w:val="auto"/>
        </w:rPr>
      </w:pPr>
    </w:p>
    <w:p>
      <w:pPr>
        <w:ind w:left="4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are shares of mutual funds managed by Fidelity Management Trust Company, the Trustee as defined by the Plan. These transactions qualify as party-in-interest transactions. Usual and customary fees were paid by the mutual fund for the investment management services.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401(k) Plan</w:t>
      </w:r>
    </w:p>
    <w:p>
      <w:pPr>
        <w:spacing w:after="0" w:line="203"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rFonts w:ascii="Times New Roman" w:cs="Times New Roman" w:eastAsia="Times New Roman" w:hAnsi="Times New Roman"/>
          <w:sz w:val="18"/>
          <w:szCs w:val="18"/>
          <w:b w:val="1"/>
          <w:bCs w:val="1"/>
          <w:color w:val="auto"/>
        </w:rPr>
      </w:pPr>
    </w:p>
    <w:p>
      <w:pPr>
        <w:ind w:left="460" w:righ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2006, the Financial Accounting Standards Board issued Statement of Financial Accounting Standards (SFAS) 157, “Fair Value Measurements.” SFAS 157 defines fair value, establishes a framework for measuring fair value, and expands disclosures about fair value measurements. The Plan will be required to adopt SFAS 157 no later than January 1, 2008. The effect of this pronouncement on these financial statements has not been determined.</w:t>
      </w:r>
    </w:p>
    <w:p>
      <w:pPr>
        <w:spacing w:after="0" w:line="180"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15, 2007, the Financial Accounting Standards Board issued SFAS No. 159, “The Fair Value Option for Financial Assets and Financial Liabilities”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Plan’s financial statements for the fiscal year beginning on January 1, 2008, with earlier adoption permitted. The effect of this pronouncement on these financial statements has not been determined.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ASSETS HELD FOR INVESTMENT PURPOSES AT END OF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5500, Schedule H, Part IV, Line 4i</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Smith &amp; Hawken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3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EIN 06-1359589</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Plan Number 001</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w:t>
            </w:r>
          </w:p>
        </w:tc>
        <w:tc>
          <w:tcPr>
            <w:tcW w:w="3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c )</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Identity of Issue,</w:t>
            </w:r>
          </w:p>
        </w:tc>
        <w:tc>
          <w:tcPr>
            <w:tcW w:w="32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Description of Investment Including</w:t>
            </w:r>
          </w:p>
        </w:tc>
        <w:tc>
          <w:tcPr>
            <w:tcW w:w="3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(a)</w:t>
            </w:r>
          </w:p>
        </w:tc>
        <w:tc>
          <w:tcPr>
            <w:tcW w:w="32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Borrower, Lessor,</w:t>
            </w:r>
          </w:p>
        </w:tc>
        <w:tc>
          <w:tcPr>
            <w:tcW w:w="32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Maturity Date, Rate of Interest,</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gridSpan w:val="2"/>
          </w:tcPr>
          <w:p>
            <w:pPr>
              <w:jc w:val="center"/>
              <w:ind w:right="1200"/>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Similar Party</w:t>
            </w:r>
          </w:p>
        </w:tc>
        <w:tc>
          <w:tcPr>
            <w:tcW w:w="32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Collateral, Par or Maturity Value</w:t>
            </w:r>
          </w:p>
        </w:tc>
        <w:tc>
          <w:tcPr>
            <w:tcW w:w="3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Cost</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color w:val="auto"/>
              </w:rPr>
              <w:t>Value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All/Bern Balanced A</w:t>
            </w:r>
          </w:p>
        </w:tc>
        <w:tc>
          <w:tcPr>
            <w:tcW w:w="3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Mutual Fund</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463,029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Columbia Acorn A</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Mutual Fund</w:t>
            </w:r>
          </w:p>
        </w:tc>
        <w:tc>
          <w:tcPr>
            <w:tcW w:w="3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515,445</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Dreyfus S&amp;P500 Index Fund</w:t>
            </w:r>
          </w:p>
        </w:tc>
        <w:tc>
          <w:tcPr>
            <w:tcW w:w="3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Mutual Fund</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696,689</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Fidelity Advisor Diversified</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Mutual Fund</w:t>
            </w:r>
          </w:p>
        </w:tc>
        <w:tc>
          <w:tcPr>
            <w:tcW w:w="3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517,002</w:t>
            </w:r>
          </w:p>
        </w:tc>
        <w:tc>
          <w:tcPr>
            <w:tcW w:w="0" w:type="dxa"/>
            <w:vAlign w:val="bottom"/>
          </w:tcPr>
          <w:p>
            <w:pPr>
              <w:spacing w:after="0"/>
              <w:rPr>
                <w:sz w:val="1"/>
                <w:szCs w:val="1"/>
                <w:color w:val="auto"/>
              </w:rPr>
            </w:pPr>
          </w:p>
        </w:tc>
      </w:tr>
    </w:tbl>
    <w:p>
      <w:pPr>
        <w:ind w:left="1180" w:hanging="1172"/>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Fund</w:t>
      </w:r>
    </w:p>
    <w:p>
      <w:pPr>
        <w:spacing w:after="0" w:line="7" w:lineRule="exact"/>
        <w:rPr>
          <w:sz w:val="20"/>
          <w:szCs w:val="20"/>
          <w:color w:val="auto"/>
        </w:rPr>
      </w:pPr>
    </w:p>
    <w:p>
      <w:pPr>
        <w:ind w:left="1180"/>
        <w:spacing w:after="0"/>
        <w:tabs>
          <w:tab w:leader="none" w:pos="4060" w:val="left"/>
          <w:tab w:leader="none" w:pos="8120" w:val="left"/>
          <w:tab w:leader="none" w:pos="10260" w:val="left"/>
        </w:tabs>
        <w:rPr>
          <w:sz w:val="20"/>
          <w:szCs w:val="20"/>
          <w:color w:val="auto"/>
        </w:rPr>
      </w:pPr>
      <w:r>
        <w:rPr>
          <w:rFonts w:ascii="Times New Roman" w:cs="Times New Roman" w:eastAsia="Times New Roman" w:hAnsi="Times New Roman"/>
          <w:sz w:val="18"/>
          <w:szCs w:val="18"/>
          <w:color w:val="auto"/>
        </w:rPr>
        <w:t>Fidelity Advisor Dividend Growth</w:t>
      </w:r>
      <w:r>
        <w:rPr>
          <w:sz w:val="20"/>
          <w:szCs w:val="20"/>
          <w:color w:val="auto"/>
        </w:rPr>
        <w:tab/>
      </w:r>
      <w:r>
        <w:rPr>
          <w:rFonts w:ascii="Times New Roman" w:cs="Times New Roman" w:eastAsia="Times New Roman" w:hAnsi="Times New Roman"/>
          <w:sz w:val="18"/>
          <w:szCs w:val="18"/>
          <w:color w:val="auto"/>
        </w:rPr>
        <w:t>Mutual Fund</w:t>
      </w:r>
      <w:r>
        <w:rPr>
          <w:sz w:val="20"/>
          <w:szCs w:val="20"/>
          <w:color w:val="auto"/>
        </w:rPr>
        <w:tab/>
      </w: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7"/>
          <w:szCs w:val="17"/>
          <w:color w:val="auto"/>
        </w:rPr>
        <w:t>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180" w:hanging="1172"/>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w:t>
      </w:r>
    </w:p>
    <w:p>
      <w:pPr>
        <w:spacing w:after="0" w:line="9" w:lineRule="exact"/>
        <w:rPr>
          <w:sz w:val="20"/>
          <w:szCs w:val="20"/>
          <w:color w:val="auto"/>
        </w:rPr>
      </w:pPr>
    </w:p>
    <w:p>
      <w:pPr>
        <w:ind w:left="1180"/>
        <w:spacing w:after="0"/>
        <w:tabs>
          <w:tab w:leader="none" w:pos="4060" w:val="left"/>
          <w:tab w:leader="none" w:pos="8120" w:val="left"/>
          <w:tab w:leader="none" w:pos="9940" w:val="left"/>
        </w:tabs>
        <w:rPr>
          <w:sz w:val="20"/>
          <w:szCs w:val="20"/>
          <w:color w:val="auto"/>
        </w:rPr>
      </w:pPr>
      <w:r>
        <w:rPr>
          <w:rFonts w:ascii="Times New Roman" w:cs="Times New Roman" w:eastAsia="Times New Roman" w:hAnsi="Times New Roman"/>
          <w:sz w:val="18"/>
          <w:szCs w:val="18"/>
          <w:color w:val="auto"/>
        </w:rPr>
        <w:t>Fidelity Advisor International</w:t>
      </w:r>
      <w:r>
        <w:rPr>
          <w:sz w:val="20"/>
          <w:szCs w:val="20"/>
          <w:color w:val="auto"/>
        </w:rPr>
        <w:tab/>
      </w:r>
      <w:r>
        <w:rPr>
          <w:rFonts w:ascii="Times New Roman" w:cs="Times New Roman" w:eastAsia="Times New Roman" w:hAnsi="Times New Roman"/>
          <w:sz w:val="18"/>
          <w:szCs w:val="18"/>
          <w:color w:val="auto"/>
        </w:rPr>
        <w:t>Mutual Fund</w:t>
      </w:r>
      <w:r>
        <w:rPr>
          <w:sz w:val="20"/>
          <w:szCs w:val="20"/>
          <w:color w:val="auto"/>
        </w:rPr>
        <w:tab/>
      </w: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7"/>
          <w:szCs w:val="17"/>
          <w:color w:val="auto"/>
        </w:rPr>
        <w:t>337,410</w:t>
      </w:r>
    </w:p>
    <w:p>
      <w:pPr>
        <w:spacing w:after="0" w:line="9" w:lineRule="exact"/>
        <w:rPr>
          <w:sz w:val="20"/>
          <w:szCs w:val="20"/>
          <w:color w:val="auto"/>
        </w:rPr>
      </w:pPr>
    </w:p>
    <w:p>
      <w:pPr>
        <w:ind w:left="1180" w:hanging="1172"/>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Cap 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Fidelity Advisor New Insights</w:t>
            </w:r>
          </w:p>
        </w:tc>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Mutual Fund</w:t>
            </w:r>
          </w:p>
        </w:tc>
        <w:tc>
          <w:tcPr>
            <w:tcW w:w="26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N/A</w:t>
            </w:r>
          </w:p>
        </w:tc>
        <w:tc>
          <w:tcPr>
            <w:tcW w:w="22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816,028</w:t>
            </w:r>
          </w:p>
        </w:tc>
      </w:tr>
      <w:tr>
        <w:trPr>
          <w:trHeight w:val="198"/>
        </w:trPr>
        <w:tc>
          <w:tcPr>
            <w:tcW w:w="640" w:type="dxa"/>
            <w:vAlign w:val="bottom"/>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Fidelity Advisor Stable Value</w:t>
            </w:r>
          </w:p>
        </w:tc>
        <w:tc>
          <w:tcPr>
            <w:tcW w:w="2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Mutual Fund</w:t>
            </w:r>
          </w:p>
        </w:tc>
        <w:tc>
          <w:tcPr>
            <w:tcW w:w="2620" w:type="dxa"/>
            <w:vAlign w:val="bottom"/>
          </w:tcPr>
          <w:p>
            <w:pPr>
              <w:ind w:left="15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220" w:type="dxa"/>
            <w:vAlign w:val="bottom"/>
          </w:tcPr>
          <w:p>
            <w:pPr>
              <w:jc w:val="right"/>
              <w:ind w:right="790"/>
              <w:spacing w:after="0" w:line="198" w:lineRule="exact"/>
              <w:rPr>
                <w:sz w:val="20"/>
                <w:szCs w:val="20"/>
                <w:color w:val="auto"/>
              </w:rPr>
            </w:pPr>
            <w:r>
              <w:rPr>
                <w:rFonts w:ascii="Times New Roman" w:cs="Times New Roman" w:eastAsia="Times New Roman" w:hAnsi="Times New Roman"/>
                <w:sz w:val="18"/>
                <w:szCs w:val="18"/>
                <w:color w:val="auto"/>
              </w:rPr>
              <w:t>398,414</w:t>
            </w:r>
          </w:p>
        </w:tc>
      </w:tr>
      <w:tr>
        <w:trPr>
          <w:trHeight w:val="234"/>
        </w:trPr>
        <w:tc>
          <w:tcPr>
            <w:tcW w:w="640" w:type="dxa"/>
            <w:vAlign w:val="bottom"/>
          </w:tcPr>
          <w:p>
            <w:pPr>
              <w:spacing w:after="0"/>
              <w:rPr>
                <w:sz w:val="20"/>
                <w:szCs w:val="20"/>
                <w:color w:val="auto"/>
              </w:rPr>
            </w:pPr>
          </w:p>
        </w:tc>
        <w:tc>
          <w:tcPr>
            <w:tcW w:w="3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Fidelity Advisor Strategic Income</w:t>
            </w:r>
          </w:p>
        </w:tc>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w:t>
            </w:r>
          </w:p>
        </w:tc>
        <w:tc>
          <w:tcPr>
            <w:tcW w:w="26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N/A</w:t>
            </w:r>
          </w:p>
        </w:tc>
        <w:tc>
          <w:tcPr>
            <w:tcW w:w="22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503,217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180" w:hanging="1172"/>
        <w:spacing w:after="0"/>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JPM Intrepid America Fund</w:t>
            </w: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w:t>
            </w:r>
          </w:p>
        </w:tc>
        <w:tc>
          <w:tcPr>
            <w:tcW w:w="1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765,183</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7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Robertson Stephens Partners</w:t>
            </w: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Mutual Fund</w:t>
            </w:r>
          </w:p>
        </w:tc>
        <w:tc>
          <w:tcPr>
            <w:tcW w:w="1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320,295</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3720" w:type="dxa"/>
            <w:vAlign w:val="bottom"/>
          </w:tcPr>
          <w:p>
            <w:pPr>
              <w:ind w:left="1040"/>
              <w:spacing w:after="0" w:line="198" w:lineRule="exact"/>
              <w:rPr>
                <w:sz w:val="20"/>
                <w:szCs w:val="20"/>
                <w:color w:val="auto"/>
              </w:rPr>
            </w:pPr>
            <w:r>
              <w:rPr>
                <w:rFonts w:ascii="Times New Roman" w:cs="Times New Roman" w:eastAsia="Times New Roman" w:hAnsi="Times New Roman"/>
                <w:sz w:val="18"/>
                <w:szCs w:val="18"/>
                <w:color w:val="auto"/>
              </w:rPr>
              <w:t>The Scotts Miracle-Gro Company</w:t>
            </w:r>
          </w:p>
        </w:tc>
        <w:tc>
          <w:tcPr>
            <w:tcW w:w="38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800" w:type="dxa"/>
            <w:vAlign w:val="bottom"/>
            <w:gridSpan w:val="2"/>
          </w:tcPr>
          <w:p>
            <w:pPr>
              <w:ind w:left="44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tcPr>
          <w:p>
            <w:pPr>
              <w:jc w:val="right"/>
              <w:ind w:right="880"/>
              <w:spacing w:after="0" w:line="198" w:lineRule="exact"/>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Common Shares</w:t>
            </w:r>
          </w:p>
        </w:tc>
        <w:tc>
          <w:tcPr>
            <w:tcW w:w="3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7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VK Comstock A</w:t>
            </w: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Mutual Fund</w:t>
            </w:r>
          </w:p>
        </w:tc>
        <w:tc>
          <w:tcPr>
            <w:tcW w:w="1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71,460</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8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Notes receivable (interest at prevailing local</w:t>
            </w: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7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Participant Loans</w:t>
            </w:r>
          </w:p>
        </w:tc>
        <w:tc>
          <w:tcPr>
            <w:tcW w:w="3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62,248</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5,469,331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Party-in-interest to the Plan.</w:t>
            </w:r>
          </w:p>
        </w:tc>
        <w:tc>
          <w:tcPr>
            <w:tcW w:w="3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 w:type="dxa"/>
            <w:vAlign w:val="bottom"/>
            <w:vMerge w:val="continue"/>
          </w:tcPr>
          <w:p>
            <w:pPr>
              <w:spacing w:after="0"/>
              <w:rPr>
                <w:sz w:val="24"/>
                <w:szCs w:val="24"/>
                <w:color w:val="auto"/>
              </w:rPr>
            </w:pPr>
          </w:p>
        </w:tc>
        <w:tc>
          <w:tcPr>
            <w:tcW w:w="3720" w:type="dxa"/>
            <w:vAlign w:val="bottom"/>
            <w:vMerge w:val="continue"/>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SMITH &amp; HAWKEN 401(K) PLAN</w:t>
      </w:r>
    </w:p>
    <w:p>
      <w:pPr>
        <w:spacing w:after="0" w:line="3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ANNUAL REPORT ON FORM 11-K</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FOR FISCAL YEAR ENDED DECEMBER 31, 2006</w:t>
      </w:r>
    </w:p>
    <w:p>
      <w:pPr>
        <w:spacing w:after="0" w:line="3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1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6517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Independent Registered Public Accounting Firm — Meaden &amp; Moore, Ltd.</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219"/>
          </w:cols>
          <w:pgMar w:left="240" w:top="415" w:right="1440"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&amp; Hawken 401(k) Plan:</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filed on Form S-8 with respect to the Smith &amp; Hawken 401(k) Plan (the “Plan”) of our report dated October 31, 2007 with respect to the Plan’s financial statements, included in the Annual Report on Form 11-K for the fiscal year ended December 31, 2006, and all references to our firm included in or made a part of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MEADEN &amp; MOORE,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sectPr>
      <w:pgSz w:w="11900" w:h="16838" w:orient="portrait"/>
      <w:cols w:equalWidth="0" w:num="1">
        <w:col w:w="11380"/>
      </w:cols>
      <w:pgMar w:left="240" w:top="95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4"/>
      <w:numFmt w:val="bullet"/>
      <w:start w:val="1"/>
    </w:lvl>
  </w:abstractNum>
  <w:abstractNum w:abstractNumId="9">
    <w:nsid w:val="7FDCC233"/>
    <w:multiLevelType w:val="hybridMultilevel"/>
    <w:lvl w:ilvl="0">
      <w:lvlJc w:val="left"/>
      <w:lvlText w:val="5"/>
      <w:numFmt w:val="bullet"/>
      <w:start w:val="1"/>
    </w:lvl>
  </w:abstractNum>
  <w:abstractNum w:abstractNumId="10">
    <w:nsid w:val="1BEFD79F"/>
    <w:multiLevelType w:val="hybridMultilevel"/>
    <w:lvl w:ilvl="0">
      <w:lvlJc w:val="left"/>
      <w:lvlText w:val="5"/>
      <w:numFmt w:val="bullet"/>
      <w:start w:val="1"/>
    </w:lvl>
  </w:abstractNum>
  <w:abstractNum w:abstractNumId="11">
    <w:nsid w:val="41A7C4C9"/>
    <w:multiLevelType w:val="hybridMultilevel"/>
    <w:lvl w:ilvl="0">
      <w:lvlJc w:val="left"/>
      <w:lvlText w:val="6"/>
      <w:numFmt w:val="bullet"/>
      <w:start w:val="1"/>
    </w:lvl>
  </w:abstractNum>
  <w:abstractNum w:abstractNumId="12">
    <w:nsid w:val="6B68079A"/>
    <w:multiLevelType w:val="hybridMultilevel"/>
    <w:lvl w:ilvl="0">
      <w:lvlJc w:val="left"/>
      <w:lvlText w:val="6"/>
      <w:numFmt w:val="bullet"/>
      <w:start w:val="1"/>
    </w:lvl>
  </w:abstractNum>
  <w:abstractNum w:abstractNumId="13">
    <w:nsid w:val="4E6AFB66"/>
    <w:multiLevelType w:val="hybridMultilevel"/>
    <w:lvl w:ilvl="0">
      <w:lvlJc w:val="left"/>
      <w:lvlText w:val="7"/>
      <w:numFmt w:val="bullet"/>
      <w:start w:val="1"/>
    </w:lvl>
  </w:abstractNum>
  <w:abstractNum w:abstractNumId="14">
    <w:nsid w:val="25E45D32"/>
    <w:multiLevelType w:val="hybridMultilevel"/>
    <w:lvl w:ilvl="0">
      <w:lvlJc w:val="left"/>
      <w:lvlText w:val="8"/>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2019-12-20T06:23:32Z</dcterms:created>
  <dcterms:modified xsi:type="dcterms:W3CDTF">2019-12-20T06:23:32Z</dcterms:modified>
</cp:coreProperties>
</file>