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CURRENT REPORT</w:t>
      </w:r>
    </w:p>
    <w:p>
      <w:pPr>
        <w:ind w:left="210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52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Date of Report (Date of earliest event reported): September 26, 2002</w:t>
      </w:r>
    </w:p>
    <w:p>
      <w:pPr>
        <w:ind w:left="57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THE SCOTTS COMPANY</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ind w:left="12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78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7"/>
              </w:rPr>
              <w:t>OHIO</w:t>
            </w:r>
          </w:p>
        </w:tc>
        <w:tc>
          <w:tcPr>
            <w:tcW w:w="2840" w:type="dxa"/>
            <w:vAlign w:val="bottom"/>
          </w:tcPr>
          <w:p>
            <w:pPr>
              <w:ind w:left="1060"/>
              <w:spacing w:after="0"/>
              <w:rPr>
                <w:sz w:val="20"/>
                <w:szCs w:val="20"/>
                <w:color w:val="auto"/>
              </w:rPr>
            </w:pPr>
            <w:r>
              <w:rPr>
                <w:rFonts w:ascii="Courier New" w:cs="Courier New" w:eastAsia="Courier New" w:hAnsi="Courier New"/>
                <w:sz w:val="18"/>
                <w:szCs w:val="18"/>
                <w:color w:val="auto"/>
              </w:rPr>
              <w:t>1-13292</w:t>
            </w:r>
          </w:p>
        </w:tc>
        <w:tc>
          <w:tcPr>
            <w:tcW w:w="32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31-1414921</w:t>
            </w:r>
          </w:p>
        </w:tc>
      </w:tr>
      <w:tr>
        <w:trPr>
          <w:trHeight w:val="203"/>
        </w:trPr>
        <w:tc>
          <w:tcPr>
            <w:tcW w:w="3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c>
          <w:tcPr>
            <w:tcW w:w="2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2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(Commission File</w:t>
            </w:r>
          </w:p>
        </w:tc>
        <w:tc>
          <w:tcPr>
            <w:tcW w:w="32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37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of incorporation)</w:t>
            </w:r>
          </w:p>
        </w:tc>
        <w:tc>
          <w:tcPr>
            <w:tcW w:w="28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Number)</w:t>
            </w:r>
          </w:p>
        </w:tc>
        <w:tc>
          <w:tcPr>
            <w:tcW w:w="32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780"/>
        <w:spacing w:after="0"/>
        <w:tabs>
          <w:tab w:leader="none" w:pos="6500" w:val="left"/>
        </w:tabs>
        <w:rPr>
          <w:sz w:val="20"/>
          <w:szCs w:val="20"/>
          <w:color w:val="auto"/>
        </w:rPr>
      </w:pPr>
      <w:r>
        <w:rPr>
          <w:rFonts w:ascii="Courier New" w:cs="Courier New" w:eastAsia="Courier New" w:hAnsi="Courier New"/>
          <w:sz w:val="18"/>
          <w:szCs w:val="18"/>
          <w:color w:val="auto"/>
        </w:rPr>
        <w:t>14111 SCOTTSLAWN ROAD, MARYSVILLE, OHIO</w:t>
      </w:r>
      <w:r>
        <w:rPr>
          <w:sz w:val="20"/>
          <w:szCs w:val="20"/>
          <w:color w:val="auto"/>
        </w:rPr>
        <w:tab/>
      </w:r>
      <w:r>
        <w:rPr>
          <w:rFonts w:ascii="Courier New" w:cs="Courier New" w:eastAsia="Courier New" w:hAnsi="Courier New"/>
          <w:sz w:val="18"/>
          <w:szCs w:val="18"/>
          <w:color w:val="auto"/>
        </w:rPr>
        <w:t>43041</w:t>
      </w:r>
    </w:p>
    <w:p>
      <w:pPr>
        <w:ind w:left="940"/>
        <w:spacing w:after="0" w:line="238" w:lineRule="auto"/>
        <w:rPr>
          <w:sz w:val="20"/>
          <w:szCs w:val="20"/>
          <w:color w:val="auto"/>
        </w:rPr>
      </w:pPr>
      <w:r>
        <w:rPr>
          <w:rFonts w:ascii="Courier New" w:cs="Courier New" w:eastAsia="Courier New" w:hAnsi="Courier New"/>
          <w:sz w:val="18"/>
          <w:szCs w:val="18"/>
          <w:color w:val="auto"/>
        </w:rPr>
        <w:t>------------------------------------------------------------</w:t>
      </w:r>
    </w:p>
    <w:p>
      <w:pPr>
        <w:ind w:left="1460"/>
        <w:spacing w:after="0"/>
        <w:tabs>
          <w:tab w:leader="none" w:pos="61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9" w:lineRule="exact"/>
        <w:rPr>
          <w:sz w:val="24"/>
          <w:szCs w:val="24"/>
          <w:color w:val="auto"/>
        </w:rPr>
      </w:pPr>
    </w:p>
    <w:p>
      <w:pPr>
        <w:jc w:val="right"/>
        <w:ind w:left="740" w:right="251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(937) 644-0011 --------------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2520"/>
        <w:spacing w:after="0"/>
        <w:rPr>
          <w:sz w:val="20"/>
          <w:szCs w:val="20"/>
          <w:color w:val="auto"/>
        </w:rPr>
      </w:pPr>
      <w:r>
        <w:rPr>
          <w:rFonts w:ascii="Courier New" w:cs="Courier New" w:eastAsia="Courier New" w:hAnsi="Courier New"/>
          <w:sz w:val="18"/>
          <w:szCs w:val="18"/>
          <w:color w:val="auto"/>
        </w:rPr>
        <w:t>Index to Exhibits is on Page 3.</w:t>
      </w:r>
    </w:p>
    <w:p>
      <w:pPr>
        <w:sectPr>
          <w:pgSz w:w="11900" w:h="16838" w:orient="portrait"/>
          <w:cols w:equalWidth="0" w:num="1">
            <w:col w:w="10099"/>
          </w:cols>
          <w:pgMar w:left="360" w:top="649" w:right="1440" w:bottom="1440" w:gutter="0" w:footer="0" w:header="0"/>
        </w:sectPr>
      </w:pPr>
    </w:p>
    <w:bookmarkStart w:id="1" w:name="page2"/>
    <w:bookmarkEnd w:id="1"/>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120" w:hanging="63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required.</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required.</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3060" w:hanging="945"/>
        <w:spacing w:after="0"/>
        <w:tabs>
          <w:tab w:leader="none" w:pos="3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issued September 26, 2002</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9.</w:t>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ind w:right="1999" w:firstLine="1475"/>
        <w:spacing w:after="0" w:line="237" w:lineRule="auto"/>
        <w:rPr>
          <w:sz w:val="20"/>
          <w:szCs w:val="20"/>
          <w:color w:val="auto"/>
        </w:rPr>
      </w:pPr>
      <w:r>
        <w:rPr>
          <w:rFonts w:ascii="Courier New" w:cs="Courier New" w:eastAsia="Courier New" w:hAnsi="Courier New"/>
          <w:sz w:val="18"/>
          <w:szCs w:val="18"/>
          <w:color w:val="auto"/>
        </w:rPr>
        <w:t>On September 26, 2002, The Scotts Company issued a press release announcing that it has increased its net income outlook for the fiscal year ending September 30, 2002. The press release is attached hereto as Exhibit 99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26,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both"/>
        <w:ind w:right="1779" w:hanging="315"/>
        <w:spacing w:after="0" w:line="237" w:lineRule="auto"/>
        <w:rPr>
          <w:sz w:val="20"/>
          <w:szCs w:val="20"/>
          <w:color w:val="auto"/>
        </w:rPr>
      </w:pPr>
      <w:r>
        <w:rPr>
          <w:rFonts w:ascii="Courier New" w:cs="Courier New" w:eastAsia="Courier New" w:hAnsi="Courier New"/>
          <w:sz w:val="18"/>
          <w:szCs w:val="18"/>
          <w:color w:val="auto"/>
        </w:rPr>
        <w:t>By: /s/ David M. Aronowitz --------------------------------------------- David M. Aronowitz, Executive Vice President, General Counsel and Secretary</w:t>
      </w:r>
    </w:p>
    <w:p>
      <w:pPr>
        <w:spacing w:after="0" w:line="200" w:lineRule="exact"/>
        <w:rPr>
          <w:sz w:val="20"/>
          <w:szCs w:val="20"/>
          <w:color w:val="auto"/>
        </w:rPr>
      </w:pPr>
    </w:p>
    <w:p>
      <w:pPr>
        <w:sectPr>
          <w:pgSz w:w="11900" w:h="16838" w:orient="portrait"/>
          <w:cols w:equalWidth="0" w:num="3">
            <w:col w:w="540" w:space="200"/>
            <w:col w:w="2240" w:space="720"/>
            <w:col w:w="6519"/>
          </w:cols>
          <w:pgMar w:left="240" w:top="1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122" w:right="1440" w:bottom="1440" w:gutter="0" w:footer="0" w:header="0"/>
          <w:type w:val="continuous"/>
        </w:sectPr>
      </w:pPr>
    </w:p>
    <w:bookmarkStart w:id="2" w:name="page3"/>
    <w:bookmarkEnd w:id="2"/>
    <w:p>
      <w:pPr>
        <w:ind w:left="3380"/>
        <w:spacing w:after="0"/>
        <w:rPr>
          <w:sz w:val="20"/>
          <w:szCs w:val="20"/>
          <w:color w:val="auto"/>
        </w:rPr>
      </w:pPr>
      <w:r>
        <w:rPr>
          <w:rFonts w:ascii="Courier New" w:cs="Courier New" w:eastAsia="Courier New" w:hAnsi="Courier New"/>
          <w:sz w:val="16"/>
          <w:szCs w:val="16"/>
          <w:color w:val="auto"/>
        </w:rPr>
        <w:t>INDEX TO EXHIBITS</w:t>
      </w:r>
    </w:p>
    <w:p>
      <w:pPr>
        <w:spacing w:after="0" w:line="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right="540"/>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2">
            <w:col w:w="2240" w:space="720"/>
            <w:col w:w="7259"/>
          </w:cols>
          <w:pgMar w:left="240" w:top="1128"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 issued September 26, 2002</w:t>
      </w:r>
    </w:p>
    <w:p>
      <w:pPr>
        <w:spacing w:after="0" w:line="216" w:lineRule="exact"/>
        <w:rPr>
          <w:sz w:val="20"/>
          <w:szCs w:val="20"/>
          <w:color w:val="auto"/>
        </w:rPr>
      </w:pPr>
    </w:p>
    <w:p>
      <w:pPr>
        <w:sectPr>
          <w:pgSz w:w="11900" w:h="16838" w:orient="portrait"/>
          <w:cols w:equalWidth="0" w:num="2">
            <w:col w:w="2240" w:space="720"/>
            <w:col w:w="7259"/>
          </w:cols>
          <w:pgMar w:left="240" w:top="11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128"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SCOTTS COMPANY INCREASES NET INCOME OUTLOOK FOR FISCAL 2002; NET INCOME INCREASE TO EXCEED 60 PERCENT, CONSUMER PURCHASES REMAIN STRONG</w:t>
      </w:r>
    </w:p>
    <w:p>
      <w:pPr>
        <w:spacing w:after="0" w:line="200" w:lineRule="exact"/>
        <w:rPr>
          <w:sz w:val="20"/>
          <w:szCs w:val="20"/>
          <w:color w:val="auto"/>
        </w:rPr>
      </w:pP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MARYSVILLE, Ohio, Sept. 26 /PRNewswire-FirstCall/ -- The Scotts Company (NYSE: SMG), the global leader in the consumer lawn and garden industry, today said it expects net income for the year ending September 30 to increase 60 to 65 percent compared to last year's results. In July, the Company raised its net income estimate for the year to a range of 50 to 60 percent from the original estimate of 45 to 50 percent.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Strong fourth quarter sales have fueled the newly revised estimate.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Additionally, consumer takeaway of Scotts products in the United States has remained strong. Through mid-September, consumer purchases of Scotts products on a fiscal year-to-date basis are about 11 percent higher than last year at the Company's largest retail partners.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Company also continues to expect year-end inventory and debt levels to be reduced as part of its successful working capital management initiative resulting in increased free cash flow in fiscal 2002.</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results we expect to report next month are evidence of the outstanding job we have done this year in executing our strategy in nearly every aspect of the business," said James Hagedorn, president and chief executive officer. "In every product category in the United States, consumer purchases of our products have increased and we expect overall point-of-sale data to show a double-digit increase at our largest retailers for the full fiscal year.</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have executed our return on invested capital initiatives and, as a result, expect to meet or exceed our anticipated cost savings of $30 million for the year, giving us confidence in our ability to exceed our net income targets for the year."</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guidance for net income in fiscal 2002 excludes restructuring and other non-recurring gains and charges. Last year, Scotts reported net income of $63.7 million excluding those items.</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Company intends to report fourth quarter earnings on October 31, 2002 and hold a conference call that same day to discuss its results.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Scotts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Scotts Company is the world's leading supplier of consumer products for lawn and garden care, with a full range of products for professional horticulture as well. The Company owns the industry's most recognized brands. In the U.S., the Company's Scotts(R), Miracle-Gro(R) and Ortho(R) brands are market leading in their categories, as is the consumer Roundup(R) brand which is marketed in North America and most of Europe exclusively by Scotts and owned by Monsanto. In Europe, Scotts' brands include Weedol(R) Pathclear(R), Evergreen(R), Levington(R) Miracle-Gro(R), KB(R), Fertiligene(R) and Substral(R).</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Statement under the Private Securities Litigation Act of 1995: Certain of the statements contained in this press release, including, but not limited to, information regarding the future economic performance and financial condition of the Company, the plans and objectives of the Company's management,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49" w:right="1440" w:bottom="1440" w:gutter="0" w:footer="0" w:header="0"/>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Company's assumptions regarding such performance and plans are forward looking in nature. Actual results could differ materially from the forward looking information in this release, due to a variety of factors, including, but not limited to:</w:t>
      </w:r>
    </w:p>
    <w:p>
      <w:pPr>
        <w:spacing w:after="0" w:line="207" w:lineRule="exact"/>
        <w:rPr>
          <w:sz w:val="20"/>
          <w:szCs w:val="20"/>
          <w:color w:val="auto"/>
        </w:rPr>
      </w:pPr>
    </w:p>
    <w:p>
      <w:pPr>
        <w:ind w:left="1060" w:right="187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weather conditions could adversely affect the Company's sales and financial results;</w:t>
      </w:r>
    </w:p>
    <w:p>
      <w:pPr>
        <w:spacing w:after="0" w:line="208" w:lineRule="exact"/>
        <w:rPr>
          <w:rFonts w:ascii="Courier New" w:cs="Courier New" w:eastAsia="Courier New" w:hAnsi="Courier New"/>
          <w:sz w:val="18"/>
          <w:szCs w:val="18"/>
          <w:color w:val="auto"/>
        </w:rPr>
      </w:pPr>
    </w:p>
    <w:p>
      <w:pPr>
        <w:ind w:left="1060" w:right="2099" w:hanging="525"/>
        <w:spacing w:after="0" w:line="290"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historical seasonality could impair the Company's ability to pay obligations as they come due and operating expenses;</w:t>
      </w:r>
    </w:p>
    <w:p>
      <w:pPr>
        <w:spacing w:after="0" w:line="169" w:lineRule="exact"/>
        <w:rPr>
          <w:rFonts w:ascii="Courier New" w:cs="Courier New" w:eastAsia="Courier New" w:hAnsi="Courier New"/>
          <w:sz w:val="16"/>
          <w:szCs w:val="16"/>
          <w:color w:val="auto"/>
        </w:rPr>
      </w:pPr>
    </w:p>
    <w:p>
      <w:pPr>
        <w:ind w:left="1060" w:right="231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substantial indebtedness could adversely affect the Company's financial health;</w:t>
      </w:r>
    </w:p>
    <w:p>
      <w:pPr>
        <w:spacing w:after="0" w:line="208"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perceptions regarding the safety of the Company's products could adversely affect the Company;</w:t>
      </w:r>
    </w:p>
    <w:p>
      <w:pPr>
        <w:spacing w:after="0" w:line="208" w:lineRule="exact"/>
        <w:rPr>
          <w:rFonts w:ascii="Courier New" w:cs="Courier New" w:eastAsia="Courier New" w:hAnsi="Courier New"/>
          <w:sz w:val="18"/>
          <w:szCs w:val="18"/>
          <w:color w:val="auto"/>
        </w:rPr>
      </w:pPr>
    </w:p>
    <w:p>
      <w:pPr>
        <w:jc w:val="both"/>
        <w:ind w:left="1060" w:right="1779" w:hanging="525"/>
        <w:spacing w:after="0" w:line="279"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loss of one or more of the Company's top customers could adversely affect the Company's financial results because of the concentration of the Company's sales to a small number of retail customers;</w:t>
      </w:r>
    </w:p>
    <w:p>
      <w:pPr>
        <w:spacing w:after="0" w:line="178" w:lineRule="exact"/>
        <w:rPr>
          <w:rFonts w:ascii="Courier New" w:cs="Courier New" w:eastAsia="Courier New" w:hAnsi="Courier New"/>
          <w:sz w:val="16"/>
          <w:szCs w:val="16"/>
          <w:color w:val="auto"/>
        </w:rPr>
      </w:pPr>
    </w:p>
    <w:p>
      <w:pPr>
        <w:ind w:left="1060" w:right="219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certain patents could substantially increase the Company's competition in the United States;</w:t>
      </w:r>
    </w:p>
    <w:p>
      <w:pPr>
        <w:spacing w:after="0" w:line="208" w:lineRule="exact"/>
        <w:rPr>
          <w:rFonts w:ascii="Courier New" w:cs="Courier New" w:eastAsia="Courier New" w:hAnsi="Courier New"/>
          <w:sz w:val="18"/>
          <w:szCs w:val="18"/>
          <w:color w:val="auto"/>
        </w:rPr>
      </w:pPr>
    </w:p>
    <w:p>
      <w:pPr>
        <w:ind w:left="1060" w:right="2319" w:hanging="525"/>
        <w:spacing w:after="0" w:line="290"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environmental and other public health regulations could increase the Company's cost of doing business; and</w:t>
      </w:r>
    </w:p>
    <w:p>
      <w:pPr>
        <w:spacing w:after="0" w:line="169" w:lineRule="exact"/>
        <w:rPr>
          <w:rFonts w:ascii="Courier New" w:cs="Courier New" w:eastAsia="Courier New" w:hAnsi="Courier New"/>
          <w:sz w:val="16"/>
          <w:szCs w:val="16"/>
          <w:color w:val="auto"/>
        </w:rPr>
      </w:pPr>
    </w:p>
    <w:p>
      <w:pPr>
        <w:ind w:left="1060" w:right="1779" w:hanging="525"/>
        <w:spacing w:after="0" w:line="236"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significant international operations make the Company more susceptible to fluctuations in currency exchange rates and to the costs of international regulation.</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2019-12-20T06:23:06Z</dcterms:created>
  <dcterms:modified xsi:type="dcterms:W3CDTF">2019-12-20T06:23:06Z</dcterms:modified>
</cp:coreProperties>
</file>