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Evans David 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9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04/27/2018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SCOTTS MIRACLE-GRO CO</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SMG</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714"/>
        <w:spacing w:after="0" w:line="268" w:lineRule="auto"/>
        <w:rPr>
          <w:sz w:val="20"/>
          <w:szCs w:val="20"/>
          <w:color w:val="auto"/>
        </w:rPr>
      </w:pPr>
      <w:r>
        <w:rPr>
          <w:rFonts w:ascii="Arial" w:cs="Arial" w:eastAsia="Arial" w:hAnsi="Arial"/>
          <w:sz w:val="18"/>
          <w:szCs w:val="18"/>
          <w:color w:val="0000FF"/>
        </w:rPr>
        <w:t>C/O THE SCOTTS MIRACLE-GRO COMPANY</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14111 SCOTTSLAWN ROAD</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80" w:type="dxa"/>
            <w:vAlign w:val="bottom"/>
          </w:tcPr>
          <w:p>
            <w:pPr>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4"/>
                <w:szCs w:val="14"/>
                <w:color w:val="auto"/>
              </w:rPr>
            </w:pPr>
          </w:p>
        </w:tc>
      </w:tr>
      <w:tr>
        <w:trPr>
          <w:trHeight w:val="242"/>
        </w:trPr>
        <w:tc>
          <w:tcPr>
            <w:tcW w:w="1880" w:type="dxa"/>
            <w:vAlign w:val="bottom"/>
          </w:tcPr>
          <w:p>
            <w:pPr>
              <w:ind w:left="40"/>
              <w:spacing w:after="0"/>
              <w:rPr>
                <w:sz w:val="20"/>
                <w:szCs w:val="20"/>
                <w:color w:val="auto"/>
              </w:rPr>
            </w:pPr>
            <w:r>
              <w:rPr>
                <w:rFonts w:ascii="Arial" w:cs="Arial" w:eastAsia="Arial" w:hAnsi="Arial"/>
                <w:sz w:val="18"/>
                <w:szCs w:val="18"/>
                <w:color w:val="0000FF"/>
              </w:rPr>
              <w:t>MARYSVILLE OH</w:t>
            </w:r>
          </w:p>
        </w:tc>
        <w:tc>
          <w:tcPr>
            <w:tcW w:w="800" w:type="dxa"/>
            <w:vAlign w:val="bottom"/>
          </w:tcPr>
          <w:p>
            <w:pPr>
              <w:jc w:val="right"/>
              <w:spacing w:after="0"/>
              <w:rPr>
                <w:sz w:val="20"/>
                <w:szCs w:val="20"/>
                <w:color w:val="auto"/>
              </w:rPr>
            </w:pPr>
            <w:r>
              <w:rPr>
                <w:rFonts w:ascii="Arial" w:cs="Arial" w:eastAsia="Arial" w:hAnsi="Arial"/>
                <w:sz w:val="18"/>
                <w:szCs w:val="18"/>
                <w:color w:val="0000FF"/>
              </w:rPr>
              <w:t>43041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 securities owned</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1140" w:type="dxa"/>
            <w:vAlign w:val="bottom"/>
          </w:tcPr>
          <w:p>
            <w:pPr>
              <w:ind w:left="900"/>
              <w:spacing w:after="0"/>
              <w:rPr>
                <w:sz w:val="20"/>
                <w:szCs w:val="20"/>
                <w:color w:val="auto"/>
              </w:rPr>
            </w:pPr>
            <w:r>
              <w:rPr>
                <w:rFonts w:ascii="Arial" w:cs="Arial" w:eastAsia="Arial" w:hAnsi="Arial"/>
                <w:sz w:val="18"/>
                <w:szCs w:val="18"/>
                <w:color w:val="0000FF"/>
              </w:rPr>
              <w:t>D</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54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54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360" w:type="dxa"/>
            <w:vAlign w:val="bottom"/>
          </w:tcPr>
          <w:p>
            <w:pPr>
              <w:spacing w:after="0"/>
              <w:rPr>
                <w:sz w:val="16"/>
                <w:szCs w:val="16"/>
                <w:color w:val="auto"/>
              </w:rPr>
            </w:pP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91"/>
              </w:rPr>
              <w:t>Kathy L. Uttley as attorney-in-</w:t>
            </w:r>
          </w:p>
        </w:tc>
        <w:tc>
          <w:tcPr>
            <w:tcW w:w="2380" w:type="dxa"/>
            <w:vAlign w:val="bottom"/>
            <w:gridSpan w:val="5"/>
            <w:vMerge w:val="restart"/>
          </w:tcPr>
          <w:p>
            <w:pPr>
              <w:ind w:left="120"/>
              <w:spacing w:after="0"/>
              <w:rPr>
                <w:sz w:val="20"/>
                <w:szCs w:val="20"/>
                <w:color w:val="auto"/>
              </w:rPr>
            </w:pPr>
            <w:r>
              <w:rPr>
                <w:rFonts w:ascii="Arial" w:cs="Arial" w:eastAsia="Arial" w:hAnsi="Arial"/>
                <w:sz w:val="18"/>
                <w:szCs w:val="18"/>
                <w:color w:val="0000FF"/>
              </w:rPr>
              <w:t>05/04/2018</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680" w:type="dxa"/>
            <w:vAlign w:val="bottom"/>
            <w:gridSpan w:val="2"/>
          </w:tcPr>
          <w:p>
            <w:pPr>
              <w:spacing w:after="0"/>
              <w:rPr>
                <w:sz w:val="7"/>
                <w:szCs w:val="7"/>
                <w:color w:val="auto"/>
              </w:rPr>
            </w:pPr>
          </w:p>
        </w:tc>
        <w:tc>
          <w:tcPr>
            <w:tcW w:w="500" w:type="dxa"/>
            <w:vAlign w:val="bottom"/>
            <w:gridSpan w:val="2"/>
          </w:tcPr>
          <w:p>
            <w:pPr>
              <w:spacing w:after="0"/>
              <w:rPr>
                <w:sz w:val="7"/>
                <w:szCs w:val="7"/>
                <w:color w:val="auto"/>
              </w:rPr>
            </w:pPr>
          </w:p>
        </w:tc>
        <w:tc>
          <w:tcPr>
            <w:tcW w:w="23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680" w:type="dxa"/>
            <w:vAlign w:val="bottom"/>
            <w:tcBorders>
              <w:bottom w:val="single" w:sz="8" w:color="auto"/>
            </w:tcBorders>
            <w:gridSpan w:val="2"/>
          </w:tcPr>
          <w:p>
            <w:pPr>
              <w:spacing w:after="0" w:line="95" w:lineRule="exact"/>
              <w:rPr>
                <w:sz w:val="20"/>
                <w:szCs w:val="20"/>
                <w:color w:val="auto"/>
              </w:rPr>
            </w:pPr>
            <w:r>
              <w:rPr>
                <w:rFonts w:ascii="Arial" w:cs="Arial" w:eastAsia="Arial" w:hAnsi="Arial"/>
                <w:sz w:val="10"/>
                <w:szCs w:val="10"/>
                <w:color w:val="0000FF"/>
              </w:rPr>
              <w:t>fact for David C. Evans</w:t>
            </w: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140" w:type="dxa"/>
            <w:vAlign w:val="bottom"/>
          </w:tcPr>
          <w:p>
            <w:pPr>
              <w:spacing w:after="0"/>
              <w:rPr>
                <w:sz w:val="20"/>
                <w:szCs w:val="20"/>
                <w:color w:val="auto"/>
              </w:rPr>
            </w:pPr>
          </w:p>
        </w:tc>
        <w:tc>
          <w:tcPr>
            <w:tcW w:w="7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The undersigned officer and/or director of The Scotts Miracle-Gro Company (the "Company"), hereby constitutes and appoints each of Ivan C. Smith, Bernard K. Asirifi and Kathy L. Uttley, signing singly, the undersigned's true and lawful attorney-in-fact and agent to:</w:t>
      </w:r>
    </w:p>
    <w:p>
      <w:pPr>
        <w:spacing w:after="0" w:line="207" w:lineRule="exact"/>
        <w:rPr>
          <w:sz w:val="20"/>
          <w:szCs w:val="20"/>
          <w:color w:val="auto"/>
        </w:rPr>
      </w:pPr>
    </w:p>
    <w:p>
      <w:pPr>
        <w:ind w:right="1999" w:firstLine="8"/>
        <w:spacing w:after="0" w:line="236"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in the name of and on behalf of the undersigned Forms 3, 4 and 5 with respect to the securities of the Company beneficially owned by the undersigned in accordance with Section 16(a) of the Securities Exchange</w:t>
      </w:r>
    </w:p>
    <w:p>
      <w:pPr>
        <w:spacing w:after="0" w:line="6" w:lineRule="exact"/>
        <w:rPr>
          <w:rFonts w:ascii="Courier New" w:cs="Courier New" w:eastAsia="Courier New" w:hAnsi="Courier New"/>
          <w:sz w:val="18"/>
          <w:szCs w:val="18"/>
          <w:color w:val="auto"/>
        </w:rPr>
      </w:pPr>
    </w:p>
    <w:p>
      <w:pPr>
        <w:ind w:right="2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207" w:lineRule="exact"/>
        <w:rPr>
          <w:rFonts w:ascii="Courier New" w:cs="Courier New" w:eastAsia="Courier New" w:hAnsi="Courier New"/>
          <w:sz w:val="18"/>
          <w:szCs w:val="18"/>
          <w:color w:val="auto"/>
        </w:rPr>
      </w:pPr>
    </w:p>
    <w:p>
      <w:pPr>
        <w:ind w:right="2099" w:firstLine="8"/>
        <w:spacing w:after="0" w:line="237"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hereby ratifying and confirming all that such attorney-in-fact, or such attorney-in-fact's substitute or substitutes, shall lawfully do or cause to be done by virtue of this Power</w:t>
      </w:r>
    </w:p>
    <w:p>
      <w:pPr>
        <w:spacing w:after="0" w:line="1"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6"/>
          <w:szCs w:val="16"/>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185" w:lineRule="exact"/>
        <w:rPr>
          <w:sz w:val="20"/>
          <w:szCs w:val="20"/>
          <w:color w:val="auto"/>
        </w:rPr>
      </w:pPr>
    </w:p>
    <w:p>
      <w:pPr>
        <w:ind w:right="1999" w:firstLine="843"/>
        <w:spacing w:after="0" w:line="271"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 I hereby revoke all previous Powers of Attorney that have been granted by me in connection with my reporting obligations under the 1934 Act or the Securities Act with respect to my holdings of and transactions in securities issued by the Company.</w:t>
      </w:r>
    </w:p>
    <w:p>
      <w:pPr>
        <w:spacing w:after="0" w:line="186"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4th day of April, 2018.</w:t>
      </w:r>
    </w:p>
    <w:p>
      <w:pPr>
        <w:spacing w:after="0" w:line="16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David C. Evans</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David C. Evans</w:t>
      </w:r>
    </w:p>
    <w:p>
      <w:pPr>
        <w:ind w:left="422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75909" TargetMode="External"/><Relationship Id="rId12"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2019-12-23T22:43:54Z</dcterms:created>
  <dcterms:modified xsi:type="dcterms:W3CDTF">2019-12-23T22:43:54Z</dcterms:modified>
</cp:coreProperties>
</file>