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UNITED STATES</w:t>
      </w:r>
    </w:p>
    <w:p>
      <w:pPr>
        <w:spacing w:after="0" w:line="33"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WASHINGTON, D. C. 20549</w:t>
      </w:r>
    </w:p>
    <w:p>
      <w:pPr>
        <w:spacing w:after="0" w:line="152"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447" w:right="2959" w:hanging="447"/>
        <w:spacing w:after="0" w:line="368" w:lineRule="auto"/>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 MARCH 27, 2004</w:t>
      </w:r>
    </w:p>
    <w:p>
      <w:pPr>
        <w:spacing w:after="0" w:line="3"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447" w:right="3039" w:hanging="447"/>
        <w:spacing w:after="0" w:line="368" w:lineRule="auto"/>
        <w:tabs>
          <w:tab w:leader="none" w:pos="17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__________TO__________</w:t>
      </w:r>
    </w:p>
    <w:p>
      <w:pPr>
        <w:spacing w:after="0" w:line="3"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COMMISSION FILE NUMBER 1-13292</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381" w:right="1440" w:bottom="1440" w:gutter="0" w:footer="0" w:header="0"/>
        </w:sectPr>
      </w:pPr>
    </w:p>
    <w:p>
      <w:pPr>
        <w:spacing w:after="0" w:line="152" w:lineRule="exact"/>
        <w:rPr>
          <w:sz w:val="24"/>
          <w:szCs w:val="24"/>
          <w:color w:val="auto"/>
        </w:rPr>
      </w:pPr>
    </w:p>
    <w:p>
      <w:pPr>
        <w:jc w:val="center"/>
        <w:ind w:right="373"/>
        <w:spacing w:after="0"/>
        <w:rPr>
          <w:sz w:val="20"/>
          <w:szCs w:val="20"/>
          <w:color w:val="auto"/>
        </w:rPr>
      </w:pPr>
      <w:r>
        <w:rPr>
          <w:rFonts w:ascii="Courier New" w:cs="Courier New" w:eastAsia="Courier New" w:hAnsi="Courier New"/>
          <w:sz w:val="15"/>
          <w:szCs w:val="15"/>
          <w:color w:val="auto"/>
        </w:rPr>
        <w:t>OHIO</w:t>
      </w:r>
    </w:p>
    <w:p>
      <w:pPr>
        <w:spacing w:after="0" w:line="33" w:lineRule="exact"/>
        <w:rPr>
          <w:sz w:val="24"/>
          <w:szCs w:val="24"/>
          <w:color w:val="auto"/>
        </w:rPr>
      </w:pPr>
    </w:p>
    <w:p>
      <w:pPr>
        <w:jc w:val="center"/>
        <w:ind w:right="453"/>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jc w:val="center"/>
        <w:ind w:right="373"/>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31-1414921</w:t>
      </w:r>
    </w:p>
    <w:p>
      <w:pPr>
        <w:spacing w:after="0" w:line="3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(I.R.S. Employer Identification No.)</w:t>
      </w:r>
    </w:p>
    <w:p>
      <w:pPr>
        <w:spacing w:after="0" w:line="326" w:lineRule="exact"/>
        <w:rPr>
          <w:sz w:val="24"/>
          <w:szCs w:val="24"/>
          <w:color w:val="auto"/>
        </w:rPr>
      </w:pPr>
    </w:p>
    <w:p>
      <w:pPr>
        <w:sectPr>
          <w:pgSz w:w="11900" w:h="16838" w:orient="portrait"/>
          <w:cols w:equalWidth="0" w:num="2">
            <w:col w:w="3287" w:space="720"/>
            <w:col w:w="6219"/>
          </w:cols>
          <w:pgMar w:left="233" w:top="381" w:right="1440" w:bottom="1440" w:gutter="0" w:footer="0" w:header="0"/>
          <w:type w:val="continuous"/>
        </w:sectPr>
      </w:pPr>
    </w:p>
    <w:p>
      <w:pPr>
        <w:jc w:val="center"/>
        <w:ind w:right="2872"/>
        <w:spacing w:after="0"/>
        <w:rPr>
          <w:sz w:val="20"/>
          <w:szCs w:val="20"/>
          <w:color w:val="auto"/>
        </w:rPr>
      </w:pPr>
      <w:r>
        <w:rPr>
          <w:rFonts w:ascii="Courier New" w:cs="Courier New" w:eastAsia="Courier New" w:hAnsi="Courier New"/>
          <w:sz w:val="15"/>
          <w:szCs w:val="15"/>
          <w:color w:val="auto"/>
        </w:rPr>
        <w:t>14111 SCOTTSLAWN ROAD, MARYSVILLE, OHIO 43041</w:t>
      </w:r>
    </w:p>
    <w:p>
      <w:pPr>
        <w:spacing w:after="0" w:line="33"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52"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(937) 644-0011</w:t>
      </w:r>
    </w:p>
    <w:p>
      <w:pPr>
        <w:spacing w:after="0" w:line="33"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52"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NO CHANGE</w:t>
      </w:r>
    </w:p>
    <w:p>
      <w:pPr>
        <w:spacing w:after="0" w:line="33"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(Former Name, Former Address and Former Fiscal Year,</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if Changed Since Last Report.)</w:t>
      </w:r>
    </w:p>
    <w:p>
      <w:pPr>
        <w:spacing w:after="0" w:line="152" w:lineRule="exact"/>
        <w:rPr>
          <w:sz w:val="24"/>
          <w:szCs w:val="24"/>
          <w:color w:val="auto"/>
        </w:rPr>
      </w:pPr>
    </w:p>
    <w:tbl>
      <w:tblPr>
        <w:tblLayout w:type="fixed"/>
        <w:tblInd w:w="7" w:type="dxa"/>
        <w:tblCellMar>
          <w:top w:w="0" w:type="dxa"/>
          <w:left w:w="0" w:type="dxa"/>
          <w:bottom w:w="0" w:type="dxa"/>
          <w:right w:w="0" w:type="dxa"/>
        </w:tblCellMar>
      </w:tblPr>
      <w:tr>
        <w:trPr>
          <w:trHeight w:val="175"/>
        </w:trPr>
        <w:tc>
          <w:tcPr>
            <w:tcW w:w="1320" w:type="dxa"/>
            <w:vAlign w:val="bottom"/>
          </w:tcPr>
          <w:p>
            <w:pPr>
              <w:ind w:left="540"/>
              <w:spacing w:after="0"/>
              <w:rPr>
                <w:sz w:val="20"/>
                <w:szCs w:val="20"/>
                <w:color w:val="auto"/>
              </w:rPr>
            </w:pPr>
            <w:r>
              <w:rPr>
                <w:rFonts w:ascii="Courier New" w:cs="Courier New" w:eastAsia="Courier New" w:hAnsi="Courier New"/>
                <w:sz w:val="15"/>
                <w:szCs w:val="15"/>
                <w:color w:val="auto"/>
              </w:rPr>
              <w:t>Indicate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by check</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mark</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whether the registrant (1) has filed all reports</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required to be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filed by</w:t>
            </w:r>
          </w:p>
        </w:tc>
        <w:tc>
          <w:tcPr>
            <w:tcW w:w="5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Section 13 or 15(d) of the Securities Exchange Act of</w:t>
            </w:r>
          </w:p>
        </w:tc>
      </w:tr>
      <w:tr>
        <w:trPr>
          <w:trHeight w:val="175"/>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1934 during the preceding 12</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months (or for such shorter period that the</w:t>
            </w:r>
          </w:p>
        </w:tc>
      </w:tr>
      <w:tr>
        <w:trPr>
          <w:trHeight w:val="175"/>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registrant was required</w:t>
            </w:r>
          </w:p>
        </w:tc>
        <w:tc>
          <w:tcPr>
            <w:tcW w:w="5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 file such reports), and (2) has been subject to such</w:t>
            </w:r>
          </w:p>
        </w:tc>
      </w:tr>
      <w:tr>
        <w:trPr>
          <w:trHeight w:val="256"/>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filing requirements for</w:t>
            </w:r>
          </w:p>
        </w:tc>
        <w:tc>
          <w:tcPr>
            <w:tcW w:w="5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past 90 days. Yes [X] No [ ]</w:t>
            </w:r>
          </w:p>
        </w:tc>
      </w:tr>
      <w:tr>
        <w:trPr>
          <w:trHeight w:val="268"/>
        </w:trPr>
        <w:tc>
          <w:tcPr>
            <w:tcW w:w="21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Indicate by check</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mark</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whether the registrant is an accelerated filer (as</w:t>
            </w:r>
          </w:p>
        </w:tc>
      </w:tr>
      <w:tr>
        <w:trPr>
          <w:trHeight w:val="256"/>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rPr>
              <w:t>defined in Rule 12b-2 of the</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Exchange Act). Yes [X] No [ ]</w:t>
            </w:r>
          </w:p>
        </w:tc>
      </w:tr>
      <w:tr>
        <w:trPr>
          <w:trHeight w:val="268"/>
        </w:trPr>
        <w:tc>
          <w:tcPr>
            <w:tcW w:w="25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Indicate the number of</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shares outstanding of each of the issuer's classes</w:t>
            </w:r>
          </w:p>
        </w:tc>
      </w:tr>
      <w:tr>
        <w:trPr>
          <w:trHeight w:val="256"/>
        </w:trPr>
        <w:tc>
          <w:tcPr>
            <w:tcW w:w="7260" w:type="dxa"/>
            <w:vAlign w:val="bottom"/>
            <w:gridSpan w:val="4"/>
          </w:tcPr>
          <w:p>
            <w:pPr>
              <w:spacing w:after="0"/>
              <w:rPr>
                <w:sz w:val="20"/>
                <w:szCs w:val="20"/>
                <w:color w:val="auto"/>
              </w:rPr>
            </w:pPr>
            <w:r>
              <w:rPr>
                <w:rFonts w:ascii="Courier New" w:cs="Courier New" w:eastAsia="Courier New" w:hAnsi="Courier New"/>
                <w:sz w:val="15"/>
                <w:szCs w:val="15"/>
                <w:color w:val="auto"/>
              </w:rPr>
              <w:t>of common stock as of the latest practicable date.</w:t>
            </w:r>
          </w:p>
        </w:tc>
      </w:tr>
      <w:tr>
        <w:trPr>
          <w:trHeight w:val="268"/>
        </w:trPr>
        <w:tc>
          <w:tcPr>
            <w:tcW w:w="21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32,653,222</w:t>
            </w:r>
          </w:p>
        </w:tc>
        <w:tc>
          <w:tcPr>
            <w:tcW w:w="460" w:type="dxa"/>
            <w:vAlign w:val="bottom"/>
          </w:tcPr>
          <w:p>
            <w:pPr>
              <w:spacing w:after="0"/>
              <w:rPr>
                <w:sz w:val="23"/>
                <w:szCs w:val="23"/>
                <w:color w:val="auto"/>
              </w:rPr>
            </w:pPr>
          </w:p>
        </w:tc>
        <w:tc>
          <w:tcPr>
            <w:tcW w:w="4680" w:type="dxa"/>
            <w:vAlign w:val="bottom"/>
          </w:tcPr>
          <w:p>
            <w:pPr>
              <w:ind w:left="2040"/>
              <w:spacing w:after="0"/>
              <w:rPr>
                <w:sz w:val="20"/>
                <w:szCs w:val="20"/>
                <w:color w:val="auto"/>
              </w:rPr>
            </w:pPr>
            <w:r>
              <w:rPr>
                <w:rFonts w:ascii="Courier New" w:cs="Courier New" w:eastAsia="Courier New" w:hAnsi="Courier New"/>
                <w:sz w:val="15"/>
                <w:szCs w:val="15"/>
                <w:color w:val="auto"/>
              </w:rPr>
              <w:t>OUTSTANDING AT APRIL 29, 2004</w:t>
            </w:r>
          </w:p>
        </w:tc>
      </w:tr>
      <w:tr>
        <w:trPr>
          <w:trHeight w:val="256"/>
        </w:trPr>
        <w:tc>
          <w:tcPr>
            <w:tcW w:w="25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Common Shares, voting,</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no par value</w:t>
            </w:r>
          </w:p>
        </w:tc>
      </w:tr>
    </w:tbl>
    <w:p>
      <w:pPr>
        <w:spacing w:after="0" w:line="93"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38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900" w:type="dxa"/>
            <w:vAlign w:val="bottom"/>
          </w:tcPr>
          <w:p>
            <w:pPr>
              <w:spacing w:after="0"/>
              <w:rPr>
                <w:sz w:val="22"/>
                <w:szCs w:val="22"/>
                <w:color w:val="auto"/>
              </w:rPr>
            </w:pPr>
          </w:p>
        </w:tc>
        <w:tc>
          <w:tcPr>
            <w:tcW w:w="8540" w:type="dxa"/>
            <w:vAlign w:val="bottom"/>
          </w:tcPr>
          <w:p>
            <w:pPr>
              <w:jc w:val="right"/>
              <w:ind w:right="4104"/>
              <w:spacing w:after="0"/>
              <w:rPr>
                <w:sz w:val="20"/>
                <w:szCs w:val="20"/>
                <w:color w:val="auto"/>
              </w:rPr>
            </w:pPr>
            <w:r>
              <w:rPr>
                <w:rFonts w:ascii="Courier New" w:cs="Courier New" w:eastAsia="Courier New" w:hAnsi="Courier New"/>
                <w:sz w:val="15"/>
                <w:szCs w:val="15"/>
                <w:color w:val="auto"/>
              </w:rPr>
              <w:t>THE SCOTTS COMPANY AND SUBSIDIARIES</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900" w:type="dxa"/>
            <w:vAlign w:val="bottom"/>
          </w:tcPr>
          <w:p>
            <w:pPr>
              <w:spacing w:after="0"/>
              <w:rPr>
                <w:sz w:val="24"/>
                <w:szCs w:val="24"/>
                <w:color w:val="auto"/>
              </w:rPr>
            </w:pPr>
          </w:p>
        </w:tc>
        <w:tc>
          <w:tcPr>
            <w:tcW w:w="8540" w:type="dxa"/>
            <w:vAlign w:val="bottom"/>
          </w:tcPr>
          <w:p>
            <w:pPr>
              <w:jc w:val="right"/>
              <w:ind w:right="5464"/>
              <w:spacing w:after="0"/>
              <w:rPr>
                <w:sz w:val="20"/>
                <w:szCs w:val="20"/>
                <w:color w:val="auto"/>
              </w:rPr>
            </w:pPr>
            <w:r>
              <w:rPr>
                <w:rFonts w:ascii="Courier New" w:cs="Courier New" w:eastAsia="Courier New" w:hAnsi="Courier New"/>
                <w:sz w:val="15"/>
                <w:szCs w:val="15"/>
                <w:color w:val="auto"/>
              </w:rPr>
              <w:t>INDEX</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90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44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540" w:type="dxa"/>
            <w:vAlign w:val="bottom"/>
          </w:tcPr>
          <w:p>
            <w:pPr>
              <w:ind w:left="460"/>
              <w:spacing w:after="0"/>
              <w:rPr>
                <w:sz w:val="20"/>
                <w:szCs w:val="20"/>
                <w:color w:val="auto"/>
              </w:rPr>
            </w:pPr>
            <w:r>
              <w:rPr>
                <w:rFonts w:ascii="Courier New" w:cs="Courier New" w:eastAsia="Courier New" w:hAnsi="Courier New"/>
                <w:sz w:val="15"/>
                <w:szCs w:val="15"/>
                <w:color w:val="auto"/>
              </w:rPr>
              <w:t>Financial Statements (Unaudited)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8540" w:type="dxa"/>
            <w:vAlign w:val="bottom"/>
          </w:tcPr>
          <w:p>
            <w:pPr>
              <w:ind w:left="460"/>
              <w:spacing w:after="0"/>
              <w:rPr>
                <w:sz w:val="20"/>
                <w:szCs w:val="20"/>
                <w:color w:val="auto"/>
              </w:rPr>
            </w:pPr>
            <w:r>
              <w:rPr>
                <w:rFonts w:ascii="Courier New" w:cs="Courier New" w:eastAsia="Courier New" w:hAnsi="Courier New"/>
                <w:sz w:val="15"/>
                <w:szCs w:val="15"/>
                <w:color w:val="auto"/>
              </w:rPr>
              <w:t>Condensed, Consolidated Statements of Operations - Three and six month</w:t>
            </w:r>
          </w:p>
        </w:tc>
        <w:tc>
          <w:tcPr>
            <w:tcW w:w="8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periods ended March 27, 2004 and March 29, 2003......................................</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8540" w:type="dxa"/>
            <w:vAlign w:val="bottom"/>
          </w:tcPr>
          <w:p>
            <w:pPr>
              <w:ind w:left="460"/>
              <w:spacing w:after="0"/>
              <w:rPr>
                <w:sz w:val="20"/>
                <w:szCs w:val="20"/>
                <w:color w:val="auto"/>
              </w:rPr>
            </w:pPr>
            <w:r>
              <w:rPr>
                <w:rFonts w:ascii="Courier New" w:cs="Courier New" w:eastAsia="Courier New" w:hAnsi="Courier New"/>
                <w:sz w:val="15"/>
                <w:szCs w:val="15"/>
                <w:color w:val="auto"/>
              </w:rPr>
              <w:t>Condensed, Consolidated Statements of Cash Flows - Six month</w:t>
            </w:r>
          </w:p>
        </w:tc>
        <w:tc>
          <w:tcPr>
            <w:tcW w:w="8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periods ended March 27, 2004 and March 29, 2003......................................</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8540" w:type="dxa"/>
            <w:vAlign w:val="bottom"/>
          </w:tcPr>
          <w:p>
            <w:pPr>
              <w:ind w:left="460"/>
              <w:spacing w:after="0"/>
              <w:rPr>
                <w:sz w:val="20"/>
                <w:szCs w:val="20"/>
                <w:color w:val="auto"/>
              </w:rPr>
            </w:pPr>
            <w:r>
              <w:rPr>
                <w:rFonts w:ascii="Courier New" w:cs="Courier New" w:eastAsia="Courier New" w:hAnsi="Courier New"/>
                <w:sz w:val="15"/>
                <w:szCs w:val="15"/>
                <w:color w:val="auto"/>
              </w:rPr>
              <w:t>Condensed, Consolidated Balance Sheets - March 27, 2004,</w:t>
            </w:r>
          </w:p>
        </w:tc>
        <w:tc>
          <w:tcPr>
            <w:tcW w:w="8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29, 2003 and September 30, 2003................................................</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vMerge w:val="restart"/>
          </w:tcPr>
          <w:p>
            <w:pPr>
              <w:spacing w:after="0"/>
              <w:rPr>
                <w:sz w:val="20"/>
                <w:szCs w:val="20"/>
                <w:color w:val="auto"/>
              </w:rPr>
            </w:pPr>
            <w:r>
              <w:rPr>
                <w:rFonts w:ascii="Courier New" w:cs="Courier New" w:eastAsia="Courier New" w:hAnsi="Courier New"/>
                <w:sz w:val="15"/>
                <w:szCs w:val="15"/>
                <w:color w:val="auto"/>
              </w:rPr>
              <w:t>Item 2.</w:t>
            </w: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900" w:type="dxa"/>
            <w:vAlign w:val="bottom"/>
            <w:vMerge w:val="continue"/>
          </w:tcPr>
          <w:p>
            <w:pPr>
              <w:spacing w:after="0"/>
              <w:rPr>
                <w:sz w:val="15"/>
                <w:szCs w:val="15"/>
                <w:color w:val="auto"/>
              </w:rPr>
            </w:pP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Controls and Procedures.................................................................</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944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8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Legal Proceedings.......................................................................</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Exhibits and Reports on Form 8-K........................................................</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Signatures</w:t>
            </w:r>
          </w:p>
        </w:tc>
        <w:tc>
          <w:tcPr>
            <w:tcW w:w="8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256"/>
        </w:trPr>
        <w:tc>
          <w:tcPr>
            <w:tcW w:w="9440" w:type="dxa"/>
            <w:vAlign w:val="bottom"/>
            <w:gridSpan w:val="2"/>
          </w:tcPr>
          <w:p>
            <w:pPr>
              <w:spacing w:after="0"/>
              <w:rPr>
                <w:sz w:val="20"/>
                <w:szCs w:val="20"/>
                <w:color w:val="auto"/>
              </w:rPr>
            </w:pPr>
            <w:r>
              <w:rPr>
                <w:rFonts w:ascii="Courier New" w:cs="Courier New" w:eastAsia="Courier New" w:hAnsi="Courier New"/>
                <w:sz w:val="15"/>
                <w:szCs w:val="15"/>
                <w:color w:val="auto"/>
              </w:rPr>
              <w:t>Index to Exhibits......................................................................................</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699"/>
        </w:trPr>
        <w:tc>
          <w:tcPr>
            <w:tcW w:w="900" w:type="dxa"/>
            <w:vAlign w:val="bottom"/>
          </w:tcPr>
          <w:p>
            <w:pPr>
              <w:spacing w:after="0"/>
              <w:rPr>
                <w:sz w:val="24"/>
                <w:szCs w:val="24"/>
                <w:color w:val="auto"/>
              </w:rPr>
            </w:pPr>
          </w:p>
        </w:tc>
        <w:tc>
          <w:tcPr>
            <w:tcW w:w="8540" w:type="dxa"/>
            <w:vAlign w:val="bottom"/>
          </w:tcPr>
          <w:p>
            <w:pPr>
              <w:jc w:val="right"/>
              <w:ind w:right="5744"/>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240" w:top="440" w:right="1399" w:bottom="1440" w:gutter="0" w:footer="0" w:header="0"/>
        </w:sectPr>
      </w:pPr>
    </w:p>
    <w:bookmarkStart w:id="2" w:name="page3"/>
    <w:bookmarkEnd w:id="2"/>
    <w:p>
      <w:pPr>
        <w:ind w:left="2260"/>
        <w:spacing w:after="0"/>
        <w:rPr>
          <w:sz w:val="20"/>
          <w:szCs w:val="20"/>
          <w:color w:val="auto"/>
        </w:rPr>
      </w:pPr>
      <w:r>
        <w:rPr>
          <w:rFonts w:ascii="Courier New" w:cs="Courier New" w:eastAsia="Courier New" w:hAnsi="Courier New"/>
          <w:sz w:val="15"/>
          <w:szCs w:val="15"/>
          <w:color w:val="auto"/>
        </w:rPr>
        <w:t>PART I - FINANCIAL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80"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5"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 MILLIONS EXCEPT PER SHARE AMOUNTS)</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5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w w:val="99"/>
              </w:rPr>
              <w:t>THREE MONTHS ENDED</w:t>
            </w:r>
          </w:p>
        </w:tc>
        <w:tc>
          <w:tcPr>
            <w:tcW w:w="360" w:type="dxa"/>
            <w:vAlign w:val="bottom"/>
          </w:tcPr>
          <w:p>
            <w:pPr>
              <w:spacing w:after="0"/>
              <w:rPr>
                <w:sz w:val="24"/>
                <w:szCs w:val="24"/>
                <w:color w:val="auto"/>
              </w:rPr>
            </w:pPr>
          </w:p>
        </w:tc>
        <w:tc>
          <w:tcPr>
            <w:tcW w:w="196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75"/>
                <w:vertAlign w:val="subscript"/>
              </w:rPr>
              <w:t>MARCH</w:t>
            </w:r>
            <w:r>
              <w:rPr>
                <w:rFonts w:ascii="Courier New" w:cs="Courier New" w:eastAsia="Courier New" w:hAnsi="Courier New"/>
                <w:sz w:val="9"/>
                <w:szCs w:val="9"/>
                <w:color w:val="auto"/>
                <w:w w:val="75"/>
              </w:rPr>
              <w:t>----------------------</w:t>
            </w:r>
            <w:r>
              <w:rPr>
                <w:rFonts w:ascii="Courier New" w:cs="Courier New" w:eastAsia="Courier New" w:hAnsi="Courier New"/>
                <w:sz w:val="14"/>
                <w:szCs w:val="14"/>
                <w:color w:val="auto"/>
                <w:w w:val="75"/>
                <w:vertAlign w:val="subscript"/>
              </w:rPr>
              <w:t>27,</w:t>
            </w:r>
          </w:p>
        </w:tc>
        <w:tc>
          <w:tcPr>
            <w:tcW w:w="1280" w:type="dxa"/>
            <w:vAlign w:val="bottom"/>
            <w:gridSpan w:val="2"/>
            <w:vMerge w:val="restart"/>
          </w:tcPr>
          <w:p>
            <w:pPr>
              <w:ind w:left="240"/>
              <w:spacing w:after="0"/>
              <w:rPr>
                <w:sz w:val="20"/>
                <w:szCs w:val="20"/>
                <w:color w:val="auto"/>
              </w:rPr>
            </w:pPr>
            <w:r>
              <w:rPr>
                <w:rFonts w:ascii="Courier New" w:cs="Courier New" w:eastAsia="Courier New" w:hAnsi="Courier New"/>
                <w:sz w:val="15"/>
                <w:szCs w:val="15"/>
                <w:color w:val="auto"/>
              </w:rPr>
              <w:t>MARCH 29,</w:t>
            </w:r>
          </w:p>
        </w:tc>
        <w:tc>
          <w:tcPr>
            <w:tcW w:w="23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27,</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MARCH 29,</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4"/>
              </w:rPr>
              <w:t>2004</w:t>
            </w:r>
          </w:p>
        </w:tc>
        <w:tc>
          <w:tcPr>
            <w:tcW w:w="380" w:type="dxa"/>
            <w:vAlign w:val="bottom"/>
          </w:tcPr>
          <w:p>
            <w:pPr>
              <w:spacing w:after="0"/>
              <w:rPr>
                <w:sz w:val="15"/>
                <w:szCs w:val="15"/>
                <w:color w:val="auto"/>
              </w:rPr>
            </w:pPr>
          </w:p>
        </w:tc>
        <w:tc>
          <w:tcPr>
            <w:tcW w:w="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12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729.2</w:t>
            </w:r>
          </w:p>
        </w:tc>
        <w:tc>
          <w:tcPr>
            <w:tcW w:w="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676.2</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915.4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856.9</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439.0</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417.6</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575.4</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556.6</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5"/>
        </w:trPr>
        <w:tc>
          <w:tcPr>
            <w:tcW w:w="5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Gross profit ...........................................</w:t>
            </w:r>
          </w:p>
        </w:tc>
        <w:tc>
          <w:tcPr>
            <w:tcW w:w="40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290.0</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257.9</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339.3</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295.2</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Gross commission earned from marketing agreement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Costs associated with marketing agreement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175"/>
        </w:trPr>
        <w:tc>
          <w:tcPr>
            <w:tcW w:w="5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Net commission from marketing agreement ......................</w:t>
            </w:r>
          </w:p>
        </w:tc>
        <w:tc>
          <w:tcPr>
            <w:tcW w:w="40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8.2</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15"/>
                <w:szCs w:val="15"/>
                <w:color w:val="auto"/>
              </w:rPr>
            </w:pP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39.8</w:t>
            </w:r>
          </w:p>
        </w:tc>
        <w:tc>
          <w:tcPr>
            <w:tcW w:w="380" w:type="dxa"/>
            <w:vAlign w:val="bottom"/>
          </w:tcPr>
          <w:p>
            <w:pPr>
              <w:spacing w:after="0"/>
              <w:rPr>
                <w:sz w:val="15"/>
                <w:szCs w:val="15"/>
                <w:color w:val="auto"/>
              </w:rPr>
            </w:pP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34.9</w:t>
            </w:r>
          </w:p>
        </w:tc>
        <w:tc>
          <w:tcPr>
            <w:tcW w:w="360" w:type="dxa"/>
            <w:vAlign w:val="bottom"/>
          </w:tcPr>
          <w:p>
            <w:pPr>
              <w:spacing w:after="0"/>
              <w:rPr>
                <w:sz w:val="15"/>
                <w:szCs w:val="15"/>
                <w:color w:val="auto"/>
              </w:rPr>
            </w:pP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48.1</w:t>
            </w:r>
          </w:p>
        </w:tc>
        <w:tc>
          <w:tcPr>
            <w:tcW w:w="360" w:type="dxa"/>
            <w:vAlign w:val="bottom"/>
          </w:tcPr>
          <w:p>
            <w:pPr>
              <w:spacing w:after="0"/>
              <w:rPr>
                <w:sz w:val="15"/>
                <w:szCs w:val="15"/>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43.5</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Advertising ...............................................</w:t>
            </w: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Selling, general and administrative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107.1</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91.3</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185.1</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158.8</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Selling, general and administrative - lawn service business</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13.1</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27.6</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Stock-based compensation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Restructuring and other charges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Amortization of intangibles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Other income, net .........................................</w:t>
            </w:r>
          </w:p>
        </w:tc>
        <w:tc>
          <w:tcPr>
            <w:tcW w:w="4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w:t>
            </w:r>
          </w:p>
        </w:tc>
        <w:tc>
          <w:tcPr>
            <w:tcW w:w="38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5"/>
        </w:trPr>
        <w:tc>
          <w:tcPr>
            <w:tcW w:w="5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Income from operations .................................</w:t>
            </w:r>
          </w:p>
        </w:tc>
        <w:tc>
          <w:tcPr>
            <w:tcW w:w="40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132.6</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119.5</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73.6</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Interest expense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25.4</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Costs related to refinancing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0.6</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44.3</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Income before income taxes .............................</w:t>
            </w:r>
          </w:p>
        </w:tc>
        <w:tc>
          <w:tcPr>
            <w:tcW w:w="40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118.5</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100.8</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Income taxes .................................................</w:t>
            </w:r>
          </w:p>
        </w:tc>
        <w:tc>
          <w:tcPr>
            <w:tcW w:w="40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45.4</w:t>
            </w:r>
          </w:p>
        </w:tc>
        <w:tc>
          <w:tcPr>
            <w:tcW w:w="38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38.3</w:t>
            </w:r>
          </w:p>
        </w:tc>
        <w:tc>
          <w:tcPr>
            <w:tcW w:w="3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5"/>
        </w:trPr>
        <w:tc>
          <w:tcPr>
            <w:tcW w:w="5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Net income .............................................</w:t>
            </w:r>
          </w:p>
        </w:tc>
        <w:tc>
          <w:tcPr>
            <w:tcW w:w="40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73.1</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256"/>
        </w:trPr>
        <w:tc>
          <w:tcPr>
            <w:tcW w:w="586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2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8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32.2</w:t>
            </w:r>
          </w:p>
        </w:tc>
        <w:tc>
          <w:tcPr>
            <w:tcW w:w="380" w:type="dxa"/>
            <w:vAlign w:val="bottom"/>
          </w:tcPr>
          <w:p>
            <w:pPr>
              <w:spacing w:after="0"/>
              <w:rPr>
                <w:sz w:val="8"/>
                <w:szCs w:val="8"/>
                <w:color w:val="auto"/>
              </w:rPr>
            </w:pP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30.7</w:t>
            </w:r>
          </w:p>
        </w:tc>
        <w:tc>
          <w:tcPr>
            <w:tcW w:w="360" w:type="dxa"/>
            <w:vAlign w:val="bottom"/>
          </w:tcPr>
          <w:p>
            <w:pPr>
              <w:spacing w:after="0"/>
              <w:rPr>
                <w:sz w:val="8"/>
                <w:szCs w:val="8"/>
                <w:color w:val="auto"/>
              </w:rPr>
            </w:pP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32.1</w:t>
            </w:r>
          </w:p>
        </w:tc>
        <w:tc>
          <w:tcPr>
            <w:tcW w:w="360" w:type="dxa"/>
            <w:vAlign w:val="bottom"/>
          </w:tcPr>
          <w:p>
            <w:pPr>
              <w:spacing w:after="0"/>
              <w:rPr>
                <w:sz w:val="8"/>
                <w:szCs w:val="8"/>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30.5</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continue"/>
          </w:tcPr>
          <w:p>
            <w:pPr>
              <w:spacing w:after="0"/>
              <w:rPr>
                <w:sz w:val="15"/>
                <w:szCs w:val="15"/>
                <w:color w:val="auto"/>
              </w:rPr>
            </w:pPr>
          </w:p>
        </w:tc>
        <w:tc>
          <w:tcPr>
            <w:tcW w:w="38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continue"/>
          </w:tcPr>
          <w:p>
            <w:pPr>
              <w:spacing w:after="0"/>
              <w:rPr>
                <w:sz w:val="15"/>
                <w:szCs w:val="15"/>
                <w:color w:val="auto"/>
              </w:rPr>
            </w:pP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continue"/>
          </w:tcPr>
          <w:p>
            <w:pPr>
              <w:spacing w:after="0"/>
              <w:rPr>
                <w:sz w:val="15"/>
                <w:szCs w:val="15"/>
                <w:color w:val="auto"/>
              </w:rPr>
            </w:pP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Basic earnings per common share ..............................</w:t>
            </w:r>
          </w:p>
        </w:tc>
        <w:tc>
          <w:tcPr>
            <w:tcW w:w="400" w:type="dxa"/>
            <w:vAlign w:val="bottom"/>
            <w:vMerge w:val="continue"/>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2.27</w:t>
            </w:r>
          </w:p>
        </w:tc>
        <w:tc>
          <w:tcPr>
            <w:tcW w:w="380" w:type="dxa"/>
            <w:vAlign w:val="bottom"/>
            <w:vMerge w:val="continue"/>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2.04</w:t>
            </w:r>
          </w:p>
        </w:tc>
        <w:tc>
          <w:tcPr>
            <w:tcW w:w="360" w:type="dxa"/>
            <w:vAlign w:val="bottom"/>
            <w:vMerge w:val="continue"/>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0.07</w:t>
            </w:r>
          </w:p>
        </w:tc>
        <w:tc>
          <w:tcPr>
            <w:tcW w:w="360" w:type="dxa"/>
            <w:vAlign w:val="bottom"/>
            <w:vMerge w:val="continue"/>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0.52</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00" w:type="dxa"/>
            <w:vAlign w:val="bottom"/>
          </w:tcPr>
          <w:p>
            <w:pPr>
              <w:spacing w:after="0"/>
              <w:rPr>
                <w:sz w:val="15"/>
                <w:szCs w:val="15"/>
                <w:color w:val="auto"/>
              </w:rPr>
            </w:pP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33.0</w:t>
            </w:r>
          </w:p>
        </w:tc>
        <w:tc>
          <w:tcPr>
            <w:tcW w:w="380" w:type="dxa"/>
            <w:vAlign w:val="bottom"/>
          </w:tcPr>
          <w:p>
            <w:pPr>
              <w:spacing w:after="0"/>
              <w:rPr>
                <w:sz w:val="15"/>
                <w:szCs w:val="15"/>
                <w:color w:val="auto"/>
              </w:rPr>
            </w:pP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32.2</w:t>
            </w:r>
          </w:p>
        </w:tc>
        <w:tc>
          <w:tcPr>
            <w:tcW w:w="360" w:type="dxa"/>
            <w:vAlign w:val="bottom"/>
          </w:tcPr>
          <w:p>
            <w:pPr>
              <w:spacing w:after="0"/>
              <w:rPr>
                <w:sz w:val="15"/>
                <w:szCs w:val="15"/>
                <w:color w:val="auto"/>
              </w:rPr>
            </w:pP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32.9</w:t>
            </w:r>
          </w:p>
        </w:tc>
        <w:tc>
          <w:tcPr>
            <w:tcW w:w="360" w:type="dxa"/>
            <w:vAlign w:val="bottom"/>
          </w:tcPr>
          <w:p>
            <w:pPr>
              <w:spacing w:after="0"/>
              <w:rPr>
                <w:sz w:val="15"/>
                <w:szCs w:val="15"/>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32.1</w:t>
            </w:r>
          </w:p>
        </w:tc>
        <w:tc>
          <w:tcPr>
            <w:tcW w:w="0" w:type="dxa"/>
            <w:vAlign w:val="bottom"/>
          </w:tcPr>
          <w:p>
            <w:pPr>
              <w:spacing w:after="0"/>
              <w:rPr>
                <w:sz w:val="1"/>
                <w:szCs w:val="1"/>
                <w:color w:val="auto"/>
              </w:rPr>
            </w:pPr>
          </w:p>
        </w:tc>
      </w:tr>
      <w:tr>
        <w:trPr>
          <w:trHeight w:val="175"/>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continue"/>
          </w:tcPr>
          <w:p>
            <w:pPr>
              <w:spacing w:after="0"/>
              <w:rPr>
                <w:sz w:val="15"/>
                <w:szCs w:val="15"/>
                <w:color w:val="auto"/>
              </w:rPr>
            </w:pPr>
          </w:p>
        </w:tc>
        <w:tc>
          <w:tcPr>
            <w:tcW w:w="38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continue"/>
          </w:tcPr>
          <w:p>
            <w:pPr>
              <w:spacing w:after="0"/>
              <w:rPr>
                <w:sz w:val="15"/>
                <w:szCs w:val="15"/>
                <w:color w:val="auto"/>
              </w:rPr>
            </w:pP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continue"/>
          </w:tcPr>
          <w:p>
            <w:pPr>
              <w:spacing w:after="0"/>
              <w:rPr>
                <w:sz w:val="15"/>
                <w:szCs w:val="15"/>
                <w:color w:val="auto"/>
              </w:rPr>
            </w:pP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Diluted earnings per common share ............................</w:t>
            </w:r>
          </w:p>
        </w:tc>
        <w:tc>
          <w:tcPr>
            <w:tcW w:w="400" w:type="dxa"/>
            <w:vAlign w:val="bottom"/>
            <w:vMerge w:val="continue"/>
          </w:tcPr>
          <w:p>
            <w:pPr>
              <w:spacing w:after="0"/>
              <w:rPr>
                <w:sz w:val="22"/>
                <w:szCs w:val="22"/>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2.21</w:t>
            </w:r>
          </w:p>
        </w:tc>
        <w:tc>
          <w:tcPr>
            <w:tcW w:w="380" w:type="dxa"/>
            <w:vAlign w:val="bottom"/>
            <w:vMerge w:val="continue"/>
          </w:tcPr>
          <w:p>
            <w:pPr>
              <w:spacing w:after="0"/>
              <w:rPr>
                <w:sz w:val="22"/>
                <w:szCs w:val="22"/>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w:t>
            </w:r>
          </w:p>
        </w:tc>
        <w:tc>
          <w:tcPr>
            <w:tcW w:w="360" w:type="dxa"/>
            <w:vAlign w:val="bottom"/>
            <w:vMerge w:val="continue"/>
          </w:tcPr>
          <w:p>
            <w:pPr>
              <w:spacing w:after="0"/>
              <w:rPr>
                <w:sz w:val="22"/>
                <w:szCs w:val="22"/>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0.07</w:t>
            </w:r>
          </w:p>
        </w:tc>
        <w:tc>
          <w:tcPr>
            <w:tcW w:w="360" w:type="dxa"/>
            <w:vAlign w:val="bottom"/>
            <w:vMerge w:val="continue"/>
          </w:tcPr>
          <w:p>
            <w:pPr>
              <w:spacing w:after="0"/>
              <w:rPr>
                <w:sz w:val="22"/>
                <w:szCs w:val="22"/>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0.49</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0"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720"/>
          </w:cols>
          <w:pgMar w:left="240" w:top="440" w:right="939" w:bottom="1440" w:gutter="0" w:footer="0" w:header="0"/>
        </w:sectPr>
      </w:pPr>
    </w:p>
    <w:bookmarkStart w:id="3" w:name="page4"/>
    <w:bookmarkEnd w:id="3"/>
    <w:p>
      <w:pPr>
        <w:jc w:val="center"/>
        <w:ind w:right="2959"/>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MARCH 27,</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MARCH 29,</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2004</w:t>
            </w:r>
          </w:p>
        </w:tc>
        <w:tc>
          <w:tcPr>
            <w:tcW w:w="36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2"/>
                <w:szCs w:val="22"/>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4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used in operating activities:</w:t>
            </w:r>
          </w:p>
        </w:tc>
        <w:tc>
          <w:tcPr>
            <w:tcW w:w="400" w:type="dxa"/>
            <w:vAlign w:val="bottom"/>
          </w:tcPr>
          <w:p>
            <w:pPr>
              <w:spacing w:after="0"/>
              <w:rPr>
                <w:sz w:val="15"/>
                <w:szCs w:val="15"/>
                <w:color w:val="auto"/>
              </w:rPr>
            </w:pPr>
          </w:p>
        </w:tc>
        <w:tc>
          <w:tcPr>
            <w:tcW w:w="8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44.3</w:t>
            </w:r>
          </w:p>
        </w:tc>
        <w:tc>
          <w:tcPr>
            <w:tcW w:w="360" w:type="dxa"/>
            <w:vAlign w:val="bottom"/>
          </w:tcPr>
          <w:p>
            <w:pPr>
              <w:spacing w:after="0"/>
              <w:rPr>
                <w:sz w:val="15"/>
                <w:szCs w:val="15"/>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Costs related to refinancing..............................................</w:t>
            </w:r>
          </w:p>
        </w:tc>
        <w:tc>
          <w:tcPr>
            <w:tcW w:w="4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Stock-based compensation expense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Depreciation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21.7</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Amortization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Deferred taxes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75"/>
        </w:trPr>
        <w:tc>
          <w:tcPr>
            <w:tcW w:w="722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400" w:type="dxa"/>
            <w:vAlign w:val="bottom"/>
          </w:tcPr>
          <w:p>
            <w:pPr>
              <w:spacing w:after="0"/>
              <w:rPr>
                <w:sz w:val="15"/>
                <w:szCs w:val="15"/>
                <w:color w:val="auto"/>
              </w:rPr>
            </w:pPr>
          </w:p>
        </w:tc>
        <w:tc>
          <w:tcPr>
            <w:tcW w:w="8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8"/>
              </w:rPr>
              <w:t>(485.5)</w:t>
            </w:r>
          </w:p>
        </w:tc>
        <w:tc>
          <w:tcPr>
            <w:tcW w:w="3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(461.9)</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Accounts receivable ...................................................</w:t>
            </w:r>
          </w:p>
        </w:tc>
        <w:tc>
          <w:tcPr>
            <w:tcW w:w="4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Inventories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(142.5)</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(131.1)</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Prepaid and other current assets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Accounts payable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130.2</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141.5</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Accrued taxes and liabilities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38.4</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36.1</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Restructuring reserves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 assets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 liabilities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 net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(14.5)</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5"/>
        </w:trPr>
        <w:tc>
          <w:tcPr>
            <w:tcW w:w="7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Net cash used in operating activities ................................</w:t>
            </w:r>
          </w:p>
        </w:tc>
        <w:tc>
          <w:tcPr>
            <w:tcW w:w="40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8"/>
              </w:rPr>
              <w:t>(404.5)</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(380.6)</w:t>
            </w:r>
          </w:p>
        </w:tc>
        <w:tc>
          <w:tcPr>
            <w:tcW w:w="0" w:type="dxa"/>
            <w:vAlign w:val="bottom"/>
          </w:tcPr>
          <w:p>
            <w:pPr>
              <w:spacing w:after="0"/>
              <w:rPr>
                <w:sz w:val="1"/>
                <w:szCs w:val="1"/>
                <w:color w:val="auto"/>
              </w:rPr>
            </w:pPr>
          </w:p>
        </w:tc>
      </w:tr>
      <w:tr>
        <w:trPr>
          <w:trHeight w:val="256"/>
        </w:trPr>
        <w:tc>
          <w:tcPr>
            <w:tcW w:w="722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2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(10.9)</w:t>
            </w:r>
          </w:p>
        </w:tc>
        <w:tc>
          <w:tcPr>
            <w:tcW w:w="3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(31.3)</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Investment in property, plant and equipment ..............................</w:t>
            </w:r>
          </w:p>
        </w:tc>
        <w:tc>
          <w:tcPr>
            <w:tcW w:w="4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Investment in acquired businesses, net of cash acquired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Payments on seller notes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75"/>
        </w:trPr>
        <w:tc>
          <w:tcPr>
            <w:tcW w:w="7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Net cash used in investing activities .................................</w:t>
            </w:r>
          </w:p>
        </w:tc>
        <w:tc>
          <w:tcPr>
            <w:tcW w:w="40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(25.1)</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c>
          <w:tcPr>
            <w:tcW w:w="0" w:type="dxa"/>
            <w:vAlign w:val="bottom"/>
          </w:tcPr>
          <w:p>
            <w:pPr>
              <w:spacing w:after="0"/>
              <w:rPr>
                <w:sz w:val="1"/>
                <w:szCs w:val="1"/>
                <w:color w:val="auto"/>
              </w:rPr>
            </w:pPr>
          </w:p>
        </w:tc>
      </w:tr>
      <w:tr>
        <w:trPr>
          <w:trHeight w:val="256"/>
        </w:trPr>
        <w:tc>
          <w:tcPr>
            <w:tcW w:w="722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2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330.7</w:t>
            </w:r>
          </w:p>
        </w:tc>
        <w:tc>
          <w:tcPr>
            <w:tcW w:w="360" w:type="dxa"/>
            <w:vAlign w:val="bottom"/>
          </w:tcPr>
          <w:p>
            <w:pPr>
              <w:spacing w:after="0"/>
              <w:rPr>
                <w:sz w:val="8"/>
                <w:szCs w:val="8"/>
                <w:color w:val="auto"/>
              </w:rPr>
            </w:pPr>
          </w:p>
        </w:tc>
        <w:tc>
          <w:tcPr>
            <w:tcW w:w="6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373.0</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Net borrowings under revolving and bank lines of credit ..................</w:t>
            </w:r>
          </w:p>
        </w:tc>
        <w:tc>
          <w:tcPr>
            <w:tcW w:w="4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Proceeds from issuance of term loans - New Credit Agreement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Repayment of term loans - former Credit Agreement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(326.5)</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Issuance of 6 5/8% Senior Subordinated Notes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Redemption of 8 5/8% Senior Subordinated Notes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(418.0)</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Financing fees, net ......................................................</w:t>
            </w:r>
          </w:p>
        </w:tc>
        <w:tc>
          <w:tcPr>
            <w:tcW w:w="40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(11.5)</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Cash received from the exercise of stock options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r>
        <w:trPr>
          <w:trHeight w:val="175"/>
        </w:trPr>
        <w:tc>
          <w:tcPr>
            <w:tcW w:w="7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Net cash provided by financing activities ..............................</w:t>
            </w:r>
          </w:p>
        </w:tc>
        <w:tc>
          <w:tcPr>
            <w:tcW w:w="40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286.9</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355.7</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Effect of exchange rate changes on cash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7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Net decrease in cash .....................................................</w:t>
            </w:r>
          </w:p>
        </w:tc>
        <w:tc>
          <w:tcPr>
            <w:tcW w:w="40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8"/>
              </w:rPr>
              <w:t>(141.7)</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(87.4)</w:t>
            </w:r>
          </w:p>
        </w:tc>
        <w:tc>
          <w:tcPr>
            <w:tcW w:w="0" w:type="dxa"/>
            <w:vAlign w:val="bottom"/>
          </w:tcPr>
          <w:p>
            <w:pPr>
              <w:spacing w:after="0"/>
              <w:rPr>
                <w:sz w:val="1"/>
                <w:szCs w:val="1"/>
                <w:color w:val="auto"/>
              </w:rPr>
            </w:pPr>
          </w:p>
        </w:tc>
      </w:tr>
      <w:tr>
        <w:trPr>
          <w:trHeight w:val="175"/>
        </w:trPr>
        <w:tc>
          <w:tcPr>
            <w:tcW w:w="7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Cash and cash equivalents at beginning of period .........................</w:t>
            </w:r>
          </w:p>
        </w:tc>
        <w:tc>
          <w:tcPr>
            <w:tcW w:w="40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155.9</w:t>
            </w:r>
          </w:p>
        </w:tc>
        <w:tc>
          <w:tcPr>
            <w:tcW w:w="36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99.7</w:t>
            </w:r>
          </w:p>
        </w:tc>
        <w:tc>
          <w:tcPr>
            <w:tcW w:w="0" w:type="dxa"/>
            <w:vAlign w:val="bottom"/>
          </w:tcPr>
          <w:p>
            <w:pPr>
              <w:spacing w:after="0"/>
              <w:rPr>
                <w:sz w:val="1"/>
                <w:szCs w:val="1"/>
                <w:color w:val="auto"/>
              </w:rPr>
            </w:pPr>
          </w:p>
        </w:tc>
      </w:tr>
      <w:tr>
        <w:trPr>
          <w:trHeight w:val="175"/>
        </w:trPr>
        <w:tc>
          <w:tcPr>
            <w:tcW w:w="7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Cash and cash equivalents at end of period ...............................</w:t>
            </w:r>
          </w:p>
        </w:tc>
        <w:tc>
          <w:tcPr>
            <w:tcW w:w="40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8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14.2</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2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2"/>
                <w:szCs w:val="22"/>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40" w:right="1440" w:bottom="1440" w:gutter="0" w:footer="0" w:header="0"/>
        </w:sectPr>
      </w:pPr>
    </w:p>
    <w:bookmarkStart w:id="4" w:name="page5"/>
    <w:bookmarkEnd w:id="4"/>
    <w:p>
      <w:pPr>
        <w:jc w:val="center"/>
        <w:ind w:right="39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5"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27,</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29,</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5"/>
        </w:trPr>
        <w:tc>
          <w:tcPr>
            <w:tcW w:w="7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6"/>
        </w:trPr>
        <w:tc>
          <w:tcPr>
            <w:tcW w:w="7400" w:type="dxa"/>
            <w:vAlign w:val="bottom"/>
          </w:tcPr>
          <w:p>
            <w:pPr>
              <w:spacing w:after="0"/>
              <w:rPr>
                <w:sz w:val="22"/>
                <w:szCs w:val="22"/>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400" w:type="dxa"/>
            <w:vAlign w:val="bottom"/>
          </w:tcPr>
          <w:p>
            <w:pPr>
              <w:jc w:val="right"/>
              <w:ind w:right="3424"/>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7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14.2</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12.3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155.9</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Cash and cash equivalents ..................................................</w:t>
            </w: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Accounts receivable, less allowances of $22.3, $26.7 and $20.0, respectively</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776.0</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724.3</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290.5</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Inventories, net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418.6</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400.2</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276.1</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Current deferred tax asset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60.7</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72.5</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56.9</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Prepaid and other assets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46.2</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50.8</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33.2</w:t>
            </w:r>
          </w:p>
        </w:tc>
        <w:tc>
          <w:tcPr>
            <w:tcW w:w="0" w:type="dxa"/>
            <w:vAlign w:val="bottom"/>
          </w:tcPr>
          <w:p>
            <w:pPr>
              <w:spacing w:after="0"/>
              <w:rPr>
                <w:sz w:val="1"/>
                <w:szCs w:val="1"/>
                <w:color w:val="auto"/>
              </w:rPr>
            </w:pPr>
          </w:p>
        </w:tc>
      </w:tr>
      <w:tr>
        <w:trPr>
          <w:trHeight w:val="175"/>
        </w:trPr>
        <w:tc>
          <w:tcPr>
            <w:tcW w:w="7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current assets ....................................................</w:t>
            </w: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82"/>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8"/>
              </w:rPr>
              <w:t>1,315.7</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5"/>
              </w:rPr>
              <w:t>1,260.1</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812.6</w:t>
            </w:r>
          </w:p>
        </w:tc>
        <w:tc>
          <w:tcPr>
            <w:tcW w:w="0" w:type="dxa"/>
            <w:vAlign w:val="bottom"/>
          </w:tcPr>
          <w:p>
            <w:pPr>
              <w:spacing w:after="0"/>
              <w:rPr>
                <w:sz w:val="1"/>
                <w:szCs w:val="1"/>
                <w:color w:val="auto"/>
              </w:rPr>
            </w:pPr>
          </w:p>
        </w:tc>
      </w:tr>
      <w:tr>
        <w:trPr>
          <w:trHeight w:val="175"/>
        </w:trPr>
        <w:tc>
          <w:tcPr>
            <w:tcW w:w="74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 of accumulated depreciation of $285.6,</w:t>
            </w:r>
          </w:p>
        </w:tc>
        <w:tc>
          <w:tcPr>
            <w:tcW w:w="320" w:type="dxa"/>
            <w:vAlign w:val="bottom"/>
          </w:tcPr>
          <w:p>
            <w:pPr>
              <w:spacing w:after="0"/>
              <w:rPr>
                <w:sz w:val="15"/>
                <w:szCs w:val="15"/>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329.5</w:t>
            </w:r>
          </w:p>
        </w:tc>
        <w:tc>
          <w:tcPr>
            <w:tcW w:w="320" w:type="dxa"/>
            <w:vAlign w:val="bottom"/>
          </w:tcPr>
          <w:p>
            <w:pPr>
              <w:spacing w:after="0"/>
              <w:rPr>
                <w:sz w:val="15"/>
                <w:szCs w:val="15"/>
                <w:color w:val="auto"/>
              </w:rPr>
            </w:pPr>
          </w:p>
        </w:tc>
        <w:tc>
          <w:tcPr>
            <w:tcW w:w="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342.6</w:t>
            </w:r>
          </w:p>
        </w:tc>
        <w:tc>
          <w:tcPr>
            <w:tcW w:w="4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338.2</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$259.3 and $270.5, respectively ............................................</w:t>
            </w: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Goodwill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423.3</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384.2</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406.5</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Intangible assets, net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431.7</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419.5</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429.0</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 assets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41.1</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47.5</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44.0</w:t>
            </w:r>
          </w:p>
        </w:tc>
        <w:tc>
          <w:tcPr>
            <w:tcW w:w="0" w:type="dxa"/>
            <w:vAlign w:val="bottom"/>
          </w:tcPr>
          <w:p>
            <w:pPr>
              <w:spacing w:after="0"/>
              <w:rPr>
                <w:sz w:val="1"/>
                <w:szCs w:val="1"/>
                <w:color w:val="auto"/>
              </w:rPr>
            </w:pPr>
          </w:p>
        </w:tc>
      </w:tr>
      <w:tr>
        <w:trPr>
          <w:trHeight w:val="175"/>
        </w:trPr>
        <w:tc>
          <w:tcPr>
            <w:tcW w:w="7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assets ............................................................</w:t>
            </w:r>
          </w:p>
        </w:tc>
        <w:tc>
          <w:tcPr>
            <w:tcW w:w="1280" w:type="dxa"/>
            <w:vAlign w:val="bottom"/>
            <w:gridSpan w:val="2"/>
            <w:vMerge w:val="restart"/>
          </w:tcPr>
          <w:p>
            <w:pPr>
              <w:jc w:val="right"/>
              <w:ind w:right="244"/>
              <w:spacing w:after="0"/>
              <w:rPr>
                <w:sz w:val="20"/>
                <w:szCs w:val="20"/>
                <w:color w:val="auto"/>
              </w:rPr>
            </w:pPr>
            <w:r>
              <w:rPr>
                <w:rFonts w:ascii="Courier New" w:cs="Courier New" w:eastAsia="Courier New" w:hAnsi="Courier New"/>
                <w:sz w:val="22"/>
                <w:szCs w:val="22"/>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2,541.3</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$2,453.9</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$2,030.3</w:t>
            </w:r>
          </w:p>
        </w:tc>
        <w:tc>
          <w:tcPr>
            <w:tcW w:w="0" w:type="dxa"/>
            <w:vAlign w:val="bottom"/>
          </w:tcPr>
          <w:p>
            <w:pPr>
              <w:spacing w:after="0"/>
              <w:rPr>
                <w:sz w:val="1"/>
                <w:szCs w:val="1"/>
                <w:color w:val="auto"/>
              </w:rPr>
            </w:pPr>
          </w:p>
        </w:tc>
      </w:tr>
      <w:tr>
        <w:trPr>
          <w:trHeight w:val="256"/>
        </w:trPr>
        <w:tc>
          <w:tcPr>
            <w:tcW w:w="7400" w:type="dxa"/>
            <w:vAlign w:val="bottom"/>
          </w:tcPr>
          <w:p>
            <w:pPr>
              <w:spacing w:after="0"/>
              <w:rPr>
                <w:sz w:val="22"/>
                <w:szCs w:val="22"/>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7400" w:type="dxa"/>
            <w:vAlign w:val="bottom"/>
          </w:tcPr>
          <w:p>
            <w:pPr>
              <w:jc w:val="right"/>
              <w:ind w:right="2064"/>
              <w:spacing w:after="0"/>
              <w:rPr>
                <w:sz w:val="20"/>
                <w:szCs w:val="20"/>
                <w:color w:val="auto"/>
              </w:rPr>
            </w:pPr>
            <w:r>
              <w:rPr>
                <w:rFonts w:ascii="Courier New" w:cs="Courier New" w:eastAsia="Courier New" w:hAnsi="Courier New"/>
                <w:sz w:val="15"/>
                <w:szCs w:val="15"/>
                <w:color w:val="auto"/>
              </w:rPr>
              <w:t>LIABILITIES AND SHAREHOLDERS' EQUITY</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27.7</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287.7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55.4</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Current portion of debt ....................................................</w:t>
            </w: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Accounts payable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279.2</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264.2</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149.0</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Accrued liabilities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263.1</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249.1</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234.3</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Accrued taxes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27.7</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5"/>
        </w:trPr>
        <w:tc>
          <w:tcPr>
            <w:tcW w:w="7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current liabilities ...............................................</w:t>
            </w: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82"/>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593.3</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828.7</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448.2</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Long-term debt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1,039.9</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873.0</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702.2</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 liabilities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162.3</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132.2</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151.7</w:t>
            </w:r>
          </w:p>
        </w:tc>
        <w:tc>
          <w:tcPr>
            <w:tcW w:w="0" w:type="dxa"/>
            <w:vAlign w:val="bottom"/>
          </w:tcPr>
          <w:p>
            <w:pPr>
              <w:spacing w:after="0"/>
              <w:rPr>
                <w:sz w:val="1"/>
                <w:szCs w:val="1"/>
                <w:color w:val="auto"/>
              </w:rPr>
            </w:pPr>
          </w:p>
        </w:tc>
      </w:tr>
      <w:tr>
        <w:trPr>
          <w:trHeight w:val="175"/>
        </w:trPr>
        <w:tc>
          <w:tcPr>
            <w:tcW w:w="7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liabilities .......................................................</w:t>
            </w: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82"/>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8"/>
              </w:rPr>
              <w:t>1,795.5</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5"/>
              </w:rPr>
              <w:t>1,833.9</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1,302.1</w:t>
            </w:r>
          </w:p>
        </w:tc>
        <w:tc>
          <w:tcPr>
            <w:tcW w:w="0" w:type="dxa"/>
            <w:vAlign w:val="bottom"/>
          </w:tcPr>
          <w:p>
            <w:pPr>
              <w:spacing w:after="0"/>
              <w:rPr>
                <w:sz w:val="1"/>
                <w:szCs w:val="1"/>
                <w:color w:val="auto"/>
              </w:rPr>
            </w:pPr>
          </w:p>
        </w:tc>
      </w:tr>
      <w:tr>
        <w:trPr>
          <w:trHeight w:val="175"/>
        </w:trPr>
        <w:tc>
          <w:tcPr>
            <w:tcW w:w="7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3 and 9)</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Common Shares, no par value per share, $.01 stated value per share, 32.3,</w:t>
            </w:r>
          </w:p>
        </w:tc>
        <w:tc>
          <w:tcPr>
            <w:tcW w:w="320" w:type="dxa"/>
            <w:vAlign w:val="bottom"/>
          </w:tcPr>
          <w:p>
            <w:pPr>
              <w:spacing w:after="0"/>
              <w:rPr>
                <w:sz w:val="15"/>
                <w:szCs w:val="15"/>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8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31.3, 32.0 shares issued, respectively ..................................</w:t>
            </w: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Deferred compensation - stock awards .......................................</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(18.8)</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w:t>
            </w:r>
          </w:p>
        </w:tc>
        <w:tc>
          <w:tcPr>
            <w:tcW w:w="40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Capital in excess of par value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426.8</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398.6</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398.4</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Retained earnings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401.0</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310.5</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398.6</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Treasury stock, 0.0, 0.5, and 0.0 shares, respectively, at cost ............</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Accumulated other comprehensive loss .......................................</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(63.5)</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(58.3)</w:t>
            </w:r>
          </w:p>
        </w:tc>
        <w:tc>
          <w:tcPr>
            <w:tcW w:w="40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5"/>
        </w:trPr>
        <w:tc>
          <w:tcPr>
            <w:tcW w:w="7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shareholders' equity ..............................................</w:t>
            </w: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82"/>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745.8</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620.0</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728.2</w:t>
            </w:r>
          </w:p>
        </w:tc>
        <w:tc>
          <w:tcPr>
            <w:tcW w:w="0" w:type="dxa"/>
            <w:vAlign w:val="bottom"/>
          </w:tcPr>
          <w:p>
            <w:pPr>
              <w:spacing w:after="0"/>
              <w:rPr>
                <w:sz w:val="1"/>
                <w:szCs w:val="1"/>
                <w:color w:val="auto"/>
              </w:rPr>
            </w:pPr>
          </w:p>
        </w:tc>
      </w:tr>
      <w:tr>
        <w:trPr>
          <w:trHeight w:val="175"/>
        </w:trPr>
        <w:tc>
          <w:tcPr>
            <w:tcW w:w="7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Total liabilities and shareholders' equity ..............................</w:t>
            </w:r>
          </w:p>
        </w:tc>
        <w:tc>
          <w:tcPr>
            <w:tcW w:w="1280" w:type="dxa"/>
            <w:vAlign w:val="bottom"/>
            <w:gridSpan w:val="2"/>
            <w:vMerge w:val="restart"/>
          </w:tcPr>
          <w:p>
            <w:pPr>
              <w:jc w:val="right"/>
              <w:ind w:right="244"/>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perscript"/>
              </w:rPr>
              <w:t>--------</w:t>
            </w:r>
            <w:r>
              <w:rPr>
                <w:rFonts w:ascii="Courier New" w:cs="Courier New" w:eastAsia="Courier New" w:hAnsi="Courier New"/>
                <w:sz w:val="12"/>
                <w:szCs w:val="12"/>
                <w:color w:val="auto"/>
                <w:w w:val="73"/>
              </w:rPr>
              <w:t>2,541.3</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$2,453.9</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$2,030.3</w:t>
            </w:r>
          </w:p>
        </w:tc>
        <w:tc>
          <w:tcPr>
            <w:tcW w:w="0" w:type="dxa"/>
            <w:vAlign w:val="bottom"/>
          </w:tcPr>
          <w:p>
            <w:pPr>
              <w:spacing w:after="0"/>
              <w:rPr>
                <w:sz w:val="1"/>
                <w:szCs w:val="1"/>
                <w:color w:val="auto"/>
              </w:rPr>
            </w:pPr>
          </w:p>
        </w:tc>
      </w:tr>
      <w:tr>
        <w:trPr>
          <w:trHeight w:val="256"/>
        </w:trPr>
        <w:tc>
          <w:tcPr>
            <w:tcW w:w="7400" w:type="dxa"/>
            <w:vAlign w:val="bottom"/>
          </w:tcPr>
          <w:p>
            <w:pPr>
              <w:spacing w:after="0"/>
              <w:rPr>
                <w:sz w:val="22"/>
                <w:szCs w:val="22"/>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0"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80"/>
          </w:cols>
          <w:pgMar w:left="240" w:top="440" w:right="479" w:bottom="1440" w:gutter="0" w:footer="0" w:header="0"/>
        </w:sectPr>
      </w:pPr>
    </w:p>
    <w:bookmarkStart w:id="5" w:name="page6"/>
    <w:bookmarkEnd w:id="5"/>
    <w:p>
      <w:pPr>
        <w:ind w:left="547"/>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80" w:lineRule="exact"/>
        <w:rPr>
          <w:sz w:val="20"/>
          <w:szCs w:val="20"/>
          <w:color w:val="auto"/>
        </w:rPr>
      </w:pPr>
    </w:p>
    <w:p>
      <w:pPr>
        <w:ind w:left="547" w:right="5859" w:hanging="547"/>
        <w:spacing w:after="0" w:line="493" w:lineRule="auto"/>
        <w:tabs>
          <w:tab w:leader="none" w:pos="5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 w:lineRule="exact"/>
        <w:rPr>
          <w:rFonts w:ascii="Courier New" w:cs="Courier New" w:eastAsia="Courier New" w:hAnsi="Courier New"/>
          <w:sz w:val="15"/>
          <w:szCs w:val="15"/>
          <w:color w:val="auto"/>
        </w:rPr>
      </w:pPr>
    </w:p>
    <w:p>
      <w:pPr>
        <w:ind w:left="547"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and its subsidiaries (collectively "Scotts" or the "Company") are engaged in the manufacture, marketing and sale of lawn and garden care products. The Company's major customers include home improvement centers, mass merchandisers,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LawnService(R) business which provides lawn and tree and shrub fertilization, insect control and other related services in the United States.</w:t>
      </w:r>
    </w:p>
    <w:p>
      <w:pPr>
        <w:spacing w:after="0" w:line="81"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9" w:lineRule="exact"/>
        <w:rPr>
          <w:rFonts w:ascii="Courier New" w:cs="Courier New" w:eastAsia="Courier New" w:hAnsi="Courier New"/>
          <w:sz w:val="15"/>
          <w:szCs w:val="15"/>
          <w:color w:val="auto"/>
        </w:rPr>
      </w:pPr>
    </w:p>
    <w:p>
      <w:pPr>
        <w:ind w:left="547" w:right="295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condensed, consolidated financial statements are unaudited; however, in the opinion of management, are presented in accordance with accounting principles generally accepted in the United States of America. The condensed, consolidated financial statements include the accounts of The Scotts Company and all wholly-owned and majority-owned subsidiaries. All material intercompany transactions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Scotts Company's fiscal 2003 Annual Report on Form 10-K.</w:t>
      </w:r>
    </w:p>
    <w:p>
      <w:pPr>
        <w:spacing w:after="0" w:line="88"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w:t>
      </w:r>
    </w:p>
    <w:p>
      <w:pPr>
        <w:spacing w:after="0" w:line="179" w:lineRule="exact"/>
        <w:rPr>
          <w:rFonts w:ascii="Courier New" w:cs="Courier New" w:eastAsia="Courier New" w:hAnsi="Courier New"/>
          <w:sz w:val="15"/>
          <w:szCs w:val="15"/>
          <w:color w:val="auto"/>
        </w:rPr>
      </w:pPr>
    </w:p>
    <w:p>
      <w:pPr>
        <w:ind w:left="547"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4" w:lineRule="exact"/>
        <w:rPr>
          <w:rFonts w:ascii="Courier New" w:cs="Courier New" w:eastAsia="Courier New" w:hAnsi="Courier New"/>
          <w:sz w:val="15"/>
          <w:szCs w:val="15"/>
          <w:color w:val="auto"/>
        </w:rPr>
      </w:pPr>
    </w:p>
    <w:p>
      <w:pPr>
        <w:ind w:left="547" w:right="295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promotes its service offerings primarily through direct response mail campaigns. The external costs associated with these campaigns are deferred and recognized ratably as advertising expense in proportion to revenues over a period not in excess of one year. The costs deferred at March 27, 2004, March 29, 2003 and September 30, 2003 are $1.9 million, $2.2 million and $1.0 million, respectively.</w:t>
      </w:r>
    </w:p>
    <w:p>
      <w:pPr>
        <w:spacing w:after="0" w:line="72"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AWARDS</w:t>
      </w:r>
    </w:p>
    <w:p>
      <w:pPr>
        <w:spacing w:after="0" w:line="179" w:lineRule="exact"/>
        <w:rPr>
          <w:rFonts w:ascii="Courier New" w:cs="Courier New" w:eastAsia="Courier New" w:hAnsi="Courier New"/>
          <w:sz w:val="15"/>
          <w:szCs w:val="15"/>
          <w:color w:val="auto"/>
        </w:rPr>
      </w:pPr>
    </w:p>
    <w:p>
      <w:pPr>
        <w:ind w:left="547" w:right="295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fiscal 2003, the Company began expensing prospective grants of employee stock-based compensation awards in accordance with Statement of Financial Accounting Standards No. 123, "Accounting for Stock-Based Compensation" as amended by Statement of Financial Accounting Standards No. 148, "Accounting for Stock-Based Compensation -- Transition and Disclosure -- an Amendment of SFAS No. 123". Beginning in fiscal 2003, the fair value of new awards is expensed ratably over the vesting period, which has historically been three years, except for grants to members of the Board of Directors, which have a six month vesting period.</w:t>
      </w:r>
    </w:p>
    <w:p>
      <w:pPr>
        <w:spacing w:after="0" w:line="78" w:lineRule="exact"/>
        <w:rPr>
          <w:rFonts w:ascii="Courier New" w:cs="Courier New" w:eastAsia="Courier New" w:hAnsi="Courier New"/>
          <w:sz w:val="15"/>
          <w:szCs w:val="15"/>
          <w:color w:val="auto"/>
        </w:rPr>
      </w:pPr>
    </w:p>
    <w:p>
      <w:pPr>
        <w:ind w:left="547"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31, 2004, the Financial Accounting Standards Board (FASB) issued its Exposure Draft, "Share-Based Payment" which is a proposed amendment to SFAS No. 123. Generally, the approach in the Exposure Draft is similar to the approach described in SFAS No. 123. The Exposure Draft would require all share-based payments to employees, including grants of employee stock options, to be recognized in the income statement based on their fair values. Companies would no longer have the option to account for their share-based awards to employees using APB Opinion No. 25 (the intrinsic value model) or SFAS No. 123 (the fair value model). As the Company is accounting for its employee stock-based compensation awards in accordance with SFAS No. 123, the issuance of the proposed amendment is not expected to have a significant effect on the Company's results of operations.</w:t>
      </w:r>
    </w:p>
    <w:p>
      <w:pPr>
        <w:spacing w:after="0" w:line="88" w:lineRule="exact"/>
        <w:rPr>
          <w:rFonts w:ascii="Courier New" w:cs="Courier New" w:eastAsia="Courier New" w:hAnsi="Courier New"/>
          <w:sz w:val="15"/>
          <w:szCs w:val="15"/>
          <w:color w:val="auto"/>
        </w:rPr>
      </w:pPr>
    </w:p>
    <w:p>
      <w:pPr>
        <w:ind w:left="547" w:right="321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fiscal 2004, the Company granted 44,000 options and 493,000 stock appreciation rights to officers and other</w:t>
      </w:r>
    </w:p>
    <w:p>
      <w:pPr>
        <w:spacing w:after="0" w:line="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440" w:right="1440" w:bottom="1440" w:gutter="0" w:footer="0" w:header="0"/>
        </w:sectPr>
      </w:pPr>
    </w:p>
    <w:bookmarkStart w:id="6" w:name="page7"/>
    <w:bookmarkEnd w:id="6"/>
    <w:p>
      <w:pPr>
        <w:ind w:left="540" w:right="3180"/>
        <w:spacing w:after="0" w:line="267" w:lineRule="auto"/>
        <w:rPr>
          <w:sz w:val="20"/>
          <w:szCs w:val="20"/>
          <w:color w:val="auto"/>
        </w:rPr>
      </w:pPr>
      <w:r>
        <w:rPr>
          <w:rFonts w:ascii="Courier New" w:cs="Courier New" w:eastAsia="Courier New" w:hAnsi="Courier New"/>
          <w:sz w:val="15"/>
          <w:szCs w:val="15"/>
          <w:color w:val="auto"/>
        </w:rPr>
        <w:t>key employees. In the second quarter of fiscal 2004, the Company granted 73,500 options to members of the Company's Board of Directors. In the first half of fiscal 2003, the Company granted 435,000 options and 209,000 stock appreciation rights to officers, key employees and members of the Board of Directors. The exercise price for the option awards and the stated price for the stock appreciation right awards were determined by the closing price of the Company's common shares on the date of grant.</w:t>
      </w:r>
    </w:p>
    <w:p>
      <w:pPr>
        <w:spacing w:after="0" w:line="75" w:lineRule="exact"/>
        <w:rPr>
          <w:sz w:val="20"/>
          <w:szCs w:val="20"/>
          <w:color w:val="auto"/>
        </w:rPr>
      </w:pPr>
    </w:p>
    <w:p>
      <w:pPr>
        <w:ind w:left="540" w:right="3260"/>
        <w:spacing w:after="0" w:line="264" w:lineRule="auto"/>
        <w:rPr>
          <w:sz w:val="20"/>
          <w:szCs w:val="20"/>
          <w:color w:val="auto"/>
        </w:rPr>
      </w:pPr>
      <w:r>
        <w:rPr>
          <w:rFonts w:ascii="Courier New" w:cs="Courier New" w:eastAsia="Courier New" w:hAnsi="Courier New"/>
          <w:sz w:val="15"/>
          <w:szCs w:val="15"/>
          <w:color w:val="auto"/>
        </w:rPr>
        <w:t>The Black-Scholes value of options granted in fiscal 2002 was $10.7 million. The Black-Scholes value of all stock-based compensation grants awarded during fiscal 2003 and thus far in fiscal 2004 was $13.1 million and $14.0 million, respectively. Had compensation expense been recognized for stock-based compensation awards granted in periods prior to fiscal 2003 in accordance with the recognition provisions of SFAS No. 123, the Company would have recorded net income and net income per share as follows: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262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FOR THE THREE MONTHS ENDED</w:t>
            </w: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SIX MONTHS ENDED</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262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MARCH 27,</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29,</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MARCH 27,</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MARCH 29,</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5"/>
                <w:szCs w:val="15"/>
                <w:color w:val="auto"/>
              </w:rPr>
            </w:pPr>
          </w:p>
        </w:tc>
        <w:tc>
          <w:tcPr>
            <w:tcW w:w="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w:t>
            </w:r>
          </w:p>
        </w:tc>
        <w:tc>
          <w:tcPr>
            <w:tcW w:w="380" w:type="dxa"/>
            <w:vAlign w:val="bottom"/>
          </w:tcPr>
          <w:p>
            <w:pPr>
              <w:spacing w:after="0"/>
              <w:rPr>
                <w:sz w:val="15"/>
                <w:szCs w:val="15"/>
                <w:color w:val="auto"/>
              </w:rPr>
            </w:pPr>
          </w:p>
        </w:tc>
        <w:tc>
          <w:tcPr>
            <w:tcW w:w="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5"/>
                <w:szCs w:val="15"/>
                <w:color w:val="auto"/>
              </w:rPr>
            </w:pPr>
          </w:p>
        </w:tc>
        <w:tc>
          <w:tcPr>
            <w:tcW w:w="6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 MILLIONS,</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5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EXCEPT PER SHARE DATA)</w:t>
            </w: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62.5</w:t>
            </w:r>
          </w:p>
        </w:tc>
        <w:tc>
          <w:tcPr>
            <w:tcW w:w="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Stock-based compensation expense included in reported net</w:t>
            </w:r>
          </w:p>
        </w:tc>
        <w:tc>
          <w:tcPr>
            <w:tcW w:w="440" w:type="dxa"/>
            <w:vAlign w:val="bottom"/>
          </w:tcPr>
          <w:p>
            <w:pPr>
              <w:spacing w:after="0"/>
              <w:rPr>
                <w:sz w:val="15"/>
                <w:szCs w:val="15"/>
                <w:color w:val="auto"/>
              </w:rPr>
            </w:pP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5"/>
                <w:szCs w:val="15"/>
                <w:color w:val="auto"/>
              </w:rPr>
            </w:pP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0.7</w:t>
            </w:r>
          </w:p>
        </w:tc>
        <w:tc>
          <w:tcPr>
            <w:tcW w:w="380" w:type="dxa"/>
            <w:vAlign w:val="bottom"/>
          </w:tcPr>
          <w:p>
            <w:pPr>
              <w:spacing w:after="0"/>
              <w:rPr>
                <w:sz w:val="15"/>
                <w:szCs w:val="15"/>
                <w:color w:val="auto"/>
              </w:rPr>
            </w:pP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5"/>
                <w:szCs w:val="15"/>
                <w:color w:val="auto"/>
              </w:rPr>
            </w:pPr>
          </w:p>
        </w:tc>
        <w:tc>
          <w:tcPr>
            <w:tcW w:w="6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income, net of tax</w:t>
            </w: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stock-based employee compensation expense determined</w:t>
            </w:r>
          </w:p>
        </w:tc>
        <w:tc>
          <w:tcPr>
            <w:tcW w:w="440" w:type="dxa"/>
            <w:vAlign w:val="bottom"/>
          </w:tcPr>
          <w:p>
            <w:pPr>
              <w:spacing w:after="0"/>
              <w:rPr>
                <w:sz w:val="15"/>
                <w:szCs w:val="15"/>
                <w:color w:val="auto"/>
              </w:rPr>
            </w:pPr>
          </w:p>
        </w:tc>
        <w:tc>
          <w:tcPr>
            <w:tcW w:w="9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5"/>
                <w:szCs w:val="15"/>
                <w:color w:val="auto"/>
              </w:rPr>
            </w:pP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(1.7)</w:t>
            </w:r>
          </w:p>
        </w:tc>
        <w:tc>
          <w:tcPr>
            <w:tcW w:w="380" w:type="dxa"/>
            <w:vAlign w:val="bottom"/>
          </w:tcPr>
          <w:p>
            <w:pPr>
              <w:spacing w:after="0"/>
              <w:rPr>
                <w:sz w:val="15"/>
                <w:szCs w:val="15"/>
                <w:color w:val="auto"/>
              </w:rPr>
            </w:pPr>
          </w:p>
        </w:tc>
        <w:tc>
          <w:tcPr>
            <w:tcW w:w="9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(3.7)</w:t>
            </w:r>
          </w:p>
        </w:tc>
        <w:tc>
          <w:tcPr>
            <w:tcW w:w="3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5"/>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under fair value based method for all awards, net of tax</w:t>
            </w: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as adjusted</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500" w:type="dxa"/>
            <w:vAlign w:val="bottom"/>
            <w:vMerge w:val="continue"/>
          </w:tcPr>
          <w:p>
            <w:pPr>
              <w:spacing w:after="0"/>
              <w:rPr>
                <w:sz w:val="15"/>
                <w:szCs w:val="15"/>
                <w:color w:val="auto"/>
              </w:rPr>
            </w:pP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72.6</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61.5</w:t>
            </w:r>
          </w:p>
        </w:tc>
        <w:tc>
          <w:tcPr>
            <w:tcW w:w="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w:t>
            </w:r>
          </w:p>
        </w:tc>
        <w:tc>
          <w:tcPr>
            <w:tcW w:w="0" w:type="dxa"/>
            <w:vAlign w:val="bottom"/>
          </w:tcPr>
          <w:p>
            <w:pPr>
              <w:spacing w:after="0"/>
              <w:rPr>
                <w:sz w:val="1"/>
                <w:szCs w:val="1"/>
                <w:color w:val="auto"/>
              </w:rPr>
            </w:pPr>
          </w:p>
        </w:tc>
      </w:tr>
      <w:tr>
        <w:trPr>
          <w:trHeight w:val="256"/>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per share:</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500" w:type="dxa"/>
            <w:vAlign w:val="bottom"/>
            <w:vMerge w:val="continue"/>
          </w:tcPr>
          <w:p>
            <w:pPr>
              <w:spacing w:after="0"/>
              <w:rPr>
                <w:sz w:val="8"/>
                <w:szCs w:val="8"/>
                <w:color w:val="auto"/>
              </w:rPr>
            </w:pPr>
          </w:p>
        </w:tc>
        <w:tc>
          <w:tcPr>
            <w:tcW w:w="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2.27</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2.04</w:t>
            </w:r>
          </w:p>
        </w:tc>
        <w:tc>
          <w:tcPr>
            <w:tcW w:w="38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0.07</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0.52</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Basic</w:t>
            </w: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w:t>
            </w:r>
          </w:p>
        </w:tc>
        <w:tc>
          <w:tcPr>
            <w:tcW w:w="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0.49</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income per share, as adjusted:</w:t>
            </w:r>
          </w:p>
        </w:tc>
        <w:tc>
          <w:tcPr>
            <w:tcW w:w="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2.25</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2.00</w:t>
            </w:r>
          </w:p>
        </w:tc>
        <w:tc>
          <w:tcPr>
            <w:tcW w:w="38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0.04</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0.45</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Basic</w:t>
            </w: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w:t>
            </w:r>
          </w:p>
        </w:tc>
        <w:tc>
          <w:tcPr>
            <w:tcW w:w="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0.42</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40" w:right="3440"/>
        <w:spacing w:after="0" w:line="368"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income/loss in future periods.</w:t>
      </w:r>
    </w:p>
    <w:p>
      <w:pPr>
        <w:spacing w:after="0" w:line="3" w:lineRule="exact"/>
        <w:rPr>
          <w:sz w:val="20"/>
          <w:szCs w:val="20"/>
          <w:color w:val="auto"/>
        </w:rPr>
      </w:pPr>
    </w:p>
    <w:p>
      <w:pPr>
        <w:ind w:left="540" w:right="3260"/>
        <w:spacing w:after="0" w:line="307" w:lineRule="auto"/>
        <w:rPr>
          <w:sz w:val="20"/>
          <w:szCs w:val="20"/>
          <w:color w:val="auto"/>
        </w:rPr>
      </w:pPr>
      <w:r>
        <w:rPr>
          <w:rFonts w:ascii="Courier New" w:cs="Courier New" w:eastAsia="Courier New" w:hAnsi="Courier New"/>
          <w:sz w:val="15"/>
          <w:szCs w:val="15"/>
          <w:color w:val="auto"/>
        </w:rPr>
        <w:t>Prior to fiscal 2003, the Company accounted for stock options under APB 25, "Accounting for Stock Issued to Employees" and, as allowable, adopted only the disclosure provisions of SFAS No. 123.</w:t>
      </w:r>
    </w:p>
    <w:p>
      <w:pPr>
        <w:spacing w:after="0" w:line="4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LONG-LIVED ASSETS</w:t>
      </w:r>
    </w:p>
    <w:p>
      <w:pPr>
        <w:spacing w:after="0" w:line="180" w:lineRule="exact"/>
        <w:rPr>
          <w:sz w:val="20"/>
          <w:szCs w:val="20"/>
          <w:color w:val="auto"/>
        </w:rPr>
      </w:pPr>
    </w:p>
    <w:p>
      <w:pPr>
        <w:ind w:left="540" w:right="3180"/>
        <w:spacing w:after="0" w:line="271" w:lineRule="auto"/>
        <w:rPr>
          <w:sz w:val="20"/>
          <w:szCs w:val="20"/>
          <w:color w:val="auto"/>
        </w:rPr>
      </w:pPr>
      <w:r>
        <w:rPr>
          <w:rFonts w:ascii="Courier New" w:cs="Courier New" w:eastAsia="Courier New" w:hAnsi="Courier New"/>
          <w:sz w:val="15"/>
          <w:szCs w:val="15"/>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72" w:lineRule="exact"/>
        <w:rPr>
          <w:sz w:val="20"/>
          <w:szCs w:val="20"/>
          <w:color w:val="auto"/>
        </w:rPr>
      </w:pPr>
    </w:p>
    <w:p>
      <w:pPr>
        <w:ind w:left="540" w:right="3180"/>
        <w:spacing w:after="0" w:line="260" w:lineRule="auto"/>
        <w:rPr>
          <w:sz w:val="20"/>
          <w:szCs w:val="20"/>
          <w:color w:val="auto"/>
        </w:rPr>
      </w:pPr>
      <w:r>
        <w:rPr>
          <w:rFonts w:ascii="Courier New" w:cs="Courier New" w:eastAsia="Courier New" w:hAnsi="Courier New"/>
          <w:sz w:val="15"/>
          <w:szCs w:val="15"/>
          <w:color w:val="auto"/>
        </w:rPr>
        <w:t>Management also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during the first fiscal quarter. If it is determined that an impairment of intangible assets has occurred, an impairment loss is recognized for the amount by which the carrying value of the asset exceeds its estimated fair value. No impairment charges were recorded during the first half of fiscal 2004 or during fiscal 2003.</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EARNINGS PER COMMON SHARE</w:t>
      </w:r>
    </w:p>
    <w:p>
      <w:pPr>
        <w:spacing w:after="0" w:line="180" w:lineRule="exact"/>
        <w:rPr>
          <w:sz w:val="20"/>
          <w:szCs w:val="20"/>
          <w:color w:val="auto"/>
        </w:rPr>
      </w:pPr>
    </w:p>
    <w:p>
      <w:pPr>
        <w:ind w:left="540" w:right="3180"/>
        <w:spacing w:after="0" w:line="267" w:lineRule="auto"/>
        <w:rPr>
          <w:sz w:val="20"/>
          <w:szCs w:val="20"/>
          <w:color w:val="auto"/>
        </w:rPr>
      </w:pPr>
      <w:r>
        <w:rPr>
          <w:rFonts w:ascii="Courier New" w:cs="Courier New" w:eastAsia="Courier New" w:hAnsi="Courier New"/>
          <w:sz w:val="15"/>
          <w:szCs w:val="15"/>
          <w:color w:val="auto"/>
        </w:rPr>
        <w:t>Basic earnings per common share is computed by dividing net income by the weighted average number of common shares outstanding. Diluted earnings per common share is calculated including common stock equivalents pertaining to options, stock appreciation rights and warrants where the exercise price was less than the average market price of the common shares. These common stock equivalents equate to 0.8 million common shares for both the three and six month periods ending March</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440"/>
          </w:cols>
          <w:pgMar w:left="240" w:top="440" w:right="1219" w:bottom="1440" w:gutter="0" w:footer="0" w:header="0"/>
        </w:sectPr>
      </w:pPr>
    </w:p>
    <w:bookmarkStart w:id="7" w:name="page8"/>
    <w:bookmarkEnd w:id="7"/>
    <w:p>
      <w:pPr>
        <w:ind w:left="547" w:right="2959"/>
        <w:spacing w:after="0" w:line="262" w:lineRule="auto"/>
        <w:rPr>
          <w:sz w:val="20"/>
          <w:szCs w:val="20"/>
          <w:color w:val="auto"/>
        </w:rPr>
      </w:pPr>
      <w:r>
        <w:rPr>
          <w:rFonts w:ascii="Courier New" w:cs="Courier New" w:eastAsia="Courier New" w:hAnsi="Courier New"/>
          <w:sz w:val="15"/>
          <w:szCs w:val="15"/>
          <w:color w:val="auto"/>
        </w:rPr>
        <w:t>27, 2004, and 1.5 million and 1.6 million common shares for the three and six month periods ending March 29, 2003. Options to purchase 0.1 million shares of common stock for both the three and six month periods ended March 27, 2004, and 0.1 million and 0.3 million shares for the three and six month periods ended March 29, 2003, respectively, were not included in the computation of diluted earnings per share. These options were excluded from the calculation because the exercise price was greater than the average market price of the common shares in the respective periods, and therefore, were anti-dilutive.</w:t>
      </w:r>
    </w:p>
    <w:p>
      <w:pPr>
        <w:spacing w:after="0" w:line="78"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left="547" w:right="3139"/>
        <w:spacing w:after="0" w:line="267"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7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RECLASSIFICATIONS</w:t>
      </w:r>
    </w:p>
    <w:p>
      <w:pPr>
        <w:spacing w:after="0" w:line="180" w:lineRule="exact"/>
        <w:rPr>
          <w:sz w:val="20"/>
          <w:szCs w:val="20"/>
          <w:color w:val="auto"/>
        </w:rPr>
      </w:pPr>
    </w:p>
    <w:p>
      <w:pPr>
        <w:ind w:left="547" w:right="3319"/>
        <w:spacing w:after="0" w:line="277"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2004 classifications. In particular, a reclassification of trade program liabilities within our International segment was recorded in order to be consistent with the classification used by our North America segment.</w:t>
      </w:r>
    </w:p>
    <w:p>
      <w:pPr>
        <w:spacing w:after="0" w:line="68" w:lineRule="exact"/>
        <w:rPr>
          <w:sz w:val="20"/>
          <w:szCs w:val="20"/>
          <w:color w:val="auto"/>
        </w:rPr>
      </w:pPr>
    </w:p>
    <w:p>
      <w:pPr>
        <w:ind w:left="547" w:hanging="547"/>
        <w:spacing w:after="0"/>
        <w:tabs>
          <w:tab w:leader="none" w:pos="5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INVENTORIES, NET</w:t>
      </w:r>
    </w:p>
    <w:p>
      <w:pPr>
        <w:spacing w:after="0" w:line="179" w:lineRule="exact"/>
        <w:rPr>
          <w:rFonts w:ascii="Courier New" w:cs="Courier New" w:eastAsia="Courier New" w:hAnsi="Courier New"/>
          <w:sz w:val="15"/>
          <w:szCs w:val="15"/>
          <w:color w:val="auto"/>
        </w:rPr>
      </w:pPr>
    </w:p>
    <w:p>
      <w:pPr>
        <w:jc w:val="both"/>
        <w:ind w:left="547" w:right="31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 $23.6 million, $25.5 million, and $22.0 million, respectively, consisted of:</w:t>
      </w:r>
    </w:p>
    <w:p>
      <w:pPr>
        <w:spacing w:after="0" w:line="397" w:lineRule="exact"/>
        <w:rPr>
          <w:sz w:val="20"/>
          <w:szCs w:val="20"/>
          <w:color w:val="auto"/>
        </w:rPr>
      </w:pPr>
    </w:p>
    <w:tbl>
      <w:tblPr>
        <w:tblLayout w:type="fixed"/>
        <w:tblInd w:w="1007"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27,</w:t>
            </w:r>
          </w:p>
        </w:tc>
        <w:tc>
          <w:tcPr>
            <w:tcW w:w="1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29,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1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MILLIONS)</w:t>
            </w: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68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335.0</w:t>
            </w:r>
          </w:p>
        </w:tc>
        <w:tc>
          <w:tcPr>
            <w:tcW w:w="4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308.7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203.7</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Finished goods .</w:t>
            </w: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Raw materials ..</w:t>
            </w:r>
          </w:p>
        </w:tc>
        <w:tc>
          <w:tcPr>
            <w:tcW w:w="36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83.6</w:t>
            </w:r>
          </w:p>
        </w:tc>
        <w:tc>
          <w:tcPr>
            <w:tcW w:w="400" w:type="dxa"/>
            <w:vAlign w:val="bottom"/>
          </w:tcPr>
          <w:p>
            <w:pPr>
              <w:spacing w:after="0"/>
              <w:rPr>
                <w:sz w:val="15"/>
                <w:szCs w:val="15"/>
                <w:color w:val="auto"/>
              </w:rPr>
            </w:pP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91.5</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72.4</w:t>
            </w:r>
          </w:p>
        </w:tc>
        <w:tc>
          <w:tcPr>
            <w:tcW w:w="0" w:type="dxa"/>
            <w:vAlign w:val="bottom"/>
          </w:tcPr>
          <w:p>
            <w:pPr>
              <w:spacing w:after="0"/>
              <w:rPr>
                <w:sz w:val="1"/>
                <w:szCs w:val="1"/>
                <w:color w:val="auto"/>
              </w:rPr>
            </w:pPr>
          </w:p>
        </w:tc>
      </w:tr>
      <w:tr>
        <w:trPr>
          <w:trHeight w:val="175"/>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Total ..........</w:t>
            </w:r>
          </w:p>
        </w:tc>
        <w:tc>
          <w:tcPr>
            <w:tcW w:w="11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418.6</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276.1</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11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47" w:hanging="547"/>
        <w:spacing w:after="0"/>
        <w:tabs>
          <w:tab w:leader="none" w:pos="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9" w:lineRule="exact"/>
        <w:rPr>
          <w:rFonts w:ascii="Courier New" w:cs="Courier New" w:eastAsia="Courier New" w:hAnsi="Courier New"/>
          <w:sz w:val="15"/>
          <w:szCs w:val="15"/>
          <w:color w:val="auto"/>
        </w:rPr>
      </w:pPr>
    </w:p>
    <w:p>
      <w:pPr>
        <w:ind w:left="547" w:right="295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80" w:lineRule="exact"/>
        <w:rPr>
          <w:rFonts w:ascii="Courier New" w:cs="Courier New" w:eastAsia="Courier New" w:hAnsi="Courier New"/>
          <w:sz w:val="15"/>
          <w:szCs w:val="15"/>
          <w:color w:val="auto"/>
        </w:rPr>
      </w:pPr>
    </w:p>
    <w:p>
      <w:pPr>
        <w:ind w:left="547" w:right="295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fiscal 2003, the fifth year of the agreement, the annual payments to Monsanto increased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88" w:lineRule="exact"/>
        <w:rPr>
          <w:rFonts w:ascii="Courier New" w:cs="Courier New" w:eastAsia="Courier New" w:hAnsi="Courier New"/>
          <w:sz w:val="15"/>
          <w:szCs w:val="15"/>
          <w:color w:val="auto"/>
        </w:rPr>
      </w:pPr>
    </w:p>
    <w:p>
      <w:pPr>
        <w:ind w:left="54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440" w:right="1440" w:bottom="0" w:gutter="0" w:footer="0" w:header="0"/>
        </w:sectPr>
      </w:pPr>
    </w:p>
    <w:bookmarkStart w:id="8" w:name="page9"/>
    <w:bookmarkEnd w:id="8"/>
    <w:p>
      <w:pPr>
        <w:ind w:left="547" w:right="2959"/>
        <w:spacing w:after="0" w:line="254" w:lineRule="auto"/>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84" w:lineRule="exact"/>
        <w:rPr>
          <w:sz w:val="20"/>
          <w:szCs w:val="20"/>
          <w:color w:val="auto"/>
        </w:rPr>
      </w:pPr>
    </w:p>
    <w:p>
      <w:pPr>
        <w:ind w:left="547" w:right="3039"/>
        <w:spacing w:after="0" w:line="267"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75" w:lineRule="exact"/>
        <w:rPr>
          <w:sz w:val="20"/>
          <w:szCs w:val="20"/>
          <w:color w:val="auto"/>
        </w:rPr>
      </w:pPr>
    </w:p>
    <w:p>
      <w:pPr>
        <w:ind w:left="547" w:right="2959"/>
        <w:spacing w:after="0" w:line="260"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March 27, 2004, contribution payments and related per annum charges of approximately $48.7 million had been deferred under the agreement. This amount is considered a contingent obligation and has not been reflected in the financial statements as of and for the quarter then ended.</w:t>
      </w:r>
    </w:p>
    <w:p>
      <w:pPr>
        <w:spacing w:after="0" w:line="82" w:lineRule="exact"/>
        <w:rPr>
          <w:sz w:val="20"/>
          <w:szCs w:val="20"/>
          <w:color w:val="auto"/>
        </w:rPr>
      </w:pPr>
    </w:p>
    <w:p>
      <w:pPr>
        <w:ind w:left="547" w:right="3219"/>
        <w:spacing w:after="0" w:line="307"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47" w:lineRule="exact"/>
        <w:rPr>
          <w:sz w:val="20"/>
          <w:szCs w:val="20"/>
          <w:color w:val="auto"/>
        </w:rPr>
      </w:pPr>
    </w:p>
    <w:p>
      <w:pPr>
        <w:ind w:left="547" w:right="2959"/>
        <w:spacing w:after="0" w:line="254" w:lineRule="auto"/>
        <w:rPr>
          <w:sz w:val="20"/>
          <w:szCs w:val="20"/>
          <w:color w:val="auto"/>
        </w:rPr>
      </w:pPr>
      <w:r>
        <w:rPr>
          <w:rFonts w:ascii="Courier New" w:cs="Courier New" w:eastAsia="Courier New" w:hAnsi="Courier New"/>
          <w:sz w:val="15"/>
          <w:szCs w:val="15"/>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94" w:lineRule="exact"/>
        <w:rPr>
          <w:sz w:val="20"/>
          <w:szCs w:val="20"/>
          <w:color w:val="auto"/>
        </w:rPr>
      </w:pPr>
    </w:p>
    <w:p>
      <w:pPr>
        <w:ind w:left="547" w:right="2959"/>
        <w:spacing w:after="0" w:line="267"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75" w:lineRule="exact"/>
        <w:rPr>
          <w:sz w:val="20"/>
          <w:szCs w:val="20"/>
          <w:color w:val="auto"/>
        </w:rPr>
      </w:pPr>
    </w:p>
    <w:p>
      <w:pPr>
        <w:ind w:left="547" w:right="6859" w:hanging="547"/>
        <w:spacing w:after="0" w:line="493" w:lineRule="auto"/>
        <w:tabs>
          <w:tab w:leader="none" w:pos="5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FISCAL 2004 CHARGES</w:t>
      </w:r>
    </w:p>
    <w:p>
      <w:pPr>
        <w:spacing w:after="0" w:line="1" w:lineRule="exact"/>
        <w:rPr>
          <w:rFonts w:ascii="Courier New" w:cs="Courier New" w:eastAsia="Courier New" w:hAnsi="Courier New"/>
          <w:sz w:val="15"/>
          <w:szCs w:val="15"/>
          <w:color w:val="auto"/>
        </w:rPr>
      </w:pPr>
    </w:p>
    <w:p>
      <w:pPr>
        <w:ind w:left="547"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and six month periods ended March 27, 2004, the Company recorded $0.4 million and $1.4 million of restructuring and other charges, respectively. These charges, related to our North American distribution restructuring and our International Profit Improvement Plan, were included in cost of sales and selling, general and administrative costs in the amounts of $0.7 million and $0.7 million, respectively, for the six months ended March 27, 2004.</w:t>
      </w:r>
    </w:p>
    <w:p>
      <w:pPr>
        <w:spacing w:after="0" w:line="7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2003 CHARGES</w:t>
      </w:r>
    </w:p>
    <w:p>
      <w:pPr>
        <w:spacing w:after="0" w:line="179" w:lineRule="exact"/>
        <w:rPr>
          <w:rFonts w:ascii="Courier New" w:cs="Courier New" w:eastAsia="Courier New" w:hAnsi="Courier New"/>
          <w:sz w:val="15"/>
          <w:szCs w:val="15"/>
          <w:color w:val="auto"/>
        </w:rPr>
      </w:pPr>
    </w:p>
    <w:p>
      <w:pPr>
        <w:ind w:left="547" w:right="295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and six month periods ended March 29, 2003, the Company recorded $3.1 million and $9.4 million of restructuring and other charges, respectively.</w:t>
      </w:r>
    </w:p>
    <w:p>
      <w:pPr>
        <w:spacing w:after="0" w:line="47" w:lineRule="exact"/>
        <w:rPr>
          <w:sz w:val="20"/>
          <w:szCs w:val="20"/>
          <w:color w:val="auto"/>
        </w:rPr>
      </w:pPr>
    </w:p>
    <w:p>
      <w:pPr>
        <w:ind w:left="547" w:right="3039"/>
        <w:spacing w:after="0" w:line="368" w:lineRule="auto"/>
        <w:rPr>
          <w:sz w:val="20"/>
          <w:szCs w:val="20"/>
          <w:color w:val="auto"/>
        </w:rPr>
      </w:pPr>
      <w:r>
        <w:rPr>
          <w:rFonts w:ascii="Courier New" w:cs="Courier New" w:eastAsia="Courier New" w:hAnsi="Courier New"/>
          <w:sz w:val="15"/>
          <w:szCs w:val="15"/>
          <w:color w:val="auto"/>
        </w:rPr>
        <w:t>During the entire fiscal year 2003, the Company recorded $17.1 million of restructuring and other charges.</w:t>
      </w:r>
    </w:p>
    <w:p>
      <w:pPr>
        <w:spacing w:after="0" w:line="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440" w:right="1440" w:bottom="284" w:gutter="0" w:footer="0" w:header="0"/>
        </w:sectPr>
      </w:pPr>
    </w:p>
    <w:bookmarkStart w:id="9" w:name="page10"/>
    <w:bookmarkEnd w:id="9"/>
    <w:p>
      <w:pPr>
        <w:ind w:left="547" w:right="640"/>
        <w:spacing w:after="0" w:line="260" w:lineRule="auto"/>
        <w:rPr>
          <w:sz w:val="20"/>
          <w:szCs w:val="20"/>
          <w:color w:val="auto"/>
        </w:rPr>
      </w:pPr>
      <w:r>
        <w:rPr>
          <w:rFonts w:ascii="Courier New" w:cs="Courier New" w:eastAsia="Courier New" w:hAnsi="Courier New"/>
          <w:sz w:val="15"/>
          <w:szCs w:val="15"/>
          <w:color w:val="auto"/>
        </w:rPr>
        <w:t>Costs of $5.3 million for warehouse lease buyouts and relocation of inventory associated with exiting certain warehouses in North America, as part of improvements to the North American supply chain, and $3.8 million related to a plan to optimize our international supply chain were included in cost of sales. Severance and consulting costs of $5.3 million for the continued European integration efforts that began in the forth quarter of fiscal 2002, and $2.7 million of administrative facility exit costs in North America were charged to selling, general and administrative expense. The severance costs incurred in fiscal 2003 were related to the reduction of 78 administrative and production employees.</w:t>
      </w:r>
    </w:p>
    <w:p>
      <w:pPr>
        <w:spacing w:after="0" w:line="82" w:lineRule="exact"/>
        <w:rPr>
          <w:sz w:val="20"/>
          <w:szCs w:val="20"/>
          <w:color w:val="auto"/>
        </w:rPr>
      </w:pPr>
    </w:p>
    <w:p>
      <w:pPr>
        <w:ind w:left="547" w:right="640"/>
        <w:spacing w:after="0" w:line="277" w:lineRule="auto"/>
        <w:rPr>
          <w:sz w:val="20"/>
          <w:szCs w:val="20"/>
          <w:color w:val="auto"/>
        </w:rPr>
      </w:pPr>
      <w:r>
        <w:rPr>
          <w:rFonts w:ascii="Courier New" w:cs="Courier New" w:eastAsia="Courier New" w:hAnsi="Courier New"/>
          <w:sz w:val="15"/>
          <w:szCs w:val="15"/>
          <w:color w:val="auto"/>
        </w:rPr>
        <w:t>The following is a rollforward from September 30, 2003 of the cash portion of the restructuring and other charges. The accrued charges are included in accrued liabilities on the Condensed, Consolidated Balance Sheets. We expect spending against these reserves to be completed by the end of fiscal year 2005.</w:t>
      </w:r>
    </w:p>
    <w:p>
      <w:pPr>
        <w:spacing w:after="0" w:line="200" w:lineRule="exact"/>
        <w:rPr>
          <w:sz w:val="20"/>
          <w:szCs w:val="20"/>
          <w:color w:val="auto"/>
        </w:rPr>
      </w:pPr>
    </w:p>
    <w:p>
      <w:pPr>
        <w:spacing w:after="0" w:line="39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SEPTEMBER 30,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2003</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vMerge w:val="restart"/>
          </w:tcPr>
          <w:p>
            <w:pPr>
              <w:jc w:val="center"/>
              <w:ind w:right="144"/>
              <w:spacing w:after="0"/>
              <w:rPr>
                <w:sz w:val="20"/>
                <w:szCs w:val="20"/>
                <w:color w:val="auto"/>
              </w:rPr>
            </w:pPr>
            <w:r>
              <w:rPr>
                <w:rFonts w:ascii="Courier New" w:cs="Courier New" w:eastAsia="Courier New" w:hAnsi="Courier New"/>
                <w:sz w:val="15"/>
                <w:szCs w:val="15"/>
                <w:color w:val="auto"/>
              </w:rPr>
              <w:t>DESCRIPTION</w:t>
            </w:r>
          </w:p>
        </w:tc>
        <w:tc>
          <w:tcPr>
            <w:tcW w:w="74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TYPE</w:t>
            </w:r>
          </w:p>
        </w:tc>
        <w:tc>
          <w:tcPr>
            <w:tcW w:w="15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CLASSIFICATION</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5"/>
              </w:rPr>
              <w:t>PAYMENT</w:t>
            </w: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ACCRUAL</w:t>
            </w:r>
          </w:p>
        </w:tc>
        <w:tc>
          <w:tcPr>
            <w:tcW w:w="0" w:type="dxa"/>
            <w:vAlign w:val="bottom"/>
          </w:tcPr>
          <w:p>
            <w:pPr>
              <w:spacing w:after="0"/>
              <w:rPr>
                <w:sz w:val="1"/>
                <w:szCs w:val="1"/>
                <w:color w:val="auto"/>
              </w:rPr>
            </w:pPr>
          </w:p>
        </w:tc>
      </w:tr>
      <w:tr>
        <w:trPr>
          <w:trHeight w:val="175"/>
        </w:trPr>
        <w:tc>
          <w:tcPr>
            <w:tcW w:w="19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BALANCE</w:t>
            </w: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w:t>
            </w:r>
          </w:p>
        </w:tc>
        <w:tc>
          <w:tcPr>
            <w:tcW w:w="240" w:type="dxa"/>
            <w:vAlign w:val="bottom"/>
          </w:tcPr>
          <w:p>
            <w:pPr>
              <w:spacing w:after="0"/>
              <w:rPr>
                <w:sz w:val="15"/>
                <w:szCs w:val="15"/>
                <w:color w:val="auto"/>
              </w:rPr>
            </w:pP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5"/>
              </w:rPr>
              <w:t>-------</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2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 MILLIONS)</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740" w:type="dxa"/>
            <w:vAlign w:val="bottom"/>
          </w:tcPr>
          <w:p>
            <w:pPr>
              <w:ind w:left="240"/>
              <w:spacing w:after="0"/>
              <w:rPr>
                <w:sz w:val="20"/>
                <w:szCs w:val="20"/>
                <w:color w:val="auto"/>
              </w:rPr>
            </w:pPr>
            <w:r>
              <w:rPr>
                <w:rFonts w:ascii="Courier New" w:cs="Courier New" w:eastAsia="Courier New" w:hAnsi="Courier New"/>
                <w:sz w:val="15"/>
                <w:szCs w:val="15"/>
                <w:color w:val="auto"/>
              </w:rPr>
              <w:t>Cash</w:t>
            </w:r>
          </w:p>
        </w:tc>
        <w:tc>
          <w:tcPr>
            <w:tcW w:w="1580" w:type="dxa"/>
            <w:vAlign w:val="bottom"/>
          </w:tcPr>
          <w:p>
            <w:pPr>
              <w:ind w:left="500"/>
              <w:spacing w:after="0"/>
              <w:rPr>
                <w:sz w:val="20"/>
                <w:szCs w:val="20"/>
                <w:color w:val="auto"/>
              </w:rPr>
            </w:pPr>
            <w:r>
              <w:rPr>
                <w:rFonts w:ascii="Courier New" w:cs="Courier New" w:eastAsia="Courier New" w:hAnsi="Courier New"/>
                <w:sz w:val="15"/>
                <w:szCs w:val="15"/>
                <w:color w:val="auto"/>
              </w:rPr>
              <w:t>SG&amp;A</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5"/>
        </w:trPr>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Facility exit costs</w:t>
            </w:r>
          </w:p>
        </w:tc>
        <w:tc>
          <w:tcPr>
            <w:tcW w:w="740" w:type="dxa"/>
            <w:vAlign w:val="bottom"/>
          </w:tcPr>
          <w:p>
            <w:pPr>
              <w:ind w:left="240"/>
              <w:spacing w:after="0"/>
              <w:rPr>
                <w:sz w:val="20"/>
                <w:szCs w:val="20"/>
                <w:color w:val="auto"/>
              </w:rPr>
            </w:pPr>
            <w:r>
              <w:rPr>
                <w:rFonts w:ascii="Courier New" w:cs="Courier New" w:eastAsia="Courier New" w:hAnsi="Courier New"/>
                <w:sz w:val="15"/>
                <w:szCs w:val="15"/>
                <w:color w:val="auto"/>
              </w:rPr>
              <w:t>Cash</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SG&amp;A and COS</w:t>
            </w:r>
          </w:p>
        </w:tc>
        <w:tc>
          <w:tcPr>
            <w:tcW w:w="46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0.9</w:t>
            </w:r>
          </w:p>
        </w:tc>
        <w:tc>
          <w:tcPr>
            <w:tcW w:w="24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5"/>
        </w:trPr>
        <w:tc>
          <w:tcPr>
            <w:tcW w:w="19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Other related costs</w:t>
            </w:r>
          </w:p>
        </w:tc>
        <w:tc>
          <w:tcPr>
            <w:tcW w:w="740" w:type="dxa"/>
            <w:vAlign w:val="bottom"/>
          </w:tcPr>
          <w:p>
            <w:pPr>
              <w:ind w:left="240"/>
              <w:spacing w:after="0"/>
              <w:rPr>
                <w:sz w:val="20"/>
                <w:szCs w:val="20"/>
                <w:color w:val="auto"/>
              </w:rPr>
            </w:pPr>
            <w:r>
              <w:rPr>
                <w:rFonts w:ascii="Courier New" w:cs="Courier New" w:eastAsia="Courier New" w:hAnsi="Courier New"/>
                <w:sz w:val="15"/>
                <w:szCs w:val="15"/>
                <w:color w:val="auto"/>
              </w:rPr>
              <w:t>Cash</w:t>
            </w:r>
          </w:p>
        </w:tc>
        <w:tc>
          <w:tcPr>
            <w:tcW w:w="1580" w:type="dxa"/>
            <w:vAlign w:val="bottom"/>
          </w:tcPr>
          <w:p>
            <w:pPr>
              <w:ind w:left="500"/>
              <w:spacing w:after="0"/>
              <w:rPr>
                <w:sz w:val="20"/>
                <w:szCs w:val="20"/>
                <w:color w:val="auto"/>
              </w:rPr>
            </w:pPr>
            <w:r>
              <w:rPr>
                <w:rFonts w:ascii="Courier New" w:cs="Courier New" w:eastAsia="Courier New" w:hAnsi="Courier New"/>
                <w:sz w:val="15"/>
                <w:szCs w:val="15"/>
                <w:color w:val="auto"/>
              </w:rPr>
              <w:t>SG&amp;A</w:t>
            </w:r>
          </w:p>
        </w:tc>
        <w:tc>
          <w:tcPr>
            <w:tcW w:w="46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w:t>
            </w:r>
          </w:p>
        </w:tc>
        <w:tc>
          <w:tcPr>
            <w:tcW w:w="24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5"/>
        </w:trPr>
        <w:tc>
          <w:tcPr>
            <w:tcW w:w="19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cash</w:t>
            </w: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9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47" w:hanging="547"/>
        <w:spacing w:after="0"/>
        <w:tabs>
          <w:tab w:leader="none" w:pos="5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200" w:lineRule="exact"/>
        <w:rPr>
          <w:sz w:val="20"/>
          <w:szCs w:val="20"/>
          <w:color w:val="auto"/>
        </w:rPr>
      </w:pPr>
    </w:p>
    <w:p>
      <w:pPr>
        <w:spacing w:after="0" w:line="329" w:lineRule="exact"/>
        <w:rPr>
          <w:sz w:val="20"/>
          <w:szCs w:val="20"/>
          <w:color w:val="auto"/>
        </w:rPr>
      </w:pPr>
    </w:p>
    <w:tbl>
      <w:tblPr>
        <w:tblLayout w:type="fixed"/>
        <w:tblInd w:w="367"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27,</w:t>
            </w:r>
          </w:p>
        </w:tc>
        <w:tc>
          <w:tcPr>
            <w:tcW w:w="1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29,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MILLIONS)</w:t>
            </w: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0"/>
                <w:szCs w:val="20"/>
                <w:color w:val="auto"/>
              </w:rPr>
            </w:pPr>
            <w:r>
              <w:rPr>
                <w:rFonts w:ascii="Courier New" w:cs="Courier New" w:eastAsia="Courier New" w:hAnsi="Courier New"/>
                <w:sz w:val="15"/>
                <w:szCs w:val="15"/>
                <w:color w:val="auto"/>
              </w:rPr>
              <w:t>Former Credit Agreement:</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372.0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Revolving loans ....................</w:t>
            </w:r>
          </w:p>
        </w:tc>
        <w:tc>
          <w:tcPr>
            <w:tcW w:w="3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Term loans .........................</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347.9</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326.5</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New Credit Agreement:</w:t>
            </w:r>
          </w:p>
        </w:tc>
        <w:tc>
          <w:tcPr>
            <w:tcW w:w="32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323.2</w:t>
            </w:r>
          </w:p>
        </w:tc>
        <w:tc>
          <w:tcPr>
            <w:tcW w:w="36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Revolving loans ....................</w:t>
            </w: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Term loans .........................</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Senior Subordinated Notes:</w:t>
            </w:r>
          </w:p>
        </w:tc>
        <w:tc>
          <w:tcPr>
            <w:tcW w:w="32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392.5</w:t>
            </w:r>
          </w:p>
        </w:tc>
        <w:tc>
          <w:tcPr>
            <w:tcW w:w="360" w:type="dxa"/>
            <w:vAlign w:val="bottom"/>
          </w:tcPr>
          <w:p>
            <w:pPr>
              <w:spacing w:after="0"/>
              <w:rPr>
                <w:sz w:val="15"/>
                <w:szCs w:val="15"/>
                <w:color w:val="auto"/>
              </w:rPr>
            </w:pP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393.1</w:t>
            </w: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 5/8% Notes .......................</w:t>
            </w: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 5/8% Notes .......................</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Notes due to sellers .................</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23.7</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Foreign bank borrowings and term loans</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5"/>
        </w:trPr>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Capital lease obligations and other ..</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82"/>
              </w:rPr>
              <w:t>--------</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1,067.6</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Less current portions ................</w:t>
            </w: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1,160.7</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757.6</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287.7</w:t>
            </w:r>
          </w:p>
        </w:tc>
        <w:tc>
          <w:tcPr>
            <w:tcW w:w="36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55.4</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32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1,039.9</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702.2</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47" w:right="640"/>
        <w:spacing w:after="0" w:line="254" w:lineRule="auto"/>
        <w:rPr>
          <w:sz w:val="20"/>
          <w:szCs w:val="20"/>
          <w:color w:val="auto"/>
        </w:rPr>
      </w:pPr>
      <w:r>
        <w:rPr>
          <w:rFonts w:ascii="Courier New" w:cs="Courier New" w:eastAsia="Courier New" w:hAnsi="Courier New"/>
          <w:sz w:val="15"/>
          <w:szCs w:val="15"/>
          <w:color w:val="auto"/>
        </w:rPr>
        <w:t>In October 2003, the Company substantially completed a refinancing of the former Credit Agreement ("Credit Agreement") and its $400 million 8 5/8% Senior Subordinated Notes ("8 5/8% Notes") in a series of transactions. On October 8, 2003, the Company issued $200 million of 6 5/8% Senior Subordinated Notes due November 15, 2013 ("6 5/8% Notes"). On October 21, 2003, substantially all of the outstanding 8 5/8% Notes were tendered, with the remainder being called on January 15, 2004. Finally, on October 22, 2003, the Company consummated a series of transactions which included the repayment of the term loans outstanding under the former Credit Agreement, the termination of the Credit Agreement, the execution of the Second Amended and Restated Credit Agreement ("New Credit Agreement"), and the borrowing of $500 million in the form of term loans under the New Credit Agreement. The cost recognized in the first half of fiscal 2004 on the extinguishment of the former Credit Agreement and retirement of the 8 5/8% Notes was $44.3 million, of which $19.4 million related to the write-off of deferred costs, $24.0 million related to premiums paid on the redemption of the 8 5/8% Notes and $0.9 million related to transaction fees.</w:t>
      </w:r>
    </w:p>
    <w:p>
      <w:pPr>
        <w:spacing w:after="0" w:line="84"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The New Credit Agreement was entered into with a syndicate of commercial</w:t>
      </w:r>
    </w:p>
    <w:p>
      <w:pPr>
        <w:spacing w:after="0" w:line="33"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banks and institutional lenders. The New Credit Agreement consists of a</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$700 million multi-currency revolving credit commitment and a $500 million</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term loan B facility. Financial covenants consist of a minimum interest</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coverage ratio and a maximum leverage ratio. There also are negative</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covenants similar to those in the former Credit Agreement. All such</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covenants are less restrictive than those contained in the former Credit</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Agreement. Collateral for the borrowings under the New Credit Agreement</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consists of pledges by the Company and all of its domestic subsidiaries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27,</w:t>
      </w:r>
    </w:p>
    <w:p>
      <w:pPr>
        <w:spacing w:after="0" w:line="33"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2004</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BALANCE</w:t>
      </w:r>
    </w:p>
    <w:p>
      <w:pPr>
        <w:spacing w:after="0" w:line="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446" w:hanging="446"/>
        <w:spacing w:after="0"/>
        <w:tabs>
          <w:tab w:leader="none" w:pos="44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w:t>
      </w:r>
    </w:p>
    <w:p>
      <w:pPr>
        <w:spacing w:after="0" w:line="32" w:lineRule="exact"/>
        <w:rPr>
          <w:rFonts w:ascii="Courier New" w:cs="Courier New" w:eastAsia="Courier New" w:hAnsi="Courier New"/>
          <w:sz w:val="15"/>
          <w:szCs w:val="15"/>
          <w:color w:val="auto"/>
        </w:rPr>
      </w:pPr>
    </w:p>
    <w:p>
      <w:pPr>
        <w:ind w:left="4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p>
    <w:p>
      <w:pPr>
        <w:spacing w:after="0" w:line="4"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6" w:hanging="446"/>
        <w:spacing w:after="0"/>
        <w:tabs>
          <w:tab w:leader="none" w:pos="44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w:t>
      </w:r>
    </w:p>
    <w:p>
      <w:pPr>
        <w:spacing w:after="0" w:line="4"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907" w:space="454"/>
            <w:col w:w="1865"/>
          </w:cols>
          <w:pgMar w:left="233" w:top="440" w:right="1440" w:bottom="0" w:gutter="0" w:footer="0" w:header="0"/>
        </w:sectPr>
      </w:pPr>
    </w:p>
    <w:bookmarkStart w:id="10" w:name="page11"/>
    <w:bookmarkEnd w:id="10"/>
    <w:p>
      <w:pPr>
        <w:ind w:right="3039"/>
        <w:spacing w:after="0" w:line="287" w:lineRule="auto"/>
        <w:rPr>
          <w:sz w:val="20"/>
          <w:szCs w:val="20"/>
          <w:color w:val="auto"/>
        </w:rPr>
      </w:pPr>
      <w:r>
        <w:rPr>
          <w:rFonts w:ascii="Courier New" w:cs="Courier New" w:eastAsia="Courier New" w:hAnsi="Courier New"/>
          <w:sz w:val="15"/>
          <w:szCs w:val="15"/>
          <w:color w:val="auto"/>
        </w:rPr>
        <w:t>substantially all of their personal, real and intellectual property assets. The Company and its subsidiaries also pledged a majority of the stock in foreign subsidiaries that borrow under the New Credit Agreement. At March 27, 2004, the</w:t>
      </w:r>
    </w:p>
    <w:p>
      <w:pPr>
        <w:spacing w:after="0" w:line="6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679"/>
          </w:cols>
          <w:pgMar w:left="780" w:top="113" w:right="1440" w:bottom="1440" w:gutter="0" w:footer="0" w:header="0"/>
        </w:sectPr>
      </w:pPr>
    </w:p>
    <w:bookmarkStart w:id="11" w:name="page12"/>
    <w:bookmarkEnd w:id="11"/>
    <w:p>
      <w:pPr>
        <w:ind w:left="547" w:right="3039"/>
        <w:spacing w:after="0" w:line="287" w:lineRule="auto"/>
        <w:rPr>
          <w:sz w:val="20"/>
          <w:szCs w:val="20"/>
          <w:color w:val="auto"/>
        </w:rPr>
      </w:pPr>
      <w:r>
        <w:rPr>
          <w:rFonts w:ascii="Courier New" w:cs="Courier New" w:eastAsia="Courier New" w:hAnsi="Courier New"/>
          <w:sz w:val="15"/>
          <w:szCs w:val="15"/>
          <w:color w:val="auto"/>
        </w:rPr>
        <w:t>Company is in compliance with all applicable covenants. Financing costs approximating $7.1 million incurred in conjunction with the New Credit Agreement have been deferred and are being amortized over the term of the New Credit Agreement.</w:t>
      </w:r>
    </w:p>
    <w:p>
      <w:pPr>
        <w:spacing w:after="0" w:line="61" w:lineRule="exact"/>
        <w:rPr>
          <w:sz w:val="20"/>
          <w:szCs w:val="20"/>
          <w:color w:val="auto"/>
        </w:rPr>
      </w:pPr>
    </w:p>
    <w:p>
      <w:pPr>
        <w:jc w:val="both"/>
        <w:ind w:left="547" w:right="2959"/>
        <w:spacing w:after="0" w:line="260" w:lineRule="auto"/>
        <w:rPr>
          <w:sz w:val="20"/>
          <w:szCs w:val="20"/>
          <w:color w:val="auto"/>
        </w:rPr>
      </w:pPr>
      <w:r>
        <w:rPr>
          <w:rFonts w:ascii="Courier New" w:cs="Courier New" w:eastAsia="Courier New" w:hAnsi="Courier New"/>
          <w:sz w:val="15"/>
          <w:szCs w:val="15"/>
          <w:color w:val="auto"/>
        </w:rPr>
        <w:t>The revolving credit facilities under the New Credit Agreement provide for a $700 million commitment, which can be increased to $750 million based on the borrowing requirements of the Company, expiring on October 22, 2008.</w:t>
      </w:r>
    </w:p>
    <w:p>
      <w:pPr>
        <w:ind w:left="547" w:right="2959"/>
        <w:spacing w:after="0" w:line="258" w:lineRule="auto"/>
        <w:rPr>
          <w:sz w:val="20"/>
          <w:szCs w:val="20"/>
          <w:color w:val="auto"/>
        </w:rPr>
      </w:pPr>
      <w:r>
        <w:rPr>
          <w:rFonts w:ascii="Courier New" w:cs="Courier New" w:eastAsia="Courier New" w:hAnsi="Courier New"/>
          <w:sz w:val="15"/>
          <w:szCs w:val="15"/>
          <w:color w:val="auto"/>
        </w:rPr>
        <w:t>Borrowings may be made in U.S. Dollars and optional currencies including, but not limited to, Euros, British Pounds Sterling, Canadian Dollars and Australian Dollars. The revolving credit facilities provide that up to $65 million of the $700 million commitment may be used for letters of credit. Interest rate spreads under the New Credit Agreement will be determined by a pricing grid corresponding to a quarterly calculation of the Company's leverage ratio comprised of averaged components for the most recent four quarters.</w:t>
      </w:r>
    </w:p>
    <w:p>
      <w:pPr>
        <w:spacing w:after="0" w:line="84" w:lineRule="exact"/>
        <w:rPr>
          <w:sz w:val="20"/>
          <w:szCs w:val="20"/>
          <w:color w:val="auto"/>
        </w:rPr>
      </w:pPr>
    </w:p>
    <w:p>
      <w:pPr>
        <w:ind w:left="547" w:right="2959"/>
        <w:spacing w:after="0" w:line="256" w:lineRule="auto"/>
        <w:rPr>
          <w:sz w:val="20"/>
          <w:szCs w:val="20"/>
          <w:color w:val="auto"/>
        </w:rPr>
      </w:pPr>
      <w:r>
        <w:rPr>
          <w:rFonts w:ascii="Courier New" w:cs="Courier New" w:eastAsia="Courier New" w:hAnsi="Courier New"/>
          <w:sz w:val="15"/>
          <w:szCs w:val="15"/>
          <w:color w:val="auto"/>
        </w:rPr>
        <w:t>The $500 million term loan B facility expires on September 30, 2010. Repayment of the term loan B commenced on March 31, 2004 with minimum quarterly principal payments of $500,000 through June 30, 2010 followed by a balloon maturity on September 30, 2010. The term loans carry a variable interest rate based on prime or LIBOR at the Company's election (currently LIBOR) plus a spread. The Company entered into interest rate swap agreements with major financial institutions to effectively convert a portion of the variable rate term loans to a fixed rate. The notional amount and the terms of the swap agreements vary. At March 27, 2004, swap agreements with a total notional amount of $175 million were in effect. Under the terms of these swap agreements, the Company pays fixed rates ranging from 2.76% to 3.77%, plus a spread based on the pricing grid contained in the New Credit Agreement, and receives payments based on three-month LIBOR in return.</w:t>
      </w:r>
    </w:p>
    <w:p>
      <w:pPr>
        <w:spacing w:after="0" w:line="84" w:lineRule="exact"/>
        <w:rPr>
          <w:sz w:val="20"/>
          <w:szCs w:val="20"/>
          <w:color w:val="auto"/>
        </w:rPr>
      </w:pPr>
    </w:p>
    <w:p>
      <w:pPr>
        <w:ind w:left="547" w:right="2959"/>
        <w:spacing w:after="0" w:line="254" w:lineRule="auto"/>
        <w:rPr>
          <w:sz w:val="20"/>
          <w:szCs w:val="20"/>
          <w:color w:val="auto"/>
        </w:rPr>
      </w:pPr>
      <w:r>
        <w:rPr>
          <w:rFonts w:ascii="Courier New" w:cs="Courier New" w:eastAsia="Courier New" w:hAnsi="Courier New"/>
          <w:sz w:val="15"/>
          <w:szCs w:val="15"/>
          <w:color w:val="auto"/>
        </w:rPr>
        <w:t>The 6 5/8% Notes were issued in accordance with Rule 144A and Regulation S under the Securities Act of 1933. The 6 5/8% Notes were sold at par, pay interest semi-annually on May 15 and November 15, have a ten-year maturity with a five-year no-call provision, and are guaranteed by certain current and future domestic restricted subsidiaries of the Company (see Note 13). Such guarantees are unsecured senior subordinated obligations of the Company. The covenants contained in the 6 5/8% Notes indenture are less restrictive than those contained in the 8 5/8% Notes indenture. Financing costs approximating $4.4 million incurred with the issuance of the 6 5/8% Notes have been deferred and are being amortized over the term of the Notes. On May 7, 2004, the Company commenced an offer to exchange its 6 5/8% Notes for an equal principal amount of its 6 5/8% notes which have been registered under the Securities Act of 1933, as amended. The terms of the 6 5/8% notes issued in the exchange offer will be substantially identical to the original 6 5/8% Notes, except that the original 6 5/8% Notes contain transfer restrictions and registration rights that the 6 5/8% notes issued in the exchange offer will not contain.</w:t>
      </w:r>
    </w:p>
    <w:p>
      <w:pPr>
        <w:spacing w:after="0" w:line="89" w:lineRule="exact"/>
        <w:rPr>
          <w:sz w:val="20"/>
          <w:szCs w:val="20"/>
          <w:color w:val="auto"/>
        </w:rPr>
      </w:pPr>
    </w:p>
    <w:p>
      <w:pPr>
        <w:ind w:left="547" w:right="3039"/>
        <w:spacing w:after="0" w:line="267" w:lineRule="auto"/>
        <w:rPr>
          <w:sz w:val="20"/>
          <w:szCs w:val="20"/>
          <w:color w:val="auto"/>
        </w:rPr>
      </w:pPr>
      <w:r>
        <w:rPr>
          <w:rFonts w:ascii="Courier New" w:cs="Courier New" w:eastAsia="Courier New" w:hAnsi="Courier New"/>
          <w:sz w:val="15"/>
          <w:szCs w:val="15"/>
          <w:color w:val="auto"/>
        </w:rPr>
        <w:t>The Company called the 8 5/8% Notes at 106.05% per $1,000 Note resulting in a principal tendered amount of $386.8 million on October 21, 2003. The Company redeemed the remaining $13.2 million of 8 5/8% Notes, that were not tendered, on the first call date of January 15, 2004 at 104.313% per $1,000 Note plus accrued interest. Additional costs of $0.6 million were recognized in conjunction with the redemption during the three month period ended March 27, 2004.</w:t>
      </w:r>
    </w:p>
    <w:p>
      <w:pPr>
        <w:spacing w:after="0" w:line="75" w:lineRule="exact"/>
        <w:rPr>
          <w:sz w:val="20"/>
          <w:szCs w:val="20"/>
          <w:color w:val="auto"/>
        </w:rPr>
      </w:pPr>
    </w:p>
    <w:p>
      <w:pPr>
        <w:ind w:left="547" w:hanging="547"/>
        <w:spacing w:after="0"/>
        <w:tabs>
          <w:tab w:leader="none" w:pos="5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79" w:lineRule="exact"/>
        <w:rPr>
          <w:rFonts w:ascii="Courier New" w:cs="Courier New" w:eastAsia="Courier New" w:hAnsi="Courier New"/>
          <w:sz w:val="15"/>
          <w:szCs w:val="15"/>
          <w:color w:val="auto"/>
        </w:rPr>
      </w:pPr>
    </w:p>
    <w:p>
      <w:pPr>
        <w:ind w:left="547" w:right="30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other comprehensive income and total comprehensive income for the three and six month periods ended March 27, 2004 and March 28, 2003, are as follows:</w:t>
      </w:r>
    </w:p>
    <w:p>
      <w:pPr>
        <w:spacing w:after="0" w:line="397"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w w:val="99"/>
              </w:rPr>
              <w:t>THREE MONTHS ENDED</w:t>
            </w:r>
          </w:p>
        </w:tc>
        <w:tc>
          <w:tcPr>
            <w:tcW w:w="3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SIX MONTHS</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80" w:type="dxa"/>
            <w:vAlign w:val="bottom"/>
            <w:gridSpan w:val="2"/>
            <w:vMerge w:val="restart"/>
          </w:tcPr>
          <w:p>
            <w:pPr>
              <w:jc w:val="right"/>
              <w:spacing w:after="0"/>
              <w:rPr>
                <w:sz w:val="20"/>
                <w:szCs w:val="20"/>
                <w:color w:val="auto"/>
              </w:rPr>
            </w:pPr>
            <w:r>
              <w:rPr>
                <w:rFonts w:ascii="Courier New" w:cs="Courier New" w:eastAsia="Courier New" w:hAnsi="Courier New"/>
                <w:sz w:val="22"/>
                <w:szCs w:val="22"/>
                <w:color w:val="auto"/>
                <w:w w:val="72"/>
                <w:vertAlign w:val="subscript"/>
              </w:rPr>
              <w:t>MARCH</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27,</w:t>
            </w:r>
          </w:p>
        </w:tc>
        <w:tc>
          <w:tcPr>
            <w:tcW w:w="10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MARCH 29,</w:t>
            </w:r>
          </w:p>
        </w:tc>
        <w:tc>
          <w:tcPr>
            <w:tcW w:w="320" w:type="dxa"/>
            <w:vAlign w:val="bottom"/>
          </w:tcPr>
          <w:p>
            <w:pPr>
              <w:spacing w:after="0"/>
              <w:rPr>
                <w:sz w:val="15"/>
                <w:szCs w:val="15"/>
                <w:color w:val="auto"/>
              </w:rPr>
            </w:pPr>
          </w:p>
        </w:tc>
        <w:tc>
          <w:tcPr>
            <w:tcW w:w="19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MARCH 27,</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MARCH 29,</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4"/>
              </w:rPr>
              <w:t>2004</w:t>
            </w:r>
          </w:p>
        </w:tc>
        <w:tc>
          <w:tcPr>
            <w:tcW w:w="14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5"/>
                <w:szCs w:val="15"/>
                <w:color w:val="auto"/>
              </w:rPr>
            </w:pPr>
          </w:p>
        </w:tc>
        <w:tc>
          <w:tcPr>
            <w:tcW w:w="11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4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73.1</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62.5</w:t>
            </w:r>
          </w:p>
        </w:tc>
        <w:tc>
          <w:tcPr>
            <w:tcW w:w="3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 comprehensive income (expense):</w:t>
            </w:r>
          </w:p>
        </w:tc>
        <w:tc>
          <w:tcPr>
            <w:tcW w:w="400" w:type="dxa"/>
            <w:vAlign w:val="bottom"/>
          </w:tcPr>
          <w:p>
            <w:pPr>
              <w:spacing w:after="0"/>
              <w:rPr>
                <w:sz w:val="15"/>
                <w:szCs w:val="15"/>
                <w:color w:val="auto"/>
              </w:rPr>
            </w:pPr>
          </w:p>
        </w:tc>
        <w:tc>
          <w:tcPr>
            <w:tcW w:w="108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5"/>
                <w:szCs w:val="15"/>
                <w:color w:val="auto"/>
              </w:rPr>
            </w:pPr>
          </w:p>
        </w:tc>
        <w:tc>
          <w:tcPr>
            <w:tcW w:w="8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11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5"/>
                <w:szCs w:val="15"/>
                <w:color w:val="auto"/>
              </w:rPr>
            </w:pPr>
          </w:p>
        </w:tc>
        <w:tc>
          <w:tcPr>
            <w:tcW w:w="6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Change in valuation of derivative instruments</w:t>
            </w:r>
          </w:p>
        </w:tc>
        <w:tc>
          <w:tcPr>
            <w:tcW w:w="4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adjustments ....</w:t>
            </w:r>
          </w:p>
        </w:tc>
        <w:tc>
          <w:tcPr>
            <w:tcW w:w="40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5"/>
                <w:szCs w:val="15"/>
                <w:color w:val="auto"/>
              </w:rPr>
            </w:pP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5"/>
        </w:trPr>
        <w:tc>
          <w:tcPr>
            <w:tcW w:w="432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 (loss)..................</w:t>
            </w:r>
          </w:p>
        </w:tc>
        <w:tc>
          <w:tcPr>
            <w:tcW w:w="40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10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71.1</w:t>
            </w: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62.8</w:t>
            </w:r>
          </w:p>
        </w:tc>
        <w:tc>
          <w:tcPr>
            <w:tcW w:w="3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4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320" w:type="dxa"/>
            <w:vAlign w:val="bottom"/>
          </w:tcPr>
          <w:p>
            <w:pPr>
              <w:ind w:left="3540"/>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6"/>
          </w:cols>
          <w:pgMar w:left="233" w:top="440" w:right="1440" w:bottom="1440" w:gutter="0" w:footer="0" w:header="0"/>
        </w:sectPr>
      </w:pPr>
    </w:p>
    <w:bookmarkStart w:id="12" w:name="page13"/>
    <w:bookmarkEnd w:id="12"/>
    <w:p>
      <w:pPr>
        <w:ind w:left="547" w:hanging="547"/>
        <w:spacing w:after="0"/>
        <w:tabs>
          <w:tab w:leader="none" w:pos="5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RETIREE MEDICAL PLANS COST INFORMATION</w:t>
      </w:r>
    </w:p>
    <w:p>
      <w:pPr>
        <w:spacing w:after="0" w:line="179" w:lineRule="exact"/>
        <w:rPr>
          <w:rFonts w:ascii="Courier New" w:cs="Courier New" w:eastAsia="Courier New" w:hAnsi="Courier New"/>
          <w:sz w:val="15"/>
          <w:szCs w:val="15"/>
          <w:color w:val="auto"/>
        </w:rPr>
      </w:pPr>
    </w:p>
    <w:p>
      <w:pPr>
        <w:ind w:left="547" w:right="3139"/>
        <w:spacing w:after="0" w:line="2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Accounting Standards Board has revised Statement 132, "Employers' Disclosure about Pensions and Other Postretirement Benefits" to require disclosure of cost information in interim reports. The following summarizes the net periodic benefit cost for the various plans sponsored by the Company (in millions):</w:t>
      </w:r>
    </w:p>
    <w:p>
      <w:pPr>
        <w:spacing w:after="0" w:line="200" w:lineRule="exact"/>
        <w:rPr>
          <w:sz w:val="20"/>
          <w:szCs w:val="20"/>
          <w:color w:val="auto"/>
        </w:rPr>
      </w:pPr>
    </w:p>
    <w:p>
      <w:pPr>
        <w:spacing w:after="0" w:line="218"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320" w:type="dxa"/>
            <w:vAlign w:val="bottom"/>
          </w:tcPr>
          <w:p>
            <w:pPr>
              <w:spacing w:after="0"/>
              <w:rPr>
                <w:sz w:val="15"/>
                <w:szCs w:val="15"/>
                <w:color w:val="auto"/>
              </w:rPr>
            </w:pPr>
          </w:p>
        </w:tc>
        <w:tc>
          <w:tcPr>
            <w:tcW w:w="18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420" w:type="dxa"/>
            <w:vAlign w:val="bottom"/>
            <w:gridSpan w:val="2"/>
            <w:vMerge w:val="restart"/>
          </w:tcPr>
          <w:p>
            <w:pPr>
              <w:ind w:left="240"/>
              <w:spacing w:after="0"/>
              <w:rPr>
                <w:sz w:val="20"/>
                <w:szCs w:val="20"/>
                <w:color w:val="auto"/>
              </w:rPr>
            </w:pPr>
            <w:r>
              <w:rPr>
                <w:rFonts w:ascii="Courier New" w:cs="Courier New" w:eastAsia="Courier New" w:hAnsi="Courier New"/>
                <w:sz w:val="16"/>
                <w:szCs w:val="16"/>
                <w:color w:val="auto"/>
                <w:w w:val="72"/>
                <w:vertAlign w:val="subscript"/>
              </w:rPr>
              <w:t>MARCH</w:t>
            </w:r>
            <w:r>
              <w:rPr>
                <w:rFonts w:ascii="Courier New" w:cs="Courier New" w:eastAsia="Courier New" w:hAnsi="Courier New"/>
                <w:sz w:val="10"/>
                <w:szCs w:val="10"/>
                <w:color w:val="auto"/>
                <w:w w:val="72"/>
              </w:rPr>
              <w:t>------------------</w:t>
            </w:r>
            <w:r>
              <w:rPr>
                <w:rFonts w:ascii="Courier New" w:cs="Courier New" w:eastAsia="Courier New" w:hAnsi="Courier New"/>
                <w:sz w:val="16"/>
                <w:szCs w:val="16"/>
                <w:color w:val="auto"/>
                <w:w w:val="72"/>
                <w:vertAlign w:val="subscript"/>
              </w:rPr>
              <w:t>27,</w:t>
            </w:r>
          </w:p>
        </w:tc>
        <w:tc>
          <w:tcPr>
            <w:tcW w:w="10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MARCH 29,</w:t>
            </w:r>
          </w:p>
        </w:tc>
        <w:tc>
          <w:tcPr>
            <w:tcW w:w="320" w:type="dxa"/>
            <w:vAlign w:val="bottom"/>
          </w:tcPr>
          <w:p>
            <w:pPr>
              <w:spacing w:after="0"/>
              <w:rPr>
                <w:sz w:val="15"/>
                <w:szCs w:val="15"/>
                <w:color w:val="auto"/>
              </w:rPr>
            </w:pPr>
          </w:p>
        </w:tc>
        <w:tc>
          <w:tcPr>
            <w:tcW w:w="18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27,</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MARCH 29,</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40" w:type="dxa"/>
            <w:vAlign w:val="bottom"/>
          </w:tcPr>
          <w:p>
            <w:pPr>
              <w:spacing w:after="0"/>
              <w:rPr>
                <w:sz w:val="15"/>
                <w:szCs w:val="15"/>
                <w:color w:val="auto"/>
              </w:rPr>
            </w:pPr>
          </w:p>
        </w:tc>
        <w:tc>
          <w:tcPr>
            <w:tcW w:w="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5"/>
                <w:szCs w:val="15"/>
                <w:color w:val="auto"/>
              </w:rPr>
            </w:pPr>
          </w:p>
        </w:tc>
        <w:tc>
          <w:tcPr>
            <w:tcW w:w="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14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Curtailed defined benefit plan</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International benefit plans ..</w:t>
            </w:r>
          </w:p>
        </w:tc>
        <w:tc>
          <w:tcPr>
            <w:tcW w:w="4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Retiree medical plan .........</w:t>
            </w:r>
          </w:p>
        </w:tc>
        <w:tc>
          <w:tcPr>
            <w:tcW w:w="420" w:type="dxa"/>
            <w:vAlign w:val="bottom"/>
          </w:tcPr>
          <w:p>
            <w:pPr>
              <w:spacing w:after="0"/>
              <w:rPr>
                <w:sz w:val="22"/>
                <w:szCs w:val="22"/>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spacing w:after="0"/>
              <w:rPr>
                <w:sz w:val="22"/>
                <w:szCs w:val="22"/>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22"/>
                <w:szCs w:val="22"/>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22"/>
                <w:szCs w:val="22"/>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47" w:hanging="547"/>
        <w:spacing w:after="0"/>
        <w:tabs>
          <w:tab w:leader="none" w:pos="5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AIRCRAFT LEASE</w:t>
      </w:r>
    </w:p>
    <w:p>
      <w:pPr>
        <w:spacing w:after="0" w:line="179" w:lineRule="exact"/>
        <w:rPr>
          <w:rFonts w:ascii="Courier New" w:cs="Courier New" w:eastAsia="Courier New" w:hAnsi="Courier New"/>
          <w:sz w:val="15"/>
          <w:szCs w:val="15"/>
          <w:color w:val="auto"/>
        </w:rPr>
      </w:pPr>
    </w:p>
    <w:p>
      <w:pPr>
        <w:jc w:val="both"/>
        <w:ind w:left="547" w:right="31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late January 2004, the Company took final delivery of a used aircraft in a synthetic operating lease transaction. The lease agreement provides that the Company pays taxes, insurance and maintenance on the aircraft.</w:t>
      </w:r>
    </w:p>
    <w:p>
      <w:pPr>
        <w:ind w:left="547"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term expires in August 2008, but provides for a purchase option and two one-year renewal options at a fair market rental value, as defined in the lease agreement. The Company also has a maximum contingent obligation approximating $9.3 million based on the provisions of a residual value guarantee.</w:t>
      </w:r>
    </w:p>
    <w:p>
      <w:pPr>
        <w:spacing w:after="0" w:line="75"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9" w:lineRule="exact"/>
        <w:rPr>
          <w:rFonts w:ascii="Courier New" w:cs="Courier New" w:eastAsia="Courier New" w:hAnsi="Courier New"/>
          <w:sz w:val="15"/>
          <w:szCs w:val="15"/>
          <w:color w:val="auto"/>
        </w:rPr>
      </w:pPr>
    </w:p>
    <w:p>
      <w:pPr>
        <w:ind w:left="547" w:right="303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Insurance reserves are established within an actuarially determined range.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80"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9" w:lineRule="exact"/>
        <w:rPr>
          <w:rFonts w:ascii="Courier New" w:cs="Courier New" w:eastAsia="Courier New" w:hAnsi="Courier New"/>
          <w:sz w:val="15"/>
          <w:szCs w:val="15"/>
          <w:color w:val="auto"/>
        </w:rPr>
      </w:pPr>
    </w:p>
    <w:p>
      <w:pPr>
        <w:ind w:left="547"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related to several discontinued on-site disposal areas which dated back to the early operations of the Marysville facility that we had already been assessing and, in some cases, remediating, on a voluntary basis. On December 3, 2001, an agreed judicial Consent Order was submitted to the Union County Common Pleas Court and was entered by the court on January 25, 2002. Pursuant to the Consent Order, we paid a $275,000 fine and must satisfactorily remediate the Marysville site. We have continued our remediation activities with the knowledge and oversight of the Ohio EPA.</w:t>
      </w:r>
    </w:p>
    <w:p>
      <w:pPr>
        <w:spacing w:after="0" w:line="81" w:lineRule="exact"/>
        <w:rPr>
          <w:rFonts w:ascii="Courier New" w:cs="Courier New" w:eastAsia="Courier New" w:hAnsi="Courier New"/>
          <w:sz w:val="15"/>
          <w:szCs w:val="15"/>
          <w:color w:val="auto"/>
        </w:rPr>
      </w:pPr>
    </w:p>
    <w:p>
      <w:pPr>
        <w:ind w:left="547" w:right="303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w:t>
      </w:r>
    </w:p>
    <w:p>
      <w:pPr>
        <w:spacing w:after="0" w:line="77" w:lineRule="exact"/>
        <w:rPr>
          <w:rFonts w:ascii="Courier New" w:cs="Courier New" w:eastAsia="Courier New" w:hAnsi="Courier New"/>
          <w:sz w:val="15"/>
          <w:szCs w:val="15"/>
          <w:color w:val="auto"/>
        </w:rPr>
      </w:pPr>
    </w:p>
    <w:p>
      <w:pPr>
        <w:ind w:left="547" w:right="2959"/>
        <w:spacing w:after="0" w:line="2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March 27, 2004, $5.9 million was accrued for the environmental site remediation and regulatory matters described herein. Most of the costs accrued as of the end of the current fiscal quarter, are expected to be paid in fiscal 2004 and 2005; however, payments could be made for a period thereafter.</w:t>
      </w:r>
    </w:p>
    <w:p>
      <w:pPr>
        <w:spacing w:after="0" w:line="6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440" w:right="1440" w:bottom="1440" w:gutter="0" w:footer="0" w:header="0"/>
        </w:sectPr>
      </w:pPr>
    </w:p>
    <w:bookmarkStart w:id="13" w:name="page14"/>
    <w:bookmarkEnd w:id="13"/>
    <w:p>
      <w:pPr>
        <w:jc w:val="both"/>
        <w:ind w:left="2" w:right="3139"/>
        <w:spacing w:after="0" w:line="287" w:lineRule="auto"/>
        <w:rPr>
          <w:sz w:val="20"/>
          <w:szCs w:val="20"/>
          <w:color w:val="auto"/>
        </w:rPr>
      </w:pPr>
      <w:r>
        <w:rPr>
          <w:rFonts w:ascii="Courier New" w:cs="Courier New" w:eastAsia="Courier New" w:hAnsi="Courier New"/>
          <w:sz w:val="15"/>
          <w:szCs w:val="15"/>
          <w:color w:val="auto"/>
        </w:rPr>
        <w:t>We believe that the amounts accrued as of the end of the current fiscal quarter are adequate to cover our known environmental exposures based on current facts and estimates of likely outcome. However, the adequacy of these accruals is based on several significant assumptions:</w:t>
      </w:r>
    </w:p>
    <w:p>
      <w:pPr>
        <w:spacing w:after="0" w:line="61" w:lineRule="exact"/>
        <w:rPr>
          <w:sz w:val="20"/>
          <w:szCs w:val="20"/>
          <w:color w:val="auto"/>
        </w:rPr>
      </w:pPr>
    </w:p>
    <w:p>
      <w:pPr>
        <w:ind w:left="182" w:right="3599" w:hanging="182"/>
        <w:spacing w:after="0" w:line="368" w:lineRule="auto"/>
        <w:tabs>
          <w:tab w:leader="none" w:pos="18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3" w:lineRule="exact"/>
        <w:rPr>
          <w:rFonts w:ascii="Courier New" w:cs="Courier New" w:eastAsia="Courier New" w:hAnsi="Courier New"/>
          <w:sz w:val="15"/>
          <w:szCs w:val="15"/>
          <w:color w:val="auto"/>
        </w:rPr>
      </w:pPr>
    </w:p>
    <w:p>
      <w:pPr>
        <w:ind w:left="182" w:right="2959" w:hanging="182"/>
        <w:spacing w:after="0" w:line="368" w:lineRule="auto"/>
        <w:tabs>
          <w:tab w:leader="none" w:pos="18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3" w:lineRule="exact"/>
        <w:rPr>
          <w:rFonts w:ascii="Courier New" w:cs="Courier New" w:eastAsia="Courier New" w:hAnsi="Courier New"/>
          <w:sz w:val="15"/>
          <w:szCs w:val="15"/>
          <w:color w:val="auto"/>
        </w:rPr>
      </w:pPr>
    </w:p>
    <w:p>
      <w:pPr>
        <w:ind w:left="182" w:right="3319" w:hanging="182"/>
        <w:spacing w:after="0" w:line="287" w:lineRule="auto"/>
        <w:tabs>
          <w:tab w:leader="none" w:pos="18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61" w:lineRule="exact"/>
        <w:rPr>
          <w:sz w:val="20"/>
          <w:szCs w:val="20"/>
          <w:color w:val="auto"/>
        </w:rPr>
      </w:pPr>
    </w:p>
    <w:p>
      <w:pPr>
        <w:ind w:left="2" w:right="2959"/>
        <w:spacing w:after="0" w:line="287"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61" w:lineRule="exact"/>
        <w:rPr>
          <w:sz w:val="20"/>
          <w:szCs w:val="20"/>
          <w:color w:val="auto"/>
        </w:rPr>
      </w:pPr>
    </w:p>
    <w:p>
      <w:pPr>
        <w:jc w:val="both"/>
        <w:ind w:left="2" w:right="2959"/>
        <w:spacing w:after="0" w:line="307" w:lineRule="auto"/>
        <w:rPr>
          <w:sz w:val="20"/>
          <w:szCs w:val="20"/>
          <w:color w:val="auto"/>
        </w:rPr>
      </w:pPr>
      <w:r>
        <w:rPr>
          <w:rFonts w:ascii="Courier New" w:cs="Courier New" w:eastAsia="Courier New" w:hAnsi="Courier New"/>
          <w:sz w:val="15"/>
          <w:szCs w:val="15"/>
          <w:color w:val="auto"/>
        </w:rPr>
        <w:t>During the first six months of fiscal 2004, we have expended approximately $0.9 million related to environmental matters, compared with approximately $1.5 million in environmental expenditures for all of fiscal 2003.</w:t>
      </w:r>
    </w:p>
    <w:p>
      <w:pPr>
        <w:spacing w:after="0" w:line="47"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2" w:right="3039"/>
        <w:spacing w:after="0" w:line="271" w:lineRule="auto"/>
        <w:rPr>
          <w:sz w:val="20"/>
          <w:szCs w:val="20"/>
          <w:color w:val="auto"/>
        </w:rPr>
      </w:pPr>
      <w:r>
        <w:rPr>
          <w:rFonts w:ascii="Courier New" w:cs="Courier New" w:eastAsia="Courier New" w:hAnsi="Courier New"/>
          <w:sz w:val="15"/>
          <w:szCs w:val="15"/>
          <w:color w:val="auto"/>
        </w:rPr>
        <w:t>As noted in the discussion above under "Environmental Matters,"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7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Pending material legal proceedings are as follows:</w:t>
      </w:r>
    </w:p>
    <w:p>
      <w:pPr>
        <w:spacing w:after="0" w:line="180"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AGREVO ENVIRONMENTAL HEALTH, INC.</w:t>
      </w:r>
    </w:p>
    <w:p>
      <w:pPr>
        <w:spacing w:after="0" w:line="180" w:lineRule="exact"/>
        <w:rPr>
          <w:sz w:val="20"/>
          <w:szCs w:val="20"/>
          <w:color w:val="auto"/>
        </w:rPr>
      </w:pPr>
    </w:p>
    <w:p>
      <w:pPr>
        <w:ind w:left="2" w:right="2959"/>
        <w:spacing w:after="0" w:line="253" w:lineRule="auto"/>
        <w:rPr>
          <w:sz w:val="20"/>
          <w:szCs w:val="20"/>
          <w:color w:val="auto"/>
        </w:rPr>
      </w:pPr>
      <w:r>
        <w:rPr>
          <w:rFonts w:ascii="Courier New" w:cs="Courier New" w:eastAsia="Courier New" w:hAnsi="Courier New"/>
          <w:sz w:val="15"/>
          <w:szCs w:val="15"/>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Scotts Company to eliminate the herbicide The Scotts Company previously purchased from AgrEvo, which competed with Monsanto's Roundup(R). AgrEvo also contends that The Scotts Company's execution of various agreements with Monsanto, including the Roundup(R) marketing agreement, as well as The Scotts Company's subsequent actions, violated agreements between AgrEvo and The Scotts Company.</w:t>
      </w:r>
    </w:p>
    <w:p>
      <w:pPr>
        <w:spacing w:after="0" w:line="267" w:lineRule="exact"/>
        <w:rPr>
          <w:sz w:val="20"/>
          <w:szCs w:val="20"/>
          <w:color w:val="auto"/>
        </w:rPr>
      </w:pPr>
    </w:p>
    <w:p>
      <w:pPr>
        <w:ind w:left="2" w:right="2959"/>
        <w:spacing w:after="0" w:line="271"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The Scotts Company each have requested that the other indemnify against any losses arising from this lawsuit.</w:t>
      </w:r>
    </w:p>
    <w:p>
      <w:pPr>
        <w:spacing w:after="0" w:line="72" w:lineRule="exact"/>
        <w:rPr>
          <w:sz w:val="20"/>
          <w:szCs w:val="20"/>
          <w:color w:val="auto"/>
        </w:rPr>
      </w:pPr>
    </w:p>
    <w:p>
      <w:pPr>
        <w:ind w:left="2" w:right="2959"/>
        <w:spacing w:after="0" w:line="259"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against two of The Scotts Company's subsidiaries seeking damages for alleged breach of contract. AgrEvo alleges that, under the contracts by which a subsidiary of The Scotts Company purchased a herbicide business from AgrEvo in May 1998, two of The Scotts Company's subsidiaries have failed to pay AgrEvo approximately $0.6 million. AgrEvo is requesting damages in this amount, as well as pre- and post-judgment interest and attorneys' fees and costs. The Scotts Company's subsidiaries have moved to dismiss or stay this action. On January 31, 2000, the Delaware court stayed AgrEvo's action pending the resolution of a motion to amend the New York Action, and the resolution of the New York Action.</w:t>
      </w:r>
    </w:p>
    <w:p>
      <w:pPr>
        <w:spacing w:after="0" w:line="80" w:lineRule="exact"/>
        <w:rPr>
          <w:sz w:val="20"/>
          <w:szCs w:val="20"/>
          <w:color w:val="auto"/>
        </w:rPr>
      </w:pPr>
    </w:p>
    <w:p>
      <w:pPr>
        <w:ind w:left="2" w:right="3039"/>
        <w:spacing w:after="0" w:line="287" w:lineRule="auto"/>
        <w:rPr>
          <w:sz w:val="20"/>
          <w:szCs w:val="20"/>
          <w:color w:val="auto"/>
        </w:rPr>
      </w:pPr>
      <w:r>
        <w:rPr>
          <w:rFonts w:ascii="Courier New" w:cs="Courier New" w:eastAsia="Courier New" w:hAnsi="Courier New"/>
          <w:sz w:val="15"/>
          <w:szCs w:val="15"/>
          <w:color w:val="auto"/>
        </w:rPr>
        <w:t>On January 10, 2003, The Scotts Company filed a supplemental counterclaim against AgrEvo for breach of contract. The Scotts Company alleges that AgrEvo owes The Scotts Company for amounts that The Scotts Company overpaid to AgrEvo. The Scotts</w:t>
      </w:r>
    </w:p>
    <w:p>
      <w:pPr>
        <w:spacing w:after="0" w:line="61" w:lineRule="exact"/>
        <w:rPr>
          <w:sz w:val="20"/>
          <w:szCs w:val="20"/>
          <w:color w:val="auto"/>
        </w:rPr>
      </w:pPr>
    </w:p>
    <w:p>
      <w:pPr>
        <w:ind w:left="3002"/>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681"/>
          </w:cols>
          <w:pgMar w:left="778" w:top="440" w:right="1440" w:bottom="1158" w:gutter="0" w:footer="0" w:header="0"/>
        </w:sectPr>
      </w:pPr>
    </w:p>
    <w:bookmarkStart w:id="14" w:name="page15"/>
    <w:bookmarkEnd w:id="14"/>
    <w:p>
      <w:pPr>
        <w:ind w:right="3039"/>
        <w:spacing w:after="0" w:line="307" w:lineRule="auto"/>
        <w:rPr>
          <w:sz w:val="20"/>
          <w:szCs w:val="20"/>
          <w:color w:val="auto"/>
        </w:rPr>
      </w:pPr>
      <w:r>
        <w:rPr>
          <w:rFonts w:ascii="Courier New" w:cs="Courier New" w:eastAsia="Courier New" w:hAnsi="Courier New"/>
          <w:sz w:val="15"/>
          <w:szCs w:val="15"/>
          <w:color w:val="auto"/>
        </w:rPr>
        <w:t>Company's counterclaim is now part of the underlying litigation. The parties are in the process of preparing summary judgment motions. A trial date has been set for November 1, 2004.</w:t>
      </w:r>
    </w:p>
    <w:p>
      <w:pPr>
        <w:spacing w:after="0" w:line="47"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The Scotts Company believes that AgrEvo's claims in these matters are without merit and is vigorously defending against them. If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these matters.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V. CENTRAL GARDEN, SOUTHERN DISTRICT OF OHIO</w:t>
      </w:r>
    </w:p>
    <w:p>
      <w:pPr>
        <w:spacing w:after="0" w:line="180"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On June 30, 2000, The Scotts Company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61"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Central Garden filed counterclaims including allegations that The Scotts Company and Central Garden had entered into an oral agreement in April 1998 whereby The Scotts Company would allegedly share with Central Garden the benefits and liabilities of any future business integration between The Scotts Company and Monsanto. The court dismissed a number of Central Garden's counterclaims as well as The Scotts Company's claims that Central Garden breached other duties owed to The Scotts Company. On April 22, 2002, a jury returned a verdict in favor of The Scotts Company of $22.5 million and for Central Garden on its remaining counterclaims in an amount of approximately $12.1 million. Various post-trial motions were filed. As a result of those motions, the trial court has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The Scotts Company of approximately $14 million, together with interest at 2.31% through the date of payment. Central Garden has appealed and The Scotts Company has cross-appealed from that final judgment.</w:t>
      </w:r>
    </w:p>
    <w:p>
      <w:pPr>
        <w:spacing w:after="0" w:line="84"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Two counterclaims that the court permitted Central Garden to add on the eve of trial were subsequently settled.</w:t>
      </w:r>
    </w:p>
    <w:p>
      <w:pPr>
        <w:spacing w:after="0" w:line="3"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CENTRAL GARDEN V. THE SCOTTS COMPANY &amp; PHARMACIA, NORTHERN DISTRICT OF CALIFORNIA</w:t>
      </w:r>
    </w:p>
    <w:p>
      <w:pPr>
        <w:spacing w:after="0" w:line="3"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On July 7, 2000, Central Garden filed suit against The Scotts Company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The Scotts Company and Central Garden each filed summary judgment motions in this action. On June 26, 2002, the court granted summary judgment in favor of The Scotts Company and dismissed all of Central Garden's then remaining claims. That judgment has been affirmed by the United States Court of Appeals.</w:t>
      </w:r>
    </w:p>
    <w:p>
      <w:pPr>
        <w:spacing w:after="0" w:line="82"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CENTRAL GARDEN V. THE SCOTTS COMPANY &amp; PHARMACIA, CONTRA COSTA SUPERIOR COURT</w:t>
      </w:r>
    </w:p>
    <w:p>
      <w:pPr>
        <w:spacing w:after="0" w:line="3"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On October 31, 2000, Central Garden filed a complaint against The Scotts Company and Pharmacia in the California Superior Court for Contra Costa County. That complaint sought to assert breach of contract claims and claims under Section 17200 of the California Business and Professions Code. On December 4, 2000, The Scotts Company and Pharmacia jointly filed a motion to stay this action based on the pendency of prior lawsuits that involved the same subject matter. By order dated February 23, 2001, the Superior Court stayed the action pending before it. Central Garden and Pharmacia later settled their claims relating to this action. Recently, Central Garden voluntarily dismissed its claims against The Scotts Company.</w:t>
      </w:r>
    </w:p>
    <w:p>
      <w:pPr>
        <w:spacing w:after="0" w:line="80"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Although The Scotts Company has prevailed consistently and extensively in the litigation with Central Garden, some of the decisions in The Scotts Company's favor are subject to appeal and possible further proceedings. If, upon appeal or otherwise, the above actions are determined adversely to The Scotts Company, the result could have a material adverse affect on The Scotts Company's results of operations, financial position and cash flows. The Scotts Company believes that it will continue to prevail in the Central Garden matters and that any potential exposure that The Scotts Company may face cannot be reasonably estimated. Therefore, no accrual has been established related to the claims brought against The Scotts Company by Central Garden, except for amounts ordered paid to Central Garden in the Ohio Action. The Scotts Company believes it has adequate reserves recorded for the amounts it may ultimately be required to pay.</w:t>
      </w:r>
    </w:p>
    <w:p>
      <w:pPr>
        <w:spacing w:after="0" w:line="8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679"/>
          </w:cols>
          <w:pgMar w:left="780" w:top="440" w:right="1440" w:bottom="634" w:gutter="0" w:footer="0" w:header="0"/>
        </w:sectPr>
      </w:pPr>
    </w:p>
    <w:bookmarkStart w:id="15" w:name="page16"/>
    <w:bookmarkEnd w:id="15"/>
    <w:p>
      <w:pPr>
        <w:ind w:left="547" w:right="3219"/>
        <w:spacing w:after="0" w:line="368" w:lineRule="auto"/>
        <w:rPr>
          <w:sz w:val="20"/>
          <w:szCs w:val="20"/>
          <w:color w:val="auto"/>
        </w:rPr>
      </w:pPr>
      <w:r>
        <w:rPr>
          <w:rFonts w:ascii="Courier New" w:cs="Courier New" w:eastAsia="Courier New" w:hAnsi="Courier New"/>
          <w:sz w:val="15"/>
          <w:szCs w:val="15"/>
          <w:color w:val="auto"/>
        </w:rPr>
        <w:t>U.S. HORTICULTURAL SUPPLY, INC. (F/K/A E.C. GEIGER, INC.) V. THE SCOTTS COMPANY, EASTERN DISTRICT OF PENNSYLVANIA</w:t>
      </w:r>
    </w:p>
    <w:p>
      <w:pPr>
        <w:spacing w:after="0" w:line="3" w:lineRule="exact"/>
        <w:rPr>
          <w:sz w:val="20"/>
          <w:szCs w:val="20"/>
          <w:color w:val="auto"/>
        </w:rPr>
      </w:pPr>
    </w:p>
    <w:p>
      <w:pPr>
        <w:ind w:left="547" w:right="3139"/>
        <w:spacing w:after="0" w:line="277" w:lineRule="auto"/>
        <w:rPr>
          <w:sz w:val="20"/>
          <w:szCs w:val="20"/>
          <w:color w:val="auto"/>
        </w:rPr>
      </w:pPr>
      <w:r>
        <w:rPr>
          <w:rFonts w:ascii="Courier New" w:cs="Courier New" w:eastAsia="Courier New" w:hAnsi="Courier New"/>
          <w:sz w:val="15"/>
          <w:szCs w:val="15"/>
          <w:color w:val="auto"/>
        </w:rPr>
        <w:t>On February 7, 2003, U.S. Horticultural Supply filed suit against The Scotts Company in the U.S. District Court for the Eastern District of Pennsylvania. U.S. Horticultural Supply alleges claims of breach of contract, promissory estoppel and a violation of federal antitrust laws, and seeks an unspecified amount of damages.</w:t>
      </w:r>
    </w:p>
    <w:p>
      <w:pPr>
        <w:spacing w:after="0" w:line="68" w:lineRule="exact"/>
        <w:rPr>
          <w:sz w:val="20"/>
          <w:szCs w:val="20"/>
          <w:color w:val="auto"/>
        </w:rPr>
      </w:pPr>
    </w:p>
    <w:p>
      <w:pPr>
        <w:ind w:left="547" w:right="3039"/>
        <w:spacing w:after="0" w:line="287" w:lineRule="auto"/>
        <w:rPr>
          <w:sz w:val="20"/>
          <w:szCs w:val="20"/>
          <w:color w:val="auto"/>
        </w:rPr>
      </w:pPr>
      <w:r>
        <w:rPr>
          <w:rFonts w:ascii="Courier New" w:cs="Courier New" w:eastAsia="Courier New" w:hAnsi="Courier New"/>
          <w:sz w:val="15"/>
          <w:szCs w:val="15"/>
          <w:color w:val="auto"/>
        </w:rPr>
        <w:t>On March 14, 2003, The Scotts Company filed a motion to dismiss the antitrust claim, and a motion to dismiss, or in the alternative stay, the promissory estoppel claims pending arbitration. The motion is pending. Discovery has commenced. No trial date has been set.</w:t>
      </w:r>
    </w:p>
    <w:p>
      <w:pPr>
        <w:spacing w:after="0" w:line="61" w:lineRule="exact"/>
        <w:rPr>
          <w:sz w:val="20"/>
          <w:szCs w:val="20"/>
          <w:color w:val="auto"/>
        </w:rPr>
      </w:pPr>
    </w:p>
    <w:p>
      <w:pPr>
        <w:ind w:left="547" w:right="2959"/>
        <w:spacing w:after="0" w:line="267" w:lineRule="auto"/>
        <w:rPr>
          <w:sz w:val="20"/>
          <w:szCs w:val="20"/>
          <w:color w:val="auto"/>
        </w:rPr>
      </w:pPr>
      <w:r>
        <w:rPr>
          <w:rFonts w:ascii="Courier New" w:cs="Courier New" w:eastAsia="Courier New" w:hAnsi="Courier New"/>
          <w:sz w:val="15"/>
          <w:szCs w:val="15"/>
          <w:color w:val="auto"/>
        </w:rPr>
        <w:t>The Scotts Company believes that U.S. Horticultural Supply's claims are without merit and intends to vigorously defend against them. If the above action is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this matter.</w:t>
      </w:r>
    </w:p>
    <w:p>
      <w:pPr>
        <w:spacing w:after="0" w:line="7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ind w:left="547" w:right="2959"/>
        <w:spacing w:after="0" w:line="262" w:lineRule="auto"/>
        <w:rPr>
          <w:sz w:val="20"/>
          <w:szCs w:val="20"/>
          <w:color w:val="auto"/>
        </w:rPr>
      </w:pPr>
      <w:r>
        <w:rPr>
          <w:rFonts w:ascii="Courier New" w:cs="Courier New" w:eastAsia="Courier New" w:hAnsi="Courier New"/>
          <w:sz w:val="15"/>
          <w:szCs w:val="15"/>
          <w:color w:val="auto"/>
        </w:rPr>
        <w:t>The Scotts Company recently has been named a defendant in a number of cases alleging injuries that the lawsuits claim resulted from exposure to asbestos-containing products. The complaints in these cases, most of which are in their preliminary stages, are not specific about the plaintiffs' contacts with The Scotts Company or its products. The Scotts Company in each case is one of numerous defendants and none of the claims seeks damages from The Scotts Company alone. The Scotts Company is vigorously defending the cases and does not believe they are material to The Scotts Company's results of operations, financial position or cash flows.</w:t>
      </w:r>
    </w:p>
    <w:p>
      <w:pPr>
        <w:spacing w:after="0" w:line="78" w:lineRule="exact"/>
        <w:rPr>
          <w:sz w:val="20"/>
          <w:szCs w:val="20"/>
          <w:color w:val="auto"/>
        </w:rPr>
      </w:pPr>
    </w:p>
    <w:p>
      <w:pPr>
        <w:ind w:left="547" w:right="3039"/>
        <w:spacing w:after="0" w:line="260" w:lineRule="auto"/>
        <w:rPr>
          <w:sz w:val="20"/>
          <w:szCs w:val="20"/>
          <w:color w:val="auto"/>
        </w:rPr>
      </w:pPr>
      <w:r>
        <w:rPr>
          <w:rFonts w:ascii="Courier New" w:cs="Courier New" w:eastAsia="Courier New" w:hAnsi="Courier New"/>
          <w:sz w:val="15"/>
          <w:szCs w:val="15"/>
          <w:color w:val="auto"/>
        </w:rPr>
        <w:t>It is not currently possible to reasonably estimate a probable loss, if any, associated with the cases and, accordingly, no accrual or reserves have been recorded in The Scotts Company's consolidated financial statements. There can be no assurance that these cases, whether as a result of adverse outcomes or as a result of significant defense costs, will not have a material adverse effect on The Scotts Company, its financial condition or its results of operations. The Scotts Company is reviewing agreements and policies that may provide insurance coverage or indemnity as to these claims and is pursuing coverage under some of these agreements.</w:t>
      </w:r>
    </w:p>
    <w:p>
      <w:pPr>
        <w:spacing w:after="0" w:line="82" w:lineRule="exact"/>
        <w:rPr>
          <w:sz w:val="20"/>
          <w:szCs w:val="20"/>
          <w:color w:val="auto"/>
        </w:rPr>
      </w:pPr>
    </w:p>
    <w:p>
      <w:pPr>
        <w:ind w:left="547" w:right="3139"/>
        <w:spacing w:after="0" w:line="287" w:lineRule="auto"/>
        <w:rPr>
          <w:sz w:val="20"/>
          <w:szCs w:val="20"/>
          <w:color w:val="auto"/>
        </w:rPr>
      </w:pPr>
      <w:r>
        <w:rPr>
          <w:rFonts w:ascii="Courier New" w:cs="Courier New" w:eastAsia="Courier New" w:hAnsi="Courier New"/>
          <w:sz w:val="15"/>
          <w:szCs w:val="15"/>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61" w:lineRule="exact"/>
        <w:rPr>
          <w:sz w:val="20"/>
          <w:szCs w:val="20"/>
          <w:color w:val="auto"/>
        </w:rPr>
      </w:pPr>
    </w:p>
    <w:p>
      <w:pPr>
        <w:ind w:left="547" w:hanging="547"/>
        <w:spacing w:after="0"/>
        <w:tabs>
          <w:tab w:leader="none" w:pos="5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9" w:lineRule="exact"/>
        <w:rPr>
          <w:rFonts w:ascii="Courier New" w:cs="Courier New" w:eastAsia="Courier New" w:hAnsi="Courier New"/>
          <w:sz w:val="15"/>
          <w:szCs w:val="15"/>
          <w:color w:val="auto"/>
        </w:rPr>
      </w:pPr>
    </w:p>
    <w:p>
      <w:pPr>
        <w:ind w:left="547" w:right="295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2003, the Financial Accounting Standards Board (FASB) issued FASB Interpretation 46, "Consolidation of Variable Interest Entities, an Interpretation of ARB No. 51" (FIN 46). In December 2003, the FASB modified FIN 46 to make certain technical corrections and address certain implementation issues that had arisen. FIN 46 provides a new framework for identifying variable interest entities (VIEs) and determining when a company should include the assets, liabilities, noncontrolling interests, and results of activities of a VIE in its consolidated financial statements.</w:t>
      </w:r>
    </w:p>
    <w:p>
      <w:pPr>
        <w:spacing w:after="0" w:line="78" w:lineRule="exact"/>
        <w:rPr>
          <w:rFonts w:ascii="Courier New" w:cs="Courier New" w:eastAsia="Courier New" w:hAnsi="Courier New"/>
          <w:sz w:val="15"/>
          <w:szCs w:val="15"/>
          <w:color w:val="auto"/>
        </w:rPr>
      </w:pPr>
    </w:p>
    <w:p>
      <w:pPr>
        <w:ind w:left="547" w:right="295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a VIE is a corporation, partnership, limited-liability company, trust, or any other legal structure used to conduct activities or hold assets that either (1) has an insufficient amount of equity to carry out its principal activities without additional subordinated financial support, (2) has a group of equity owners that are unable to make significant decisions about its activities, or (3) has a group of equity owners that do not have the obligation to absorb losses or the right to receive returns generated by its operations.</w:t>
      </w:r>
    </w:p>
    <w:p>
      <w:pPr>
        <w:spacing w:after="0" w:line="77" w:lineRule="exact"/>
        <w:rPr>
          <w:rFonts w:ascii="Courier New" w:cs="Courier New" w:eastAsia="Courier New" w:hAnsi="Courier New"/>
          <w:sz w:val="15"/>
          <w:szCs w:val="15"/>
          <w:color w:val="auto"/>
        </w:rPr>
      </w:pPr>
    </w:p>
    <w:p>
      <w:pPr>
        <w:ind w:left="54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 46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w:t>
      </w:r>
    </w:p>
    <w:p>
      <w:pPr>
        <w:spacing w:after="0" w:line="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440" w:right="1440" w:bottom="1440" w:gutter="0" w:footer="0" w:header="0"/>
        </w:sectPr>
      </w:pPr>
    </w:p>
    <w:bookmarkStart w:id="16" w:name="page17"/>
    <w:bookmarkEnd w:id="16"/>
    <w:p>
      <w:pPr>
        <w:ind w:left="547" w:right="2959"/>
        <w:spacing w:after="0" w:line="307" w:lineRule="auto"/>
        <w:rPr>
          <w:sz w:val="20"/>
          <w:szCs w:val="20"/>
          <w:color w:val="auto"/>
        </w:rPr>
      </w:pPr>
      <w:r>
        <w:rPr>
          <w:rFonts w:ascii="Courier New" w:cs="Courier New" w:eastAsia="Courier New" w:hAnsi="Courier New"/>
          <w:sz w:val="15"/>
          <w:szCs w:val="15"/>
          <w:color w:val="auto"/>
        </w:rPr>
        <w:t>majority voting interest. FIN 46 also requires disclosures about VIEs that the variable interest holder is not required to consolidate but in which it has a significant variable interest.</w:t>
      </w:r>
    </w:p>
    <w:p>
      <w:pPr>
        <w:spacing w:after="0" w:line="47" w:lineRule="exact"/>
        <w:rPr>
          <w:sz w:val="20"/>
          <w:szCs w:val="20"/>
          <w:color w:val="auto"/>
        </w:rPr>
      </w:pPr>
    </w:p>
    <w:p>
      <w:pPr>
        <w:ind w:left="547" w:right="2959"/>
        <w:spacing w:after="0" w:line="260" w:lineRule="auto"/>
        <w:rPr>
          <w:sz w:val="20"/>
          <w:szCs w:val="20"/>
          <w:color w:val="auto"/>
        </w:rPr>
      </w:pPr>
      <w:r>
        <w:rPr>
          <w:rFonts w:ascii="Courier New" w:cs="Courier New" w:eastAsia="Courier New" w:hAnsi="Courier New"/>
          <w:sz w:val="15"/>
          <w:szCs w:val="15"/>
          <w:color w:val="auto"/>
        </w:rPr>
        <w:t>The Company has evaluated FIN 46 and believes that as of March 27, 2004, the only entities for which it may be the primary beneficiary are certain of the Company's Scotts LawnService(R) franchises. The Company has evaluated the potential significance of its interest in the franchises for which it may be the primary beneficiary from a consolidation perspective as well as from a maximum exposure to loss perspective. Based on the results of the evaluation process, the Company has concluded that the effect of consolidating certain franchises where the Company may be the primary beneficiary would be immaterial to both the statement of operations and balance sheet.</w:t>
      </w:r>
    </w:p>
    <w:p>
      <w:pPr>
        <w:spacing w:after="0" w:line="82" w:lineRule="exact"/>
        <w:rPr>
          <w:sz w:val="20"/>
          <w:szCs w:val="20"/>
          <w:color w:val="auto"/>
        </w:rPr>
      </w:pPr>
    </w:p>
    <w:p>
      <w:pPr>
        <w:ind w:left="547" w:hanging="547"/>
        <w:spacing w:after="0"/>
        <w:tabs>
          <w:tab w:leader="none" w:pos="5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MEDICARE PRESCRIPTION DRUG, IMPROVEMENT AND MODERNIZATION ACT</w:t>
      </w:r>
    </w:p>
    <w:p>
      <w:pPr>
        <w:spacing w:after="0" w:line="179" w:lineRule="exact"/>
        <w:rPr>
          <w:rFonts w:ascii="Courier New" w:cs="Courier New" w:eastAsia="Courier New" w:hAnsi="Courier New"/>
          <w:sz w:val="15"/>
          <w:szCs w:val="15"/>
          <w:color w:val="auto"/>
        </w:rPr>
      </w:pPr>
    </w:p>
    <w:p>
      <w:pPr>
        <w:ind w:left="54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disclosed in Note 8 to our consolidated financial statements for the year ended September 30, 2003, the Company provides comprehensive major medical benefits to certain of its retired associates and their dependents. These benefits include prescription drug coverage. On December 8, 2003, the Medicare Prescription Drug, Improvement and Modernization Act (the "Act") became law. The Act provides for a federal subsidy to sponsors of retiree health care benefit plans that provide a benefit that is at least actuarially equivalent to the benefit established by the Act. The Company has evaluated the Act and believes it will be eligible for the federal subsidy.</w:t>
      </w:r>
    </w:p>
    <w:p>
      <w:pPr>
        <w:spacing w:after="0" w:line="81" w:lineRule="exact"/>
        <w:rPr>
          <w:rFonts w:ascii="Courier New" w:cs="Courier New" w:eastAsia="Courier New" w:hAnsi="Courier New"/>
          <w:sz w:val="15"/>
          <w:szCs w:val="15"/>
          <w:color w:val="auto"/>
        </w:rPr>
      </w:pPr>
    </w:p>
    <w:p>
      <w:pPr>
        <w:ind w:left="547"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authoritative guidance governing the accounting requirements pertaining to any federal subsidy the Company might receive has not yet been issued by the FASB. Pending the issuance of authoritative guidance, the FASB has issued FSP No. FAS 106-1, "Accounting and Disclosure Requirements Related to the Medicare Prescription Drug, Improvement and Modernization Act of 2003," that provides a one-time election to defer accounting for the effects of the Act. The Company has not completed the analysis necessary to estimate the effect, if any, that any such subsidy will have on its accumulated postretirement benefit obligation or net periodic postretirement benefit cost. Accordingly, the Company has elected to defer accounting for the effects of the Act until authoritative guidance is issued by the FASB.</w:t>
      </w:r>
    </w:p>
    <w:p>
      <w:pPr>
        <w:spacing w:after="0" w:line="88"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9" w:lineRule="exact"/>
        <w:rPr>
          <w:rFonts w:ascii="Courier New" w:cs="Courier New" w:eastAsia="Courier New" w:hAnsi="Courier New"/>
          <w:sz w:val="15"/>
          <w:szCs w:val="15"/>
          <w:color w:val="auto"/>
        </w:rPr>
      </w:pPr>
    </w:p>
    <w:p>
      <w:pPr>
        <w:ind w:left="547" w:right="30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2004, the Company is divided into three reportable segments - North America, Scotts LawnService(R) and International. The North America segment primarily consists of the Lawns, Gardening Products, Ortho(R), Canada and North American Professional business groups. These segments differ from those used in the prior year due to the absorption of the Global Professional segment into the North America and International segments based on geography. This new division of reportable segments is consistent with how the segments report to and are managed by senior management of the Company. The prior year amounts have been reclassified to conform with the fiscal 2004 segments.</w:t>
      </w:r>
    </w:p>
    <w:p>
      <w:pPr>
        <w:spacing w:after="0" w:line="81" w:lineRule="exact"/>
        <w:rPr>
          <w:rFonts w:ascii="Courier New" w:cs="Courier New" w:eastAsia="Courier New" w:hAnsi="Courier New"/>
          <w:sz w:val="15"/>
          <w:szCs w:val="15"/>
          <w:color w:val="auto"/>
        </w:rPr>
      </w:pPr>
    </w:p>
    <w:p>
      <w:pPr>
        <w:ind w:left="547" w:right="313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 segment manufactures, markets and sells dry, granular slow-release lawn fertilizers, combination lawn fertilizer and control products, grass seed, spreaders, water-soluble and controlled-release garden and indoor plant foods, plant care products, potting soils, pottery, barks, mulches and other growing media products, pesticide products and a full line of horticulture products. Products are marketed to mass merchandisers, home improvement centers, large hardware chains, nurseries and gardens centers and specialty crop growers in the United States, Canada, Latin America and South America.</w:t>
      </w:r>
    </w:p>
    <w:p>
      <w:pPr>
        <w:spacing w:after="0" w:line="78" w:lineRule="exact"/>
        <w:rPr>
          <w:rFonts w:ascii="Courier New" w:cs="Courier New" w:eastAsia="Courier New" w:hAnsi="Courier New"/>
          <w:sz w:val="15"/>
          <w:szCs w:val="15"/>
          <w:color w:val="auto"/>
        </w:rPr>
      </w:pPr>
    </w:p>
    <w:p>
      <w:pPr>
        <w:ind w:left="547" w:right="321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an exterior barrier pest control service.</w:t>
      </w:r>
    </w:p>
    <w:p>
      <w:pPr>
        <w:spacing w:after="0" w:line="72" w:lineRule="exact"/>
        <w:rPr>
          <w:rFonts w:ascii="Courier New" w:cs="Courier New" w:eastAsia="Courier New" w:hAnsi="Courier New"/>
          <w:sz w:val="15"/>
          <w:szCs w:val="15"/>
          <w:color w:val="auto"/>
        </w:rPr>
      </w:pPr>
    </w:p>
    <w:p>
      <w:pPr>
        <w:jc w:val="both"/>
        <w:ind w:left="547" w:right="331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segment provides products similar to those described above for the North America segment to consumers outside of the United States, Canada, Latin America and South America.</w:t>
      </w:r>
    </w:p>
    <w:p>
      <w:pPr>
        <w:spacing w:after="0" w:line="47" w:lineRule="exact"/>
        <w:rPr>
          <w:rFonts w:ascii="Courier New" w:cs="Courier New" w:eastAsia="Courier New" w:hAnsi="Courier New"/>
          <w:sz w:val="15"/>
          <w:szCs w:val="15"/>
          <w:color w:val="auto"/>
        </w:rPr>
      </w:pPr>
    </w:p>
    <w:p>
      <w:pPr>
        <w:ind w:left="547"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25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440" w:right="1440" w:bottom="983" w:gutter="0" w:footer="0" w:header="0"/>
        </w:sectPr>
      </w:pPr>
    </w:p>
    <w:bookmarkStart w:id="17" w:name="page18"/>
    <w:bookmarkEnd w:id="17"/>
    <w:tbl>
      <w:tblPr>
        <w:tblLayout w:type="fixed"/>
        <w:tblInd w:w="7" w:type="dxa"/>
        <w:tblCellMar>
          <w:top w:w="0" w:type="dxa"/>
          <w:left w:w="0" w:type="dxa"/>
          <w:bottom w:w="0" w:type="dxa"/>
          <w:right w:w="0" w:type="dxa"/>
        </w:tblCellMar>
      </w:tblPr>
      <w:tr>
        <w:trPr>
          <w:trHeight w:val="175"/>
        </w:trPr>
        <w:tc>
          <w:tcPr>
            <w:tcW w:w="5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40" w:type="dxa"/>
            <w:vAlign w:val="bottom"/>
            <w:gridSpan w:val="2"/>
            <w:vMerge w:val="restart"/>
          </w:tcPr>
          <w:p>
            <w:pPr>
              <w:jc w:val="right"/>
              <w:ind w:right="44"/>
              <w:spacing w:after="0"/>
              <w:rPr>
                <w:sz w:val="20"/>
                <w:szCs w:val="20"/>
                <w:color w:val="auto"/>
              </w:rPr>
            </w:pPr>
            <w:r>
              <w:rPr>
                <w:rFonts w:ascii="Courier New" w:cs="Courier New" w:eastAsia="Courier New" w:hAnsi="Courier New"/>
                <w:sz w:val="15"/>
                <w:szCs w:val="15"/>
                <w:color w:val="auto"/>
              </w:rPr>
              <w:t>NORTH AMERICA</w:t>
            </w:r>
          </w:p>
        </w:tc>
        <w:tc>
          <w:tcPr>
            <w:tcW w:w="460" w:type="dxa"/>
            <w:vAlign w:val="bottom"/>
          </w:tcPr>
          <w:p>
            <w:pPr>
              <w:spacing w:after="0"/>
              <w:rPr>
                <w:sz w:val="15"/>
                <w:szCs w:val="15"/>
                <w:color w:val="auto"/>
              </w:rPr>
            </w:pPr>
          </w:p>
        </w:tc>
        <w:tc>
          <w:tcPr>
            <w:tcW w:w="1180" w:type="dxa"/>
            <w:vAlign w:val="bottom"/>
          </w:tcPr>
          <w:p>
            <w:pPr>
              <w:jc w:val="center"/>
              <w:ind w:right="464"/>
              <w:spacing w:after="0"/>
              <w:rPr>
                <w:sz w:val="20"/>
                <w:szCs w:val="20"/>
                <w:color w:val="auto"/>
              </w:rPr>
            </w:pPr>
            <w:r>
              <w:rPr>
                <w:rFonts w:ascii="Courier New" w:cs="Courier New" w:eastAsia="Courier New" w:hAnsi="Courier New"/>
                <w:sz w:val="15"/>
                <w:szCs w:val="15"/>
                <w:color w:val="auto"/>
              </w:rPr>
              <w:t>SCOTTS</w:t>
            </w:r>
          </w:p>
        </w:tc>
        <w:tc>
          <w:tcPr>
            <w:tcW w:w="16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INTERNATIONAL</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4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LAWNSERVICE(R)</w:t>
            </w:r>
          </w:p>
        </w:tc>
        <w:tc>
          <w:tcPr>
            <w:tcW w:w="1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CORPORATE</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500" w:type="dxa"/>
            <w:vAlign w:val="bottom"/>
            <w:gridSpan w:val="6"/>
          </w:tcPr>
          <w:p>
            <w:pPr>
              <w:ind w:left="320"/>
              <w:spacing w:after="0"/>
              <w:rPr>
                <w:sz w:val="20"/>
                <w:szCs w:val="20"/>
                <w:color w:val="auto"/>
              </w:rPr>
            </w:pPr>
            <w:r>
              <w:rPr>
                <w:rFonts w:ascii="Courier New" w:cs="Courier New" w:eastAsia="Courier New" w:hAnsi="Courier New"/>
                <w:sz w:val="15"/>
                <w:szCs w:val="15"/>
                <w:color w:val="auto"/>
              </w:rPr>
              <w:t>(IN MILLIONS, EXCEPT OPERATING PERCENTATGES)</w:t>
            </w:r>
          </w:p>
        </w:tc>
        <w:tc>
          <w:tcPr>
            <w:tcW w:w="0" w:type="dxa"/>
            <w:vAlign w:val="bottom"/>
          </w:tcPr>
          <w:p>
            <w:pPr>
              <w:spacing w:after="0"/>
              <w:rPr>
                <w:sz w:val="1"/>
                <w:szCs w:val="1"/>
                <w:color w:val="auto"/>
              </w:rPr>
            </w:pPr>
          </w:p>
        </w:tc>
      </w:tr>
      <w:tr>
        <w:trPr>
          <w:trHeight w:val="268"/>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660.5</w:t>
            </w:r>
          </w:p>
        </w:tc>
        <w:tc>
          <w:tcPr>
            <w:tcW w:w="4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34.9</w:t>
            </w:r>
          </w:p>
        </w:tc>
        <w:tc>
          <w:tcPr>
            <w:tcW w:w="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220.0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2004 ............</w:t>
            </w:r>
          </w:p>
        </w:tc>
        <w:tc>
          <w:tcPr>
            <w:tcW w:w="6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2003 ............</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625.6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26.8</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204.5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2004 .............</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557.8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16.3</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2003 .............</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521.0</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11.5</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143.7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116.9</w:t>
            </w:r>
          </w:p>
        </w:tc>
        <w:tc>
          <w:tcPr>
            <w:tcW w:w="4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(19.2)</w:t>
            </w:r>
          </w:p>
        </w:tc>
        <w:tc>
          <w:tcPr>
            <w:tcW w:w="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22.8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(42.1)</w:t>
            </w:r>
          </w:p>
        </w:tc>
        <w:tc>
          <w:tcPr>
            <w:tcW w:w="0" w:type="dxa"/>
            <w:vAlign w:val="bottom"/>
          </w:tcPr>
          <w:p>
            <w:pPr>
              <w:spacing w:after="0"/>
              <w:rPr>
                <w:sz w:val="1"/>
                <w:szCs w:val="1"/>
                <w:color w:val="auto"/>
              </w:rPr>
            </w:pPr>
          </w:p>
        </w:tc>
      </w:tr>
      <w:tr>
        <w:trPr>
          <w:trHeight w:val="175"/>
        </w:trPr>
        <w:tc>
          <w:tcPr>
            <w:tcW w:w="2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2004 ............</w:t>
            </w:r>
          </w:p>
        </w:tc>
        <w:tc>
          <w:tcPr>
            <w:tcW w:w="6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2003 ............</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98.7</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2004 .............</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2003 .............</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128.4</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0" w:type="dxa"/>
            <w:vAlign w:val="bottom"/>
          </w:tcPr>
          <w:p>
            <w:pPr>
              <w:spacing w:after="0"/>
              <w:rPr>
                <w:sz w:val="1"/>
                <w:szCs w:val="1"/>
                <w:color w:val="auto"/>
              </w:rPr>
            </w:pPr>
          </w:p>
        </w:tc>
      </w:tr>
      <w:tr>
        <w:trPr>
          <w:trHeight w:val="175"/>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600" w:type="dxa"/>
            <w:vAlign w:val="bottom"/>
          </w:tcPr>
          <w:p>
            <w:pPr>
              <w:spacing w:after="0"/>
              <w:rPr>
                <w:sz w:val="15"/>
                <w:szCs w:val="15"/>
                <w:color w:val="auto"/>
              </w:rPr>
            </w:pPr>
          </w:p>
        </w:tc>
        <w:tc>
          <w:tcPr>
            <w:tcW w:w="9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17.7%</w:t>
            </w:r>
          </w:p>
        </w:tc>
        <w:tc>
          <w:tcPr>
            <w:tcW w:w="460" w:type="dxa"/>
            <w:vAlign w:val="bottom"/>
          </w:tcPr>
          <w:p>
            <w:pPr>
              <w:spacing w:after="0"/>
              <w:rPr>
                <w:sz w:val="15"/>
                <w:szCs w:val="15"/>
                <w:color w:val="auto"/>
              </w:rPr>
            </w:pPr>
          </w:p>
        </w:tc>
        <w:tc>
          <w:tcPr>
            <w:tcW w:w="1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(55.0)%</w:t>
            </w:r>
          </w:p>
        </w:tc>
        <w:tc>
          <w:tcPr>
            <w:tcW w:w="600" w:type="dxa"/>
            <w:vAlign w:val="bottom"/>
          </w:tcPr>
          <w:p>
            <w:pPr>
              <w:spacing w:after="0"/>
              <w:rPr>
                <w:sz w:val="15"/>
                <w:szCs w:val="15"/>
                <w:color w:val="auto"/>
              </w:rPr>
            </w:pPr>
          </w:p>
        </w:tc>
        <w:tc>
          <w:tcPr>
            <w:tcW w:w="10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10.4%</w:t>
            </w:r>
          </w:p>
        </w:tc>
        <w:tc>
          <w:tcPr>
            <w:tcW w:w="32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w w:val="96"/>
              </w:rPr>
              <w:t>YTD</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2004 ............</w:t>
            </w:r>
          </w:p>
        </w:tc>
        <w:tc>
          <w:tcPr>
            <w:tcW w:w="6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w w:val="96"/>
              </w:rPr>
              <w:t>YTD</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2003 ............</w:t>
            </w:r>
          </w:p>
        </w:tc>
        <w:tc>
          <w:tcPr>
            <w:tcW w:w="60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(63.8)%</w:t>
            </w:r>
          </w:p>
        </w:tc>
        <w:tc>
          <w:tcPr>
            <w:tcW w:w="6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w:t>
            </w:r>
          </w:p>
        </w:tc>
        <w:tc>
          <w:tcPr>
            <w:tcW w:w="3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2004 .............</w:t>
            </w:r>
          </w:p>
        </w:tc>
        <w:tc>
          <w:tcPr>
            <w:tcW w:w="60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26.1%</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(77.9)%</w:t>
            </w:r>
          </w:p>
        </w:tc>
        <w:tc>
          <w:tcPr>
            <w:tcW w:w="6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16.2%</w:t>
            </w:r>
          </w:p>
        </w:tc>
        <w:tc>
          <w:tcPr>
            <w:tcW w:w="3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2003 .............</w:t>
            </w:r>
          </w:p>
        </w:tc>
        <w:tc>
          <w:tcPr>
            <w:tcW w:w="60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24.6%</w:t>
            </w:r>
          </w:p>
        </w:tc>
        <w:tc>
          <w:tcPr>
            <w:tcW w:w="4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(107.0)%</w:t>
            </w:r>
          </w:p>
        </w:tc>
        <w:tc>
          <w:tcPr>
            <w:tcW w:w="6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w:t>
            </w:r>
          </w:p>
        </w:tc>
        <w:tc>
          <w:tcPr>
            <w:tcW w:w="3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5"/>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207.6</w:t>
            </w:r>
          </w:p>
        </w:tc>
        <w:tc>
          <w:tcPr>
            <w:tcW w:w="4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97.5</w:t>
            </w:r>
          </w:p>
        </w:tc>
        <w:tc>
          <w:tcPr>
            <w:tcW w:w="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118.2</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2004 .............</w:t>
            </w:r>
          </w:p>
        </w:tc>
        <w:tc>
          <w:tcPr>
            <w:tcW w:w="6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2003 .............</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77.9</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106.9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jc w:val="right"/>
              <w:ind w:right="1144"/>
              <w:spacing w:after="0"/>
              <w:rPr>
                <w:sz w:val="20"/>
                <w:szCs w:val="20"/>
                <w:color w:val="auto"/>
              </w:rPr>
            </w:pPr>
            <w:r>
              <w:rPr>
                <w:rFonts w:ascii="Courier New" w:cs="Courier New" w:eastAsia="Courier New" w:hAnsi="Courier New"/>
                <w:sz w:val="15"/>
                <w:szCs w:val="15"/>
                <w:color w:val="auto"/>
                <w:w w:val="98"/>
              </w:rPr>
              <w:t>assets:</w:t>
            </w:r>
          </w:p>
        </w:tc>
        <w:tc>
          <w:tcPr>
            <w:tcW w:w="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5"/>
              </w:rPr>
              <w:t>1,708.0</w:t>
            </w:r>
          </w:p>
        </w:tc>
        <w:tc>
          <w:tcPr>
            <w:tcW w:w="4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112.7</w:t>
            </w:r>
          </w:p>
        </w:tc>
        <w:tc>
          <w:tcPr>
            <w:tcW w:w="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611.1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109.5</w:t>
            </w:r>
          </w:p>
        </w:tc>
        <w:tc>
          <w:tcPr>
            <w:tcW w:w="0" w:type="dxa"/>
            <w:vAlign w:val="bottom"/>
          </w:tcPr>
          <w:p>
            <w:pPr>
              <w:spacing w:after="0"/>
              <w:rPr>
                <w:sz w:val="1"/>
                <w:szCs w:val="1"/>
                <w:color w:val="auto"/>
              </w:rPr>
            </w:pPr>
          </w:p>
        </w:tc>
      </w:tr>
      <w:tr>
        <w:trPr>
          <w:trHeight w:val="175"/>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2004 .............</w:t>
            </w:r>
          </w:p>
        </w:tc>
        <w:tc>
          <w:tcPr>
            <w:tcW w:w="6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2003 .............</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5"/>
              </w:rPr>
              <w:t>1,661.8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94.2</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568.9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129.0</w:t>
            </w:r>
          </w:p>
        </w:tc>
        <w:tc>
          <w:tcPr>
            <w:tcW w:w="0" w:type="dxa"/>
            <w:vAlign w:val="bottom"/>
          </w:tcPr>
          <w:p>
            <w:pPr>
              <w:spacing w:after="0"/>
              <w:rPr>
                <w:sz w:val="1"/>
                <w:szCs w:val="1"/>
                <w:color w:val="auto"/>
              </w:rPr>
            </w:pPr>
          </w:p>
        </w:tc>
      </w:tr>
    </w:tbl>
    <w:p>
      <w:pPr>
        <w:ind w:left="87"/>
        <w:spacing w:after="0"/>
        <w:tabs>
          <w:tab w:leader="none" w:pos="426" w:val="left"/>
        </w:tabs>
        <w:rPr>
          <w:sz w:val="20"/>
          <w:szCs w:val="20"/>
          <w:color w:val="auto"/>
        </w:rPr>
      </w:pPr>
      <w:r>
        <w:rPr>
          <w:rFonts w:ascii="Courier New" w:cs="Courier New" w:eastAsia="Courier New" w:hAnsi="Courier New"/>
          <w:sz w:val="15"/>
          <w:szCs w:val="15"/>
          <w:color w:val="auto"/>
        </w:rPr>
        <w:t>nm</w:t>
        <w:tab/>
        <w:t>Not meaningful.</w:t>
      </w:r>
    </w:p>
    <w:p>
      <w:pPr>
        <w:spacing w:after="0" w:line="326" w:lineRule="exact"/>
        <w:rPr>
          <w:sz w:val="20"/>
          <w:szCs w:val="20"/>
          <w:color w:val="auto"/>
        </w:rPr>
      </w:pPr>
    </w:p>
    <w:p>
      <w:pPr>
        <w:ind w:left="547" w:right="1180"/>
        <w:spacing w:after="0" w:line="264" w:lineRule="auto"/>
        <w:rPr>
          <w:sz w:val="20"/>
          <w:szCs w:val="20"/>
          <w:color w:val="auto"/>
        </w:rPr>
      </w:pPr>
      <w:r>
        <w:rPr>
          <w:rFonts w:ascii="Courier New" w:cs="Courier New" w:eastAsia="Courier New" w:hAnsi="Courier New"/>
          <w:sz w:val="15"/>
          <w:szCs w:val="15"/>
          <w:color w:val="auto"/>
        </w:rPr>
        <w:t>Operating income reported for Scotts' three reportable segments represents earnings before amortization of intangible assets, interest and taxes, since this is the measure of profitability used by management. Accordingly, the corporate operating loss for the three and six month periods ended March 27, 2004 and March 29, 2003 includes amortization of certain intangible assets, unallocated corporate general and administrative expenses, North America restructuring charges and certain "other" income (expense) items not allocated to the reportable segments.</w:t>
      </w:r>
    </w:p>
    <w:p>
      <w:pPr>
        <w:spacing w:after="0" w:line="78" w:lineRule="exact"/>
        <w:rPr>
          <w:sz w:val="20"/>
          <w:szCs w:val="20"/>
          <w:color w:val="auto"/>
        </w:rPr>
      </w:pPr>
    </w:p>
    <w:p>
      <w:pPr>
        <w:ind w:left="547" w:right="1180"/>
        <w:spacing w:after="0" w:line="264" w:lineRule="auto"/>
        <w:rPr>
          <w:sz w:val="20"/>
          <w:szCs w:val="20"/>
          <w:color w:val="auto"/>
        </w:rPr>
      </w:pPr>
      <w:r>
        <w:rPr>
          <w:rFonts w:ascii="Courier New" w:cs="Courier New" w:eastAsia="Courier New" w:hAnsi="Courier New"/>
          <w:sz w:val="15"/>
          <w:szCs w:val="15"/>
          <w:color w:val="auto"/>
        </w:rPr>
        <w:t>Goodwill reported as of March 27, 2004 is $423.3 million, an increase of $16.8 million from $406.5 million at September 30, 2003. The increases in both the North America and Scotts LawnService(R) reported segments were due to the purchasing of remaining minority interest shares in two majority-owned consolidated entities, increasing goodwill by $9.0 million. The International segment was impacted by changes in foreign exchange rates, resulting in an increase of $6.6 million to goodwill for the six months ended March 27, 2004.</w:t>
      </w:r>
    </w:p>
    <w:p>
      <w:pPr>
        <w:spacing w:after="0" w:line="78" w:lineRule="exact"/>
        <w:rPr>
          <w:sz w:val="20"/>
          <w:szCs w:val="20"/>
          <w:color w:val="auto"/>
        </w:rPr>
      </w:pPr>
    </w:p>
    <w:p>
      <w:pPr>
        <w:ind w:left="547" w:right="1440"/>
        <w:spacing w:after="0" w:line="287" w:lineRule="auto"/>
        <w:rPr>
          <w:sz w:val="20"/>
          <w:szCs w:val="20"/>
          <w:color w:val="auto"/>
        </w:rPr>
      </w:pPr>
      <w:r>
        <w:rPr>
          <w:rFonts w:ascii="Courier New" w:cs="Courier New" w:eastAsia="Courier New" w:hAnsi="Courier New"/>
          <w:sz w:val="15"/>
          <w:szCs w:val="15"/>
          <w:color w:val="auto"/>
        </w:rPr>
        <w:t>Total assets reported for Scotts' reportable segments include the intangible assets for the acquired businesses within those segments. Corporate assets primarily include deferred financing and debt issuance costs, corporate intangible assets and deferred tax assets.</w:t>
      </w:r>
    </w:p>
    <w:p>
      <w:pPr>
        <w:spacing w:after="0" w:line="61" w:lineRule="exact"/>
        <w:rPr>
          <w:sz w:val="20"/>
          <w:szCs w:val="20"/>
          <w:color w:val="auto"/>
        </w:rPr>
      </w:pPr>
    </w:p>
    <w:p>
      <w:pPr>
        <w:ind w:left="547" w:hanging="547"/>
        <w:spacing w:after="0"/>
        <w:tabs>
          <w:tab w:leader="none" w:pos="5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9" w:lineRule="exact"/>
        <w:rPr>
          <w:rFonts w:ascii="Courier New" w:cs="Courier New" w:eastAsia="Courier New" w:hAnsi="Courier New"/>
          <w:sz w:val="15"/>
          <w:szCs w:val="15"/>
          <w:color w:val="auto"/>
        </w:rPr>
      </w:pPr>
    </w:p>
    <w:p>
      <w:pPr>
        <w:ind w:left="547" w:right="1180"/>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6 5/8% Senior Subordinated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81" w:lineRule="exact"/>
        <w:rPr>
          <w:rFonts w:ascii="Courier New" w:cs="Courier New" w:eastAsia="Courier New" w:hAnsi="Courier New"/>
          <w:sz w:val="15"/>
          <w:szCs w:val="15"/>
          <w:color w:val="auto"/>
        </w:rPr>
      </w:pPr>
    </w:p>
    <w:p>
      <w:pPr>
        <w:ind w:left="547" w:right="1180"/>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unaudited information presents consolidated Statements of Operations for the three and six month periods ended March 27, 2004 and March 29, 2003, Statements of Cash Flows for the six month periods ended March 27, 2004 and March 29, 2003 and Balance Sheets as of March 27, 2004, March 29, 2003 and September 30, 2003. Separate unaudited financial statements of the individual guarantor subsidiaries have not been provided because management does not believe they would be meaningful to investors.</w:t>
      </w:r>
    </w:p>
    <w:p>
      <w:pPr>
        <w:spacing w:after="0" w:line="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90"/>
        <w:spacing w:after="0"/>
        <w:rPr>
          <w:sz w:val="20"/>
          <w:szCs w:val="20"/>
          <w:color w:val="auto"/>
        </w:rPr>
      </w:pPr>
      <w:r>
        <w:rPr>
          <w:rFonts w:ascii="Courier New" w:cs="Courier New" w:eastAsia="Courier New" w:hAnsi="Courier New"/>
          <w:sz w:val="15"/>
          <w:szCs w:val="15"/>
          <w:color w:val="auto"/>
        </w:rPr>
        <w:t>TOTAL</w:t>
      </w:r>
    </w:p>
    <w:p>
      <w:pPr>
        <w:spacing w:after="0" w:line="33" w:lineRule="exact"/>
        <w:rPr>
          <w:sz w:val="20"/>
          <w:szCs w:val="20"/>
          <w:color w:val="auto"/>
        </w:rPr>
      </w:pPr>
    </w:p>
    <w:p>
      <w:pPr>
        <w:ind w:left="19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915.4</w:t>
      </w:r>
    </w:p>
    <w:p>
      <w:pPr>
        <w:spacing w:after="0" w:line="33" w:lineRule="exact"/>
        <w:rPr>
          <w:sz w:val="20"/>
          <w:szCs w:val="20"/>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856.9</w:t>
      </w:r>
    </w:p>
    <w:p>
      <w:pPr>
        <w:spacing w:after="0" w:line="5" w:lineRule="exact"/>
        <w:rPr>
          <w:sz w:val="20"/>
          <w:szCs w:val="20"/>
          <w:color w:val="auto"/>
        </w:rPr>
      </w:pPr>
    </w:p>
    <w:p>
      <w:pPr>
        <w:ind w:left="450" w:hanging="450"/>
        <w:spacing w:after="0"/>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729.2</w:t>
      </w:r>
    </w:p>
    <w:p>
      <w:pPr>
        <w:spacing w:after="0" w:line="5" w:lineRule="exact"/>
        <w:rPr>
          <w:sz w:val="20"/>
          <w:szCs w:val="20"/>
          <w:color w:val="auto"/>
        </w:rPr>
      </w:pPr>
    </w:p>
    <w:p>
      <w:pPr>
        <w:ind w:left="450" w:hanging="450"/>
        <w:spacing w:after="0"/>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676.2</w:t>
      </w:r>
    </w:p>
    <w:p>
      <w:pPr>
        <w:spacing w:after="0" w:line="152" w:lineRule="exact"/>
        <w:rPr>
          <w:sz w:val="20"/>
          <w:szCs w:val="20"/>
          <w:color w:val="auto"/>
        </w:rPr>
      </w:pPr>
    </w:p>
    <w:p>
      <w:pPr>
        <w:ind w:left="550" w:hanging="550"/>
        <w:spacing w:after="0"/>
        <w:tabs>
          <w:tab w:leader="none" w:pos="5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78.4</w:t>
      </w:r>
    </w:p>
    <w:p>
      <w:pPr>
        <w:spacing w:after="0" w:line="33" w:lineRule="exact"/>
        <w:rPr>
          <w:sz w:val="20"/>
          <w:szCs w:val="20"/>
          <w:color w:val="auto"/>
        </w:rPr>
      </w:pPr>
    </w:p>
    <w:p>
      <w:pPr>
        <w:ind w:left="550" w:hanging="550"/>
        <w:spacing w:after="0"/>
        <w:tabs>
          <w:tab w:leader="none" w:pos="5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64.6</w:t>
      </w:r>
    </w:p>
    <w:p>
      <w:pPr>
        <w:spacing w:after="0" w:line="5" w:lineRule="exact"/>
        <w:rPr>
          <w:sz w:val="20"/>
          <w:szCs w:val="20"/>
          <w:color w:val="auto"/>
        </w:rPr>
      </w:pPr>
    </w:p>
    <w:p>
      <w:pPr>
        <w:ind w:left="450" w:hanging="450"/>
        <w:spacing w:after="0"/>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134.9</w:t>
      </w:r>
    </w:p>
    <w:p>
      <w:pPr>
        <w:spacing w:after="0" w:line="4"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121.6</w:t>
      </w:r>
    </w:p>
    <w:p>
      <w:pPr>
        <w:spacing w:after="0" w:line="152" w:lineRule="exact"/>
        <w:rPr>
          <w:sz w:val="20"/>
          <w:szCs w:val="20"/>
          <w:color w:val="auto"/>
        </w:rPr>
      </w:pPr>
    </w:p>
    <w:p>
      <w:pPr>
        <w:jc w:val="right"/>
        <w:ind w:right="219"/>
        <w:spacing w:after="0"/>
        <w:rPr>
          <w:sz w:val="20"/>
          <w:szCs w:val="20"/>
          <w:color w:val="auto"/>
        </w:rPr>
      </w:pPr>
      <w:r>
        <w:rPr>
          <w:rFonts w:ascii="Courier New" w:cs="Courier New" w:eastAsia="Courier New" w:hAnsi="Courier New"/>
          <w:sz w:val="15"/>
          <w:szCs w:val="15"/>
          <w:color w:val="auto"/>
        </w:rPr>
        <w:t>8.6%</w:t>
      </w:r>
    </w:p>
    <w:p>
      <w:pPr>
        <w:spacing w:after="0" w:line="33" w:lineRule="exact"/>
        <w:rPr>
          <w:sz w:val="20"/>
          <w:szCs w:val="20"/>
          <w:color w:val="auto"/>
        </w:rPr>
      </w:pPr>
    </w:p>
    <w:p>
      <w:pPr>
        <w:jc w:val="right"/>
        <w:ind w:right="219"/>
        <w:spacing w:after="0"/>
        <w:rPr>
          <w:sz w:val="20"/>
          <w:szCs w:val="20"/>
          <w:color w:val="auto"/>
        </w:rPr>
      </w:pPr>
      <w:r>
        <w:rPr>
          <w:rFonts w:ascii="Courier New" w:cs="Courier New" w:eastAsia="Courier New" w:hAnsi="Courier New"/>
          <w:sz w:val="15"/>
          <w:szCs w:val="15"/>
          <w:color w:val="auto"/>
        </w:rPr>
        <w:t>7.5%</w:t>
      </w:r>
    </w:p>
    <w:p>
      <w:pPr>
        <w:spacing w:after="0" w:line="5" w:lineRule="exact"/>
        <w:rPr>
          <w:sz w:val="20"/>
          <w:szCs w:val="20"/>
          <w:color w:val="auto"/>
        </w:rPr>
      </w:pPr>
    </w:p>
    <w:p>
      <w:pPr>
        <w:jc w:val="right"/>
        <w:ind w:right="219"/>
        <w:spacing w:after="0"/>
        <w:rPr>
          <w:sz w:val="20"/>
          <w:szCs w:val="20"/>
          <w:color w:val="auto"/>
        </w:rPr>
      </w:pPr>
      <w:r>
        <w:rPr>
          <w:rFonts w:ascii="Courier New" w:cs="Courier New" w:eastAsia="Courier New" w:hAnsi="Courier New"/>
          <w:sz w:val="15"/>
          <w:szCs w:val="15"/>
          <w:color w:val="auto"/>
        </w:rPr>
        <w:t>18.5%</w:t>
      </w:r>
    </w:p>
    <w:p>
      <w:pPr>
        <w:spacing w:after="0" w:line="5" w:lineRule="exact"/>
        <w:rPr>
          <w:sz w:val="20"/>
          <w:szCs w:val="20"/>
          <w:color w:val="auto"/>
        </w:rPr>
      </w:pPr>
    </w:p>
    <w:p>
      <w:pPr>
        <w:jc w:val="right"/>
        <w:ind w:right="219"/>
        <w:spacing w:after="0"/>
        <w:rPr>
          <w:sz w:val="20"/>
          <w:szCs w:val="20"/>
          <w:color w:val="auto"/>
        </w:rPr>
      </w:pPr>
      <w:r>
        <w:rPr>
          <w:rFonts w:ascii="Courier New" w:cs="Courier New" w:eastAsia="Courier New" w:hAnsi="Courier New"/>
          <w:sz w:val="15"/>
          <w:szCs w:val="15"/>
          <w:color w:val="auto"/>
        </w:rPr>
        <w:t>18.0%</w:t>
      </w:r>
    </w:p>
    <w:p>
      <w:pPr>
        <w:spacing w:after="0" w:line="152" w:lineRule="exact"/>
        <w:rPr>
          <w:sz w:val="20"/>
          <w:szCs w:val="20"/>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423.3</w:t>
      </w:r>
    </w:p>
    <w:p>
      <w:pPr>
        <w:spacing w:after="0" w:line="33" w:lineRule="exact"/>
        <w:rPr>
          <w:sz w:val="20"/>
          <w:szCs w:val="20"/>
          <w:color w:val="auto"/>
        </w:rPr>
      </w:pPr>
    </w:p>
    <w:p>
      <w:pPr>
        <w:ind w:left="450" w:hanging="450"/>
        <w:spacing w:after="0"/>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384.2</w:t>
      </w:r>
    </w:p>
    <w:p>
      <w:pPr>
        <w:spacing w:after="0" w:line="152" w:lineRule="exact"/>
        <w:rPr>
          <w:sz w:val="20"/>
          <w:szCs w:val="20"/>
          <w:color w:val="auto"/>
        </w:rPr>
      </w:pPr>
    </w:p>
    <w:p>
      <w:pPr>
        <w:ind w:left="270" w:hanging="270"/>
        <w:spacing w:after="0"/>
        <w:tabs>
          <w:tab w:leader="none" w:pos="2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2,541.3</w:t>
      </w:r>
    </w:p>
    <w:p>
      <w:pPr>
        <w:spacing w:after="0" w:line="32"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2,453.9</w:t>
      </w:r>
    </w:p>
    <w:p>
      <w:pPr>
        <w:sectPr>
          <w:pgSz w:w="11900" w:h="16838" w:orient="portrait"/>
          <w:cols w:equalWidth="0" w:num="2">
            <w:col w:w="8447" w:space="550"/>
            <w:col w:w="1229"/>
          </w:cols>
          <w:pgMar w:left="233" w:top="1139" w:right="1440" w:bottom="1440" w:gutter="0" w:footer="0" w:header="0"/>
        </w:sectPr>
      </w:pPr>
    </w:p>
    <w:bookmarkStart w:id="18" w:name="page19"/>
    <w:bookmarkEnd w:id="18"/>
    <w:p>
      <w:pPr>
        <w:ind w:left="28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STATEMENT OF OPERATIONS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FOR THE THREE MONTHS ENDED MARCH 27, 2004 (IN MILLIONS)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w w:val="96"/>
              </w:rPr>
              <w:t>PARENT</w:t>
            </w: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NON-</w:t>
            </w:r>
          </w:p>
        </w:tc>
        <w:tc>
          <w:tcPr>
            <w:tcW w:w="15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GUARANTORS</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GUARANTORS</w:t>
            </w:r>
          </w:p>
        </w:tc>
        <w:tc>
          <w:tcPr>
            <w:tcW w:w="15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418.7</w:t>
            </w: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137.7</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172.8</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3"/>
                <w:szCs w:val="23"/>
                <w:color w:val="auto"/>
              </w:rPr>
            </w:pP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729.2</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257.7</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76.7</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104.6</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439.0</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 ..........</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161.0</w:t>
            </w:r>
          </w:p>
        </w:tc>
        <w:tc>
          <w:tcPr>
            <w:tcW w:w="1560" w:type="dxa"/>
            <w:vAlign w:val="bottom"/>
            <w:gridSpan w:val="2"/>
            <w:vMerge w:val="continue"/>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61.0</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68.0</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290.0</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46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13.8</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agreement .............................</w:t>
            </w: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Costs associated with marketing agreement</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5"/>
        </w:trPr>
        <w:tc>
          <w:tcPr>
            <w:tcW w:w="40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commission from marketing agreement</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6.7</w:t>
            </w: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6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28.4</w:t>
            </w:r>
          </w:p>
        </w:tc>
        <w:tc>
          <w:tcPr>
            <w:tcW w:w="560" w:type="dxa"/>
            <w:vAlign w:val="bottom"/>
          </w:tcPr>
          <w:p>
            <w:pPr>
              <w:spacing w:after="0"/>
              <w:rPr>
                <w:sz w:val="15"/>
                <w:szCs w:val="15"/>
                <w:color w:val="auto"/>
              </w:rPr>
            </w:pPr>
          </w:p>
        </w:tc>
        <w:tc>
          <w:tcPr>
            <w:tcW w:w="10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10.2</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39.8</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Advertising ...........................</w:t>
            </w: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81.0</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13.7</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125.4</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 .......</w:t>
            </w:r>
          </w:p>
        </w:tc>
        <w:tc>
          <w:tcPr>
            <w:tcW w:w="46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0.1</w:t>
            </w:r>
          </w:p>
        </w:tc>
        <w:tc>
          <w:tcPr>
            <w:tcW w:w="560" w:type="dxa"/>
            <w:vAlign w:val="bottom"/>
          </w:tcPr>
          <w:p>
            <w:pPr>
              <w:spacing w:after="0"/>
              <w:rPr>
                <w:sz w:val="15"/>
                <w:szCs w:val="15"/>
                <w:color w:val="auto"/>
              </w:rPr>
            </w:pPr>
          </w:p>
        </w:tc>
        <w:tc>
          <w:tcPr>
            <w:tcW w:w="10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 assets .....</w:t>
            </w: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spacing w:after="0"/>
              <w:rPr>
                <w:sz w:val="15"/>
                <w:szCs w:val="15"/>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40.7</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(40.7)</w:t>
            </w:r>
          </w:p>
        </w:tc>
        <w:tc>
          <w:tcPr>
            <w:tcW w:w="5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(4.1)</w:t>
            </w: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8.4</w:t>
            </w: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Intracompany allocations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w:t>
            </w: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 net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(0.3)</w:t>
            </w:r>
          </w:p>
        </w:tc>
        <w:tc>
          <w:tcPr>
            <w:tcW w:w="5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103.5</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49.7</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20.1</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(40.7)</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132.6</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Costs related to refinancing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0.6</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93.2</w:t>
            </w: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49.7</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(40.7)</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118.5</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tax expense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20.1</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19.0</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45.4</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w:t>
            </w:r>
          </w:p>
        </w:tc>
        <w:tc>
          <w:tcPr>
            <w:tcW w:w="460" w:type="dxa"/>
            <w:vAlign w:val="bottom"/>
            <w:vMerge w:val="restart"/>
          </w:tcPr>
          <w:p>
            <w:pPr>
              <w:ind w:left="28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73.1</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30.7</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(40.7)</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73.1</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080" w:type="dxa"/>
            <w:vAlign w:val="bottom"/>
          </w:tcPr>
          <w:p>
            <w:pPr>
              <w:ind w:left="3540"/>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40" w:right="139" w:bottom="1440" w:gutter="0" w:footer="0" w:header="0"/>
        </w:sectPr>
      </w:pPr>
    </w:p>
    <w:bookmarkStart w:id="19" w:name="page20"/>
    <w:bookmarkEnd w:id="19"/>
    <w:p>
      <w:pPr>
        <w:ind w:left="28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STATEMENT OF OPERATIONS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FOR THE SIX MONTHS ENDED MARCH 27, 2004 (IN MILLIONS)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w w:val="96"/>
              </w:rPr>
              <w:t>PARENT</w:t>
            </w: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NON-</w:t>
            </w:r>
          </w:p>
        </w:tc>
        <w:tc>
          <w:tcPr>
            <w:tcW w:w="15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GUARANTORS</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GUARANTORS</w:t>
            </w:r>
          </w:p>
        </w:tc>
        <w:tc>
          <w:tcPr>
            <w:tcW w:w="15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479.4</w:t>
            </w: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196.9</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239.1</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3"/>
                <w:szCs w:val="23"/>
                <w:color w:val="auto"/>
              </w:rPr>
            </w:pP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915.4</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294.4</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136.0</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145.0</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575.4</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0.3</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0.4</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184.7</w:t>
            </w:r>
          </w:p>
        </w:tc>
        <w:tc>
          <w:tcPr>
            <w:tcW w:w="1560" w:type="dxa"/>
            <w:vAlign w:val="bottom"/>
            <w:gridSpan w:val="2"/>
            <w:vMerge w:val="continue"/>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60.9</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93.7</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339.3</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46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13.4</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agreement .............................</w:t>
            </w: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Costs associated with marketing agreement</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175"/>
        </w:trPr>
        <w:tc>
          <w:tcPr>
            <w:tcW w:w="40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commission from marketing agreement</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(0.8)</w:t>
            </w: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6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32.6</w:t>
            </w:r>
          </w:p>
        </w:tc>
        <w:tc>
          <w:tcPr>
            <w:tcW w:w="560" w:type="dxa"/>
            <w:vAlign w:val="bottom"/>
          </w:tcPr>
          <w:p>
            <w:pPr>
              <w:spacing w:after="0"/>
              <w:rPr>
                <w:sz w:val="15"/>
                <w:szCs w:val="15"/>
                <w:color w:val="auto"/>
              </w:rPr>
            </w:pPr>
          </w:p>
        </w:tc>
        <w:tc>
          <w:tcPr>
            <w:tcW w:w="10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13.2</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48.1</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Advertising ...........................</w:t>
            </w: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137.3</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24.4</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55.4</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217.1</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 .......</w:t>
            </w:r>
          </w:p>
        </w:tc>
        <w:tc>
          <w:tcPr>
            <w:tcW w:w="46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0.2</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0.6</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 assets .....</w:t>
            </w: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580" w:type="dxa"/>
            <w:vAlign w:val="bottom"/>
          </w:tcPr>
          <w:p>
            <w:pPr>
              <w:spacing w:after="0"/>
              <w:rPr>
                <w:sz w:val="15"/>
                <w:szCs w:val="15"/>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25.7</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(25.7)</w:t>
            </w:r>
          </w:p>
        </w:tc>
        <w:tc>
          <w:tcPr>
            <w:tcW w:w="560" w:type="dxa"/>
            <w:vAlign w:val="bottom"/>
          </w:tcPr>
          <w:p>
            <w:pPr>
              <w:spacing w:after="0"/>
              <w:rPr>
                <w:sz w:val="15"/>
                <w:szCs w:val="15"/>
                <w:color w:val="auto"/>
              </w:rPr>
            </w:pPr>
          </w:p>
        </w:tc>
        <w:tc>
          <w:tcPr>
            <w:tcW w:w="10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2.1</w:t>
            </w: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10.3</w:t>
            </w: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Intracompany allocations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(12.4)</w:t>
            </w: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 net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(0.6)</w:t>
            </w:r>
          </w:p>
        </w:tc>
        <w:tc>
          <w:tcPr>
            <w:tcW w:w="5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52.5</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31.1</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(25.7)</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73.6</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20.2</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25.4</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Costs related to refinancing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44.3</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44.3</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(12.0)</w:t>
            </w: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31.1</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(25.7)</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tax expense (benefit)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(14.4)</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11.9</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w:t>
            </w:r>
          </w:p>
        </w:tc>
        <w:tc>
          <w:tcPr>
            <w:tcW w:w="460" w:type="dxa"/>
            <w:vAlign w:val="bottom"/>
            <w:vMerge w:val="restart"/>
          </w:tcPr>
          <w:p>
            <w:pPr>
              <w:ind w:left="28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2.4</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19.2</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(25.7)</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080" w:type="dxa"/>
            <w:vAlign w:val="bottom"/>
          </w:tcPr>
          <w:p>
            <w:pPr>
              <w:ind w:left="3540"/>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40" w:right="139" w:bottom="1440" w:gutter="0" w:footer="0" w:header="0"/>
        </w:sectPr>
      </w:pPr>
    </w:p>
    <w:bookmarkStart w:id="20" w:name="page21"/>
    <w:bookmarkEnd w:id="20"/>
    <w:p>
      <w:pPr>
        <w:ind w:left="28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STATEMENT OF CASH FLOWS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FOR THE SIX MONTH PERIOD ENDED MARCH 27, 2004 (IN MILLIONS)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6"/>
              </w:rPr>
              <w:t>PARENT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NON-</w:t>
            </w:r>
          </w:p>
        </w:tc>
        <w:tc>
          <w:tcPr>
            <w:tcW w:w="136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2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2.4</w:t>
            </w:r>
          </w:p>
        </w:tc>
        <w:tc>
          <w:tcPr>
            <w:tcW w:w="4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19.2</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6.5</w:t>
            </w:r>
          </w:p>
        </w:tc>
        <w:tc>
          <w:tcPr>
            <w:tcW w:w="5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(25.7)</w:t>
            </w:r>
          </w:p>
        </w:tc>
        <w:tc>
          <w:tcPr>
            <w:tcW w:w="4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used in operating activities:</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44.3</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44.3</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Costs related to refinancing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Stock-based compensation expense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w:t>
            </w:r>
          </w:p>
        </w:tc>
        <w:tc>
          <w:tcPr>
            <w:tcW w:w="460" w:type="dxa"/>
            <w:vAlign w:val="bottom"/>
          </w:tcPr>
          <w:p>
            <w:pPr>
              <w:spacing w:after="0"/>
              <w:rPr>
                <w:sz w:val="15"/>
                <w:szCs w:val="15"/>
                <w:color w:val="auto"/>
              </w:rPr>
            </w:pP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5.7</w:t>
            </w:r>
          </w:p>
        </w:tc>
        <w:tc>
          <w:tcPr>
            <w:tcW w:w="36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2.8</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Depreciation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w:t>
            </w: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Taxes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25.7</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Equity (income) loss in subsidiaries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(25.7)</w:t>
            </w:r>
          </w:p>
        </w:tc>
        <w:tc>
          <w:tcPr>
            <w:tcW w:w="46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(32.9)</w:t>
            </w: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(125.4)</w:t>
            </w:r>
          </w:p>
        </w:tc>
        <w:tc>
          <w:tcPr>
            <w:tcW w:w="5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(475.3)</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change in certain components of working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(317.0)</w:t>
            </w: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 liabilities and</w:t>
            </w:r>
          </w:p>
        </w:tc>
        <w:tc>
          <w:tcPr>
            <w:tcW w:w="36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(15.0)</w:t>
            </w:r>
          </w:p>
        </w:tc>
        <w:tc>
          <w:tcPr>
            <w:tcW w:w="46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6.9</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adjustments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cash used in operating activities ..........</w:t>
            </w: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(291.7)</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(106.9)</w:t>
            </w:r>
          </w:p>
        </w:tc>
        <w:tc>
          <w:tcPr>
            <w:tcW w:w="5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(404.5)</w:t>
            </w:r>
          </w:p>
        </w:tc>
        <w:tc>
          <w:tcPr>
            <w:tcW w:w="0" w:type="dxa"/>
            <w:vAlign w:val="bottom"/>
          </w:tcPr>
          <w:p>
            <w:pPr>
              <w:spacing w:after="0"/>
              <w:rPr>
                <w:sz w:val="1"/>
                <w:szCs w:val="1"/>
                <w:color w:val="auto"/>
              </w:rPr>
            </w:pPr>
          </w:p>
        </w:tc>
      </w:tr>
      <w:tr>
        <w:trPr>
          <w:trHeight w:val="256"/>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5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460" w:type="dxa"/>
            <w:vAlign w:val="bottom"/>
          </w:tcPr>
          <w:p>
            <w:pPr>
              <w:spacing w:after="0"/>
              <w:rPr>
                <w:sz w:val="8"/>
                <w:szCs w:val="8"/>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360" w:type="dxa"/>
            <w:vAlign w:val="bottom"/>
          </w:tcPr>
          <w:p>
            <w:pPr>
              <w:spacing w:after="0"/>
              <w:rPr>
                <w:sz w:val="8"/>
                <w:szCs w:val="8"/>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Investment in property, plant and equipment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 net of cash</w:t>
            </w:r>
          </w:p>
        </w:tc>
        <w:tc>
          <w:tcPr>
            <w:tcW w:w="36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46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acquired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Payments on seller notes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w:t>
            </w:r>
          </w:p>
        </w:tc>
        <w:tc>
          <w:tcPr>
            <w:tcW w:w="132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75"/>
        </w:trPr>
        <w:tc>
          <w:tcPr>
            <w:tcW w:w="4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cash used in investing activities ..........</w:t>
            </w: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(4.4)</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w:t>
            </w:r>
          </w:p>
        </w:tc>
        <w:tc>
          <w:tcPr>
            <w:tcW w:w="5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c>
          <w:tcPr>
            <w:tcW w:w="0" w:type="dxa"/>
            <w:vAlign w:val="bottom"/>
          </w:tcPr>
          <w:p>
            <w:pPr>
              <w:spacing w:after="0"/>
              <w:rPr>
                <w:sz w:val="1"/>
                <w:szCs w:val="1"/>
                <w:color w:val="auto"/>
              </w:rPr>
            </w:pPr>
          </w:p>
        </w:tc>
      </w:tr>
      <w:tr>
        <w:trPr>
          <w:trHeight w:val="256"/>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5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 and bank</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2.8</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327.9</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330.7</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lines of credit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Gross borrowings under term loans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500.0</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(86.0)</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Gross repayments under term loans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(240.5)</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(326.5)</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Issuance of 6 5/8% Notes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Redemption of 8 5/8% Notes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(418.0)</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(418.0)</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Financing fees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Cash received from the exercise of stock options</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w:t>
            </w:r>
          </w:p>
        </w:tc>
        <w:tc>
          <w:tcPr>
            <w:tcW w:w="460" w:type="dxa"/>
            <w:vAlign w:val="bottom"/>
          </w:tcPr>
          <w:p>
            <w:pPr>
              <w:spacing w:after="0"/>
              <w:rPr>
                <w:sz w:val="15"/>
                <w:szCs w:val="15"/>
                <w:color w:val="auto"/>
              </w:rPr>
            </w:pP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19.5</w:t>
            </w: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(143.1)</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Intracompany financing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123.6</w:t>
            </w: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cash provided by financing activities ......</w:t>
            </w: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168.6</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19.5</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98.8</w:t>
            </w:r>
          </w:p>
        </w:tc>
        <w:tc>
          <w:tcPr>
            <w:tcW w:w="5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286.9</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Effect of exchange rate changes on cash ........</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gridSpan w:val="2"/>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w:t>
            </w: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4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increase (decrease) in cash ................</w:t>
            </w: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(127.5)</w:t>
            </w:r>
          </w:p>
        </w:tc>
        <w:tc>
          <w:tcPr>
            <w:tcW w:w="1360" w:type="dxa"/>
            <w:vAlign w:val="bottom"/>
            <w:gridSpan w:val="2"/>
            <w:vMerge w:val="continue"/>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w:t>
            </w:r>
          </w:p>
        </w:tc>
        <w:tc>
          <w:tcPr>
            <w:tcW w:w="5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(141.7)</w:t>
            </w:r>
          </w:p>
        </w:tc>
        <w:tc>
          <w:tcPr>
            <w:tcW w:w="0" w:type="dxa"/>
            <w:vAlign w:val="bottom"/>
          </w:tcPr>
          <w:p>
            <w:pPr>
              <w:spacing w:after="0"/>
              <w:rPr>
                <w:sz w:val="1"/>
                <w:szCs w:val="1"/>
                <w:color w:val="auto"/>
              </w:rPr>
            </w:pPr>
          </w:p>
        </w:tc>
      </w:tr>
      <w:tr>
        <w:trPr>
          <w:trHeight w:val="175"/>
        </w:trPr>
        <w:tc>
          <w:tcPr>
            <w:tcW w:w="4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Cash and cash equivalents, beginning of period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132.1</w:t>
            </w:r>
          </w:p>
        </w:tc>
        <w:tc>
          <w:tcPr>
            <w:tcW w:w="46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22.6</w:t>
            </w: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155.9</w:t>
            </w:r>
          </w:p>
        </w:tc>
        <w:tc>
          <w:tcPr>
            <w:tcW w:w="0" w:type="dxa"/>
            <w:vAlign w:val="bottom"/>
          </w:tcPr>
          <w:p>
            <w:pPr>
              <w:spacing w:after="0"/>
              <w:rPr>
                <w:sz w:val="1"/>
                <w:szCs w:val="1"/>
                <w:color w:val="auto"/>
              </w:rPr>
            </w:pPr>
          </w:p>
        </w:tc>
      </w:tr>
      <w:tr>
        <w:trPr>
          <w:trHeight w:val="175"/>
        </w:trPr>
        <w:tc>
          <w:tcPr>
            <w:tcW w:w="4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Cash and cash equivalents, end of period .......</w:t>
            </w:r>
          </w:p>
        </w:tc>
        <w:tc>
          <w:tcPr>
            <w:tcW w:w="36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4.6</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2"/>
                <w:szCs w:val="22"/>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40" w:right="479" w:bottom="1440" w:gutter="0" w:footer="0" w:header="0"/>
        </w:sectPr>
      </w:pPr>
    </w:p>
    <w:bookmarkStart w:id="21" w:name="page22"/>
    <w:bookmarkEnd w:id="21"/>
    <w:p>
      <w:pPr>
        <w:jc w:val="center"/>
        <w:ind w:right="400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BALANCE SHEET</w:t>
      </w:r>
    </w:p>
    <w:p>
      <w:pPr>
        <w:spacing w:after="0" w:line="5"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AS OF MARCH 27, 2004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(UNAUDITED)</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6"/>
              </w:rPr>
              <w:t>PARENT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24"/>
                <w:szCs w:val="24"/>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NON-</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62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ASSETS</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4.6</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1.5</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8.1</w:t>
            </w:r>
          </w:p>
        </w:tc>
        <w:tc>
          <w:tcPr>
            <w:tcW w:w="136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Cash and cash equivalents ....................</w:t>
            </w:r>
          </w:p>
        </w:tc>
        <w:tc>
          <w:tcPr>
            <w:tcW w:w="3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Accounts receivable, net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355.1</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169.9</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251.0</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776.0</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Inventories, net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226.4</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85.4</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106.8</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418.6</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Current deferred tax asset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58.8</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60.7</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Prepaid and other assets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28.5</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12.4</w:t>
            </w:r>
          </w:p>
        </w:tc>
        <w:tc>
          <w:tcPr>
            <w:tcW w:w="13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46.2</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current assets ......................</w:t>
            </w:r>
          </w:p>
        </w:tc>
        <w:tc>
          <w:tcPr>
            <w:tcW w:w="380" w:type="dxa"/>
            <w:vAlign w:val="bottom"/>
          </w:tcPr>
          <w:p>
            <w:pPr>
              <w:ind w:left="180"/>
              <w:spacing w:after="0"/>
              <w:rPr>
                <w:sz w:val="20"/>
                <w:szCs w:val="20"/>
                <w:color w:val="auto"/>
              </w:rPr>
            </w:pPr>
            <w:r>
              <w:rPr>
                <w:rFonts w:ascii="Courier New" w:cs="Courier New" w:eastAsia="Courier New" w:hAnsi="Courier New"/>
                <w:sz w:val="4"/>
                <w:szCs w:val="4"/>
                <w:color w:val="auto"/>
                <w:w w:val="74"/>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673.4</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262.6</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379.7</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1,315.7</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Property, plant and equipment, net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196.2</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89.3</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44.0</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329.5</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Goodwill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274.1</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127.7</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423.3</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Intangible assets, net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279.9</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146.9</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431.7</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assets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41.2</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(1,071.1)</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Investment in affiliates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1,071.1</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225.1</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Intracompany assets .............................</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(225.1)</w:t>
            </w:r>
          </w:p>
        </w:tc>
        <w:tc>
          <w:tcPr>
            <w:tcW w:w="122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assets ..............................</w:t>
            </w:r>
          </w:p>
        </w:tc>
        <w:tc>
          <w:tcPr>
            <w:tcW w:w="38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87"/>
                <w:vertAlign w:val="subscript"/>
              </w:rPr>
              <w:t>$</w:t>
            </w:r>
            <w:r>
              <w:rPr>
                <w:rFonts w:ascii="Courier New" w:cs="Courier New" w:eastAsia="Courier New" w:hAnsi="Courier New"/>
                <w:sz w:val="3"/>
                <w:szCs w:val="3"/>
                <w:color w:val="auto"/>
                <w:w w:val="87"/>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2,008.3</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continue"/>
          </w:tcPr>
          <w:p>
            <w:pPr>
              <w:spacing w:after="0"/>
              <w:rPr>
                <w:sz w:val="15"/>
                <w:szCs w:val="15"/>
                <w:color w:val="auto"/>
              </w:rPr>
            </w:pP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1,132.5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696.7</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(1,296.2)</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2,541.3</w:t>
            </w:r>
          </w:p>
        </w:tc>
        <w:tc>
          <w:tcPr>
            <w:tcW w:w="0" w:type="dxa"/>
            <w:vAlign w:val="bottom"/>
          </w:tcPr>
          <w:p>
            <w:pPr>
              <w:spacing w:after="0"/>
              <w:rPr>
                <w:sz w:val="1"/>
                <w:szCs w:val="1"/>
                <w:color w:val="auto"/>
              </w:rPr>
            </w:pPr>
          </w:p>
        </w:tc>
      </w:tr>
      <w:tr>
        <w:trPr>
          <w:trHeight w:val="256"/>
        </w:trPr>
        <w:tc>
          <w:tcPr>
            <w:tcW w:w="4620" w:type="dxa"/>
            <w:vAlign w:val="bottom"/>
            <w:vMerge w:val="restart"/>
          </w:tcPr>
          <w:p>
            <w:pPr>
              <w:jc w:val="center"/>
              <w:ind w:left="204"/>
              <w:spacing w:after="0"/>
              <w:rPr>
                <w:sz w:val="20"/>
                <w:szCs w:val="20"/>
                <w:color w:val="auto"/>
              </w:rPr>
            </w:pPr>
            <w:r>
              <w:rPr>
                <w:rFonts w:ascii="Courier New" w:cs="Courier New" w:eastAsia="Courier New" w:hAnsi="Courier New"/>
                <w:sz w:val="15"/>
                <w:szCs w:val="15"/>
                <w:color w:val="auto"/>
              </w:rPr>
              <w:t>LIABILITIES AND SHAREHOLDERS' EQUITY</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2.5</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7.9</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17.3</w:t>
            </w:r>
          </w:p>
        </w:tc>
        <w:tc>
          <w:tcPr>
            <w:tcW w:w="13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27.7</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Current portion of debt ......................</w:t>
            </w:r>
          </w:p>
        </w:tc>
        <w:tc>
          <w:tcPr>
            <w:tcW w:w="3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Accounts payable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130.0</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46.6</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102.6</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279.2</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Accrued liabilities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130.7</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36.6</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95.8</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263.1</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Accrued taxes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0.9</w:t>
            </w:r>
          </w:p>
        </w:tc>
        <w:tc>
          <w:tcPr>
            <w:tcW w:w="13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current liabilities .................</w:t>
            </w:r>
          </w:p>
        </w:tc>
        <w:tc>
          <w:tcPr>
            <w:tcW w:w="380" w:type="dxa"/>
            <w:vAlign w:val="bottom"/>
          </w:tcPr>
          <w:p>
            <w:pPr>
              <w:ind w:left="180"/>
              <w:spacing w:after="0"/>
              <w:rPr>
                <w:sz w:val="20"/>
                <w:szCs w:val="20"/>
                <w:color w:val="auto"/>
              </w:rPr>
            </w:pPr>
            <w:r>
              <w:rPr>
                <w:rFonts w:ascii="Courier New" w:cs="Courier New" w:eastAsia="Courier New" w:hAnsi="Courier New"/>
                <w:sz w:val="4"/>
                <w:szCs w:val="4"/>
                <w:color w:val="auto"/>
                <w:w w:val="74"/>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283.2</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93.5</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216.6</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593.3</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Long-term debt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711.7</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323.3</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1,039.9</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liabilities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144.3</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17.3</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(225.1)</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162.3</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Intracompany liabilities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123.3</w:t>
            </w:r>
          </w:p>
        </w:tc>
        <w:tc>
          <w:tcPr>
            <w:tcW w:w="1360" w:type="dxa"/>
            <w:vAlign w:val="bottom"/>
            <w:gridSpan w:val="2"/>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101.8</w:t>
            </w:r>
          </w:p>
        </w:tc>
        <w:tc>
          <w:tcPr>
            <w:tcW w:w="1360" w:type="dxa"/>
            <w:vAlign w:val="bottom"/>
            <w:vMerge w:val="continue"/>
          </w:tcPr>
          <w:p>
            <w:pPr>
              <w:spacing w:after="0"/>
              <w:rPr>
                <w:sz w:val="15"/>
                <w:szCs w:val="15"/>
                <w:color w:val="auto"/>
              </w:rPr>
            </w:pPr>
          </w:p>
        </w:tc>
        <w:tc>
          <w:tcPr>
            <w:tcW w:w="122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liabilities .........................</w:t>
            </w:r>
          </w:p>
        </w:tc>
        <w:tc>
          <w:tcPr>
            <w:tcW w:w="380" w:type="dxa"/>
            <w:vAlign w:val="bottom"/>
          </w:tcPr>
          <w:p>
            <w:pPr>
              <w:ind w:left="180"/>
              <w:spacing w:after="0"/>
              <w:rPr>
                <w:sz w:val="20"/>
                <w:szCs w:val="20"/>
                <w:color w:val="auto"/>
              </w:rPr>
            </w:pPr>
            <w:r>
              <w:rPr>
                <w:rFonts w:ascii="Courier New" w:cs="Courier New" w:eastAsia="Courier New" w:hAnsi="Courier New"/>
                <w:sz w:val="4"/>
                <w:szCs w:val="4"/>
                <w:color w:val="auto"/>
                <w:w w:val="74"/>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1,262.5</w:t>
            </w:r>
          </w:p>
        </w:tc>
        <w:tc>
          <w:tcPr>
            <w:tcW w:w="1360" w:type="dxa"/>
            <w:vAlign w:val="bottom"/>
            <w:gridSpan w:val="2"/>
            <w:vMerge w:val="continue"/>
          </w:tcPr>
          <w:p>
            <w:pPr>
              <w:spacing w:after="0"/>
              <w:rPr>
                <w:sz w:val="15"/>
                <w:szCs w:val="15"/>
                <w:color w:val="auto"/>
              </w:rPr>
            </w:pP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99.1</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659.0</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(225.1)</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1,795.5</w:t>
            </w:r>
          </w:p>
        </w:tc>
        <w:tc>
          <w:tcPr>
            <w:tcW w:w="0" w:type="dxa"/>
            <w:vAlign w:val="bottom"/>
          </w:tcPr>
          <w:p>
            <w:pPr>
              <w:spacing w:after="0"/>
              <w:rPr>
                <w:sz w:val="1"/>
                <w:szCs w:val="1"/>
                <w:color w:val="auto"/>
              </w:rPr>
            </w:pPr>
          </w:p>
        </w:tc>
      </w:tr>
      <w:tr>
        <w:trPr>
          <w:trHeight w:val="25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Shareholders' equity:</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501.2</w:t>
            </w:r>
          </w:p>
        </w:tc>
        <w:tc>
          <w:tcPr>
            <w:tcW w:w="360" w:type="dxa"/>
            <w:vAlign w:val="bottom"/>
          </w:tcPr>
          <w:p>
            <w:pPr>
              <w:spacing w:after="0"/>
              <w:rPr>
                <w:sz w:val="8"/>
                <w:szCs w:val="8"/>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55.6</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(556.8)</w:t>
            </w: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Investment from parent .......................</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Common shares, no par value per share, $.01</w:t>
            </w:r>
          </w:p>
        </w:tc>
        <w:tc>
          <w:tcPr>
            <w:tcW w:w="38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0.8</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stated value per share .....................</w:t>
            </w: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compensation-stock awards ...........</w:t>
            </w:r>
          </w:p>
        </w:tc>
        <w:tc>
          <w:tcPr>
            <w:tcW w:w="3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(18.8)</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Capital in excess of par value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426.3</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534.0</w:t>
            </w:r>
          </w:p>
        </w:tc>
        <w:tc>
          <w:tcPr>
            <w:tcW w:w="360" w:type="dxa"/>
            <w:vAlign w:val="bottom"/>
          </w:tcPr>
          <w:p>
            <w:pPr>
              <w:spacing w:after="0"/>
              <w:rPr>
                <w:sz w:val="15"/>
                <w:szCs w:val="15"/>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9.3</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(543.3)</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426.3</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Retained earnings ............................</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401.0</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401.0</w:t>
            </w:r>
          </w:p>
        </w:tc>
        <w:tc>
          <w:tcPr>
            <w:tcW w:w="0" w:type="dxa"/>
            <w:vAlign w:val="bottom"/>
          </w:tcPr>
          <w:p>
            <w:pPr>
              <w:spacing w:after="0"/>
              <w:rPr>
                <w:sz w:val="1"/>
                <w:szCs w:val="1"/>
                <w:color w:val="auto"/>
              </w:rPr>
            </w:pPr>
          </w:p>
        </w:tc>
      </w:tr>
      <w:tr>
        <w:trPr>
          <w:trHeight w:val="175"/>
        </w:trPr>
        <w:tc>
          <w:tcPr>
            <w:tcW w:w="4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Accumulated other comprehensive expense ......</w:t>
            </w:r>
          </w:p>
        </w:tc>
        <w:tc>
          <w:tcPr>
            <w:tcW w:w="3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(63.5)</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29.0</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shareholders' equity ................</w:t>
            </w:r>
          </w:p>
        </w:tc>
        <w:tc>
          <w:tcPr>
            <w:tcW w:w="380" w:type="dxa"/>
            <w:vAlign w:val="bottom"/>
          </w:tcPr>
          <w:p>
            <w:pPr>
              <w:ind w:left="180"/>
              <w:spacing w:after="0"/>
              <w:rPr>
                <w:sz w:val="20"/>
                <w:szCs w:val="20"/>
                <w:color w:val="auto"/>
              </w:rPr>
            </w:pPr>
            <w:r>
              <w:rPr>
                <w:rFonts w:ascii="Courier New" w:cs="Courier New" w:eastAsia="Courier New" w:hAnsi="Courier New"/>
                <w:sz w:val="4"/>
                <w:szCs w:val="4"/>
                <w:color w:val="auto"/>
                <w:w w:val="74"/>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745.8</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1,033.4</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37.7</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(1,071.1)</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745.8</w:t>
            </w:r>
          </w:p>
        </w:tc>
        <w:tc>
          <w:tcPr>
            <w:tcW w:w="0" w:type="dxa"/>
            <w:vAlign w:val="bottom"/>
          </w:tcPr>
          <w:p>
            <w:pPr>
              <w:spacing w:after="0"/>
              <w:rPr>
                <w:sz w:val="1"/>
                <w:szCs w:val="1"/>
                <w:color w:val="auto"/>
              </w:rPr>
            </w:pPr>
          </w:p>
        </w:tc>
      </w:tr>
      <w:tr>
        <w:trPr>
          <w:trHeight w:val="175"/>
        </w:trPr>
        <w:tc>
          <w:tcPr>
            <w:tcW w:w="4620" w:type="dxa"/>
            <w:vAlign w:val="bottom"/>
            <w:vMerge w:val="restart"/>
          </w:tcPr>
          <w:p>
            <w:pPr>
              <w:jc w:val="center"/>
              <w:ind w:left="204"/>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8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87"/>
                <w:vertAlign w:val="subscript"/>
              </w:rPr>
              <w:t>$</w:t>
            </w:r>
            <w:r>
              <w:rPr>
                <w:rFonts w:ascii="Courier New" w:cs="Courier New" w:eastAsia="Courier New" w:hAnsi="Courier New"/>
                <w:sz w:val="3"/>
                <w:szCs w:val="3"/>
                <w:color w:val="auto"/>
                <w:w w:val="87"/>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2,008.3</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6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1,132.5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696.7</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(1,296.2)</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2,541.3</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6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21</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40" w:right="399" w:bottom="1440" w:gutter="0" w:footer="0" w:header="0"/>
        </w:sectPr>
      </w:pPr>
    </w:p>
    <w:bookmarkStart w:id="22" w:name="page23"/>
    <w:bookmarkEnd w:id="22"/>
    <w:p>
      <w:pPr>
        <w:ind w:left="28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STATEMENT OF OPERATIONS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FOR THE THREE MONTHS ENDED MARCH 29, 2003 (IN MILLIONS)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w w:val="96"/>
              </w:rPr>
              <w:t>PARENT</w:t>
            </w: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NON-</w:t>
            </w:r>
          </w:p>
        </w:tc>
        <w:tc>
          <w:tcPr>
            <w:tcW w:w="15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GUARANTORS</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GUARANTORS</w:t>
            </w:r>
          </w:p>
        </w:tc>
        <w:tc>
          <w:tcPr>
            <w:tcW w:w="15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389.9</w:t>
            </w: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128.8</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157.5</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3"/>
                <w:szCs w:val="23"/>
                <w:color w:val="auto"/>
              </w:rPr>
            </w:pP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676.2</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248.0</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71.3</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98.3</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417.6</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0.4</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0.3</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141.5</w:t>
            </w:r>
          </w:p>
        </w:tc>
        <w:tc>
          <w:tcPr>
            <w:tcW w:w="1560" w:type="dxa"/>
            <w:vAlign w:val="bottom"/>
            <w:gridSpan w:val="2"/>
            <w:vMerge w:val="continue"/>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57.5</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58.9</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257.9</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46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10.3</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agreement .............................</w:t>
            </w: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Costs associated with marketing agreement</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5"/>
        </w:trPr>
        <w:tc>
          <w:tcPr>
            <w:tcW w:w="40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commission from marketing agreement</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3.2</w:t>
            </w: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6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25.6</w:t>
            </w:r>
          </w:p>
        </w:tc>
        <w:tc>
          <w:tcPr>
            <w:tcW w:w="560" w:type="dxa"/>
            <w:vAlign w:val="bottom"/>
          </w:tcPr>
          <w:p>
            <w:pPr>
              <w:spacing w:after="0"/>
              <w:rPr>
                <w:sz w:val="15"/>
                <w:szCs w:val="15"/>
                <w:color w:val="auto"/>
              </w:rPr>
            </w:pPr>
          </w:p>
        </w:tc>
        <w:tc>
          <w:tcPr>
            <w:tcW w:w="10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8.3</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34.9</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Advertising ...........................</w:t>
            </w: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66.1</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13.4</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26.1</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105.6</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5"/>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 assets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5"/>
                <w:szCs w:val="15"/>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40.1</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(40.1)</w:t>
            </w:r>
          </w:p>
        </w:tc>
        <w:tc>
          <w:tcPr>
            <w:tcW w:w="5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(2.1)</w:t>
            </w: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3.9</w:t>
            </w: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Intracompany allocations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w:t>
            </w: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 net ........................</w:t>
            </w:r>
          </w:p>
        </w:tc>
        <w:tc>
          <w:tcPr>
            <w:tcW w:w="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(0.2)</w:t>
            </w:r>
          </w:p>
        </w:tc>
        <w:tc>
          <w:tcPr>
            <w:tcW w:w="5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94.0</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45.3</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20.3</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(40.1)</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119.5</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17.9</w:t>
            </w:r>
          </w:p>
        </w:tc>
        <w:tc>
          <w:tcPr>
            <w:tcW w:w="5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 ........</w:t>
            </w:r>
          </w:p>
        </w:tc>
        <w:tc>
          <w:tcPr>
            <w:tcW w:w="460" w:type="dxa"/>
            <w:vAlign w:val="bottom"/>
          </w:tcPr>
          <w:p>
            <w:pPr>
              <w:ind w:left="28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76.1</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49.1</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(40.1)</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100.8</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tax expense .......................</w:t>
            </w:r>
          </w:p>
        </w:tc>
        <w:tc>
          <w:tcPr>
            <w:tcW w:w="46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13.6</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18.7</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w:t>
            </w:r>
          </w:p>
        </w:tc>
        <w:tc>
          <w:tcPr>
            <w:tcW w:w="460" w:type="dxa"/>
            <w:vAlign w:val="bottom"/>
            <w:vMerge w:val="restart"/>
          </w:tcPr>
          <w:p>
            <w:pPr>
              <w:ind w:left="28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62.5</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30.4</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(40.1)</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62.5</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080" w:type="dxa"/>
            <w:vAlign w:val="bottom"/>
          </w:tcPr>
          <w:p>
            <w:pPr>
              <w:ind w:left="3540"/>
              <w:spacing w:after="0"/>
              <w:rPr>
                <w:sz w:val="20"/>
                <w:szCs w:val="20"/>
                <w:color w:val="auto"/>
              </w:rPr>
            </w:pPr>
            <w:r>
              <w:rPr>
                <w:rFonts w:ascii="Courier New" w:cs="Courier New" w:eastAsia="Courier New" w:hAnsi="Courier New"/>
                <w:sz w:val="15"/>
                <w:szCs w:val="15"/>
                <w:color w:val="auto"/>
              </w:rPr>
              <w:t>22</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40" w:right="139" w:bottom="1440" w:gutter="0" w:footer="0" w:header="0"/>
        </w:sectPr>
      </w:pPr>
    </w:p>
    <w:bookmarkStart w:id="23" w:name="page24"/>
    <w:bookmarkEnd w:id="23"/>
    <w:p>
      <w:pPr>
        <w:ind w:left="28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STATEMENT OF OPERATIONS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FOR THE SIX MONTHS ENDED MARCH 29, 2003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20" w:type="dxa"/>
            <w:vAlign w:val="bottom"/>
          </w:tcPr>
          <w:p>
            <w:pPr>
              <w:ind w:left="308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w w:val="96"/>
              </w:rPr>
              <w:t>PARENT</w:t>
            </w: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24"/>
                <w:szCs w:val="24"/>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NON-</w:t>
            </w:r>
          </w:p>
        </w:tc>
        <w:tc>
          <w:tcPr>
            <w:tcW w:w="15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GUARANTORS</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GUARANTORS</w:t>
            </w:r>
          </w:p>
        </w:tc>
        <w:tc>
          <w:tcPr>
            <w:tcW w:w="15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449.8</w:t>
            </w: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188.7</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218.4</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3"/>
                <w:szCs w:val="23"/>
                <w:color w:val="auto"/>
              </w:rPr>
            </w:pP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856.9</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286.9</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131.3</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138.4</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556.6</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 ..........</w:t>
            </w:r>
          </w:p>
        </w:tc>
        <w:tc>
          <w:tcPr>
            <w:tcW w:w="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0.4</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5"/>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 .............................</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158.2</w:t>
            </w:r>
          </w:p>
        </w:tc>
        <w:tc>
          <w:tcPr>
            <w:tcW w:w="1560" w:type="dxa"/>
            <w:vAlign w:val="bottom"/>
            <w:gridSpan w:val="2"/>
            <w:vMerge w:val="continue"/>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57.4</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79.6</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295.2</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32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10.1</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5"/>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agreement .............................</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Costs associated with marketing agreement</w:t>
            </w:r>
          </w:p>
        </w:tc>
        <w:tc>
          <w:tcPr>
            <w:tcW w:w="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w:t>
            </w:r>
          </w:p>
        </w:tc>
        <w:tc>
          <w:tcPr>
            <w:tcW w:w="156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175"/>
        </w:trPr>
        <w:tc>
          <w:tcPr>
            <w:tcW w:w="42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commission from marketing agreement</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(4.1)</w:t>
            </w:r>
          </w:p>
        </w:tc>
        <w:tc>
          <w:tcPr>
            <w:tcW w:w="15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30.4</w:t>
            </w:r>
          </w:p>
        </w:tc>
        <w:tc>
          <w:tcPr>
            <w:tcW w:w="560" w:type="dxa"/>
            <w:vAlign w:val="bottom"/>
          </w:tcPr>
          <w:p>
            <w:pPr>
              <w:spacing w:after="0"/>
              <w:rPr>
                <w:sz w:val="15"/>
                <w:szCs w:val="15"/>
                <w:color w:val="auto"/>
              </w:rPr>
            </w:pPr>
          </w:p>
        </w:tc>
        <w:tc>
          <w:tcPr>
            <w:tcW w:w="10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11.4</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43.5</w:t>
            </w:r>
          </w:p>
        </w:tc>
        <w:tc>
          <w:tcPr>
            <w:tcW w:w="0" w:type="dxa"/>
            <w:vAlign w:val="bottom"/>
          </w:tcPr>
          <w:p>
            <w:pPr>
              <w:spacing w:after="0"/>
              <w:rPr>
                <w:sz w:val="1"/>
                <w:szCs w:val="1"/>
                <w:color w:val="auto"/>
              </w:rPr>
            </w:pPr>
          </w:p>
        </w:tc>
      </w:tr>
      <w:tr>
        <w:trPr>
          <w:trHeight w:val="175"/>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Advertising ...........................</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 ...</w:t>
            </w:r>
          </w:p>
        </w:tc>
        <w:tc>
          <w:tcPr>
            <w:tcW w:w="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113.4</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23.4</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46.7</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183.5</w:t>
            </w:r>
          </w:p>
        </w:tc>
        <w:tc>
          <w:tcPr>
            <w:tcW w:w="0" w:type="dxa"/>
            <w:vAlign w:val="bottom"/>
          </w:tcPr>
          <w:p>
            <w:pPr>
              <w:spacing w:after="0"/>
              <w:rPr>
                <w:sz w:val="1"/>
                <w:szCs w:val="1"/>
                <w:color w:val="auto"/>
              </w:rPr>
            </w:pPr>
          </w:p>
        </w:tc>
      </w:tr>
      <w:tr>
        <w:trPr>
          <w:trHeight w:val="175"/>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 .......</w:t>
            </w:r>
          </w:p>
        </w:tc>
        <w:tc>
          <w:tcPr>
            <w:tcW w:w="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5"/>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 assets .....</w:t>
            </w:r>
          </w:p>
        </w:tc>
        <w:tc>
          <w:tcPr>
            <w:tcW w:w="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580" w:type="dxa"/>
            <w:vAlign w:val="bottom"/>
          </w:tcPr>
          <w:p>
            <w:pPr>
              <w:spacing w:after="0"/>
              <w:rPr>
                <w:sz w:val="15"/>
                <w:szCs w:val="15"/>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25.2</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 ............</w:t>
            </w: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(25.2)</w:t>
            </w:r>
          </w:p>
        </w:tc>
        <w:tc>
          <w:tcPr>
            <w:tcW w:w="560" w:type="dxa"/>
            <w:vAlign w:val="bottom"/>
          </w:tcPr>
          <w:p>
            <w:pPr>
              <w:spacing w:after="0"/>
              <w:rPr>
                <w:sz w:val="15"/>
                <w:szCs w:val="15"/>
                <w:color w:val="auto"/>
              </w:rPr>
            </w:pPr>
          </w:p>
        </w:tc>
        <w:tc>
          <w:tcPr>
            <w:tcW w:w="10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4.6</w:t>
            </w:r>
          </w:p>
        </w:tc>
        <w:tc>
          <w:tcPr>
            <w:tcW w:w="440" w:type="dxa"/>
            <w:vAlign w:val="bottom"/>
          </w:tcPr>
          <w:p>
            <w:pPr>
              <w:spacing w:after="0"/>
              <w:rPr>
                <w:sz w:val="15"/>
                <w:szCs w:val="15"/>
                <w:color w:val="auto"/>
              </w:rPr>
            </w:pPr>
          </w:p>
        </w:tc>
        <w:tc>
          <w:tcPr>
            <w:tcW w:w="10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6.3</w:t>
            </w: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Intracompany allocations .................</w:t>
            </w: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(10.9)</w:t>
            </w: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income, net ........................</w:t>
            </w: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(0.3)</w:t>
            </w:r>
          </w:p>
        </w:tc>
        <w:tc>
          <w:tcPr>
            <w:tcW w:w="5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 ............</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45.2</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27.3</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(25.2)</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w:t>
            </w:r>
          </w:p>
        </w:tc>
        <w:tc>
          <w:tcPr>
            <w:tcW w:w="5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35.2</w:t>
            </w:r>
          </w:p>
        </w:tc>
        <w:tc>
          <w:tcPr>
            <w:tcW w:w="0" w:type="dxa"/>
            <w:vAlign w:val="bottom"/>
          </w:tcPr>
          <w:p>
            <w:pPr>
              <w:spacing w:after="0"/>
              <w:rPr>
                <w:sz w:val="1"/>
                <w:szCs w:val="1"/>
                <w:color w:val="auto"/>
              </w:rPr>
            </w:pPr>
          </w:p>
        </w:tc>
      </w:tr>
      <w:tr>
        <w:trPr>
          <w:trHeight w:val="175"/>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 ........</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10.0</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35.0</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w:t>
            </w:r>
          </w:p>
        </w:tc>
        <w:tc>
          <w:tcPr>
            <w:tcW w:w="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(25.2)</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tax expense (benefit) .............</w:t>
            </w: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w:t>
            </w:r>
          </w:p>
        </w:tc>
        <w:tc>
          <w:tcPr>
            <w:tcW w:w="56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13.3</w:t>
            </w:r>
          </w:p>
        </w:tc>
        <w:tc>
          <w:tcPr>
            <w:tcW w:w="4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15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5"/>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w:t>
            </w:r>
          </w:p>
        </w:tc>
        <w:tc>
          <w:tcPr>
            <w:tcW w:w="320" w:type="dxa"/>
            <w:vAlign w:val="bottom"/>
            <w:vMerge w:val="restart"/>
          </w:tcPr>
          <w:p>
            <w:pPr>
              <w:ind w:left="14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15.7</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continue"/>
          </w:tcPr>
          <w:p>
            <w:pPr>
              <w:spacing w:after="0"/>
              <w:rPr>
                <w:sz w:val="15"/>
                <w:szCs w:val="15"/>
                <w:color w:val="auto"/>
              </w:rPr>
            </w:pP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2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21.7</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(25.2)</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2"/>
                <w:szCs w:val="22"/>
                <w:color w:val="auto"/>
              </w:rPr>
            </w:pP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220" w:type="dxa"/>
            <w:vAlign w:val="bottom"/>
          </w:tcPr>
          <w:p>
            <w:pPr>
              <w:ind w:left="3540"/>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40" w:right="139" w:bottom="1440" w:gutter="0" w:footer="0" w:header="0"/>
        </w:sectPr>
      </w:pPr>
    </w:p>
    <w:bookmarkStart w:id="24" w:name="page25"/>
    <w:bookmarkEnd w:id="24"/>
    <w:p>
      <w:pPr>
        <w:ind w:left="28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STATEMENT OF CASH FLOWS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FOR THE SIX MONTH PERIOD ENDED MARCH 29, 2003 (IN MILLIONS)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6"/>
              </w:rPr>
              <w:t>PARENT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NON-</w:t>
            </w:r>
          </w:p>
        </w:tc>
        <w:tc>
          <w:tcPr>
            <w:tcW w:w="136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15.7</w:t>
            </w:r>
          </w:p>
        </w:tc>
        <w:tc>
          <w:tcPr>
            <w:tcW w:w="4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21.7</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3.5</w:t>
            </w:r>
          </w:p>
        </w:tc>
        <w:tc>
          <w:tcPr>
            <w:tcW w:w="5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(25.2)</w:t>
            </w:r>
          </w:p>
        </w:tc>
        <w:tc>
          <w:tcPr>
            <w:tcW w:w="4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net cash used in operating activities:</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Stock-based compensation expense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3.0</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Depreciation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w:t>
            </w: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Deferred taxes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Equity (income) loss in non-guarantors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36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(248.0)</w:t>
            </w:r>
          </w:p>
        </w:tc>
        <w:tc>
          <w:tcPr>
            <w:tcW w:w="46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(62.8)</w:t>
            </w: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(121.6)</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(432.4)</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 working capital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13.0</w:t>
            </w:r>
          </w:p>
        </w:tc>
        <w:tc>
          <w:tcPr>
            <w:tcW w:w="460" w:type="dxa"/>
            <w:vAlign w:val="bottom"/>
          </w:tcPr>
          <w:p>
            <w:pPr>
              <w:spacing w:after="0"/>
              <w:rPr>
                <w:sz w:val="15"/>
                <w:szCs w:val="15"/>
                <w:color w:val="auto"/>
              </w:rPr>
            </w:pPr>
          </w:p>
        </w:tc>
        <w:tc>
          <w:tcPr>
            <w:tcW w:w="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23.0</w:t>
            </w: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(36.0)</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liabilities and other adjustments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cash used in operating activities ........</w:t>
            </w: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(220.3)</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(149.1)</w:t>
            </w:r>
          </w:p>
        </w:tc>
        <w:tc>
          <w:tcPr>
            <w:tcW w:w="5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(380.6)</w:t>
            </w:r>
          </w:p>
        </w:tc>
        <w:tc>
          <w:tcPr>
            <w:tcW w:w="0" w:type="dxa"/>
            <w:vAlign w:val="bottom"/>
          </w:tcPr>
          <w:p>
            <w:pPr>
              <w:spacing w:after="0"/>
              <w:rPr>
                <w:sz w:val="1"/>
                <w:szCs w:val="1"/>
                <w:color w:val="auto"/>
              </w:rPr>
            </w:pPr>
          </w:p>
        </w:tc>
      </w:tr>
      <w:tr>
        <w:trPr>
          <w:trHeight w:val="256"/>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(13.8)</w:t>
            </w:r>
          </w:p>
        </w:tc>
        <w:tc>
          <w:tcPr>
            <w:tcW w:w="460" w:type="dxa"/>
            <w:vAlign w:val="bottom"/>
          </w:tcPr>
          <w:p>
            <w:pPr>
              <w:spacing w:after="0"/>
              <w:rPr>
                <w:sz w:val="8"/>
                <w:szCs w:val="8"/>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(14.4)</w:t>
            </w:r>
          </w:p>
        </w:tc>
        <w:tc>
          <w:tcPr>
            <w:tcW w:w="360" w:type="dxa"/>
            <w:vAlign w:val="bottom"/>
          </w:tcPr>
          <w:p>
            <w:pPr>
              <w:spacing w:after="0"/>
              <w:rPr>
                <w:sz w:val="8"/>
                <w:szCs w:val="8"/>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(31.3)</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Investment in property, plant and equipment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of cash acquired .......................</w:t>
            </w:r>
          </w:p>
        </w:tc>
        <w:tc>
          <w:tcPr>
            <w:tcW w:w="36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(14.5)</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Payments on seller notes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w:t>
            </w: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75"/>
        </w:trPr>
        <w:tc>
          <w:tcPr>
            <w:tcW w:w="4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cash used in investing activities ........</w:t>
            </w: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(17.6)</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(28.3)</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w:t>
            </w:r>
          </w:p>
        </w:tc>
        <w:tc>
          <w:tcPr>
            <w:tcW w:w="5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c>
          <w:tcPr>
            <w:tcW w:w="0" w:type="dxa"/>
            <w:vAlign w:val="bottom"/>
          </w:tcPr>
          <w:p>
            <w:pPr>
              <w:spacing w:after="0"/>
              <w:rPr>
                <w:sz w:val="1"/>
                <w:szCs w:val="1"/>
                <w:color w:val="auto"/>
              </w:rPr>
            </w:pPr>
          </w:p>
        </w:tc>
      </w:tr>
      <w:tr>
        <w:trPr>
          <w:trHeight w:val="256"/>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104.8</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268.2</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373.0</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and bank lines of credit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Gross repayments under term loans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Financing fees ...............................</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Cash received from the exercise of stock</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9.0</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options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39.5</w:t>
            </w: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(128.5)</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Intracompany financing .......................</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89.0</w:t>
            </w: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cash provided by financing activities ....</w:t>
            </w: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185.0</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131.2</w:t>
            </w:r>
          </w:p>
        </w:tc>
        <w:tc>
          <w:tcPr>
            <w:tcW w:w="5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355.7</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Effect of exchange rate changes on cash ......</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gridSpan w:val="2"/>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w:t>
            </w: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4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increase (decrease) in cash ..............</w:t>
            </w: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(52.9)</w:t>
            </w:r>
          </w:p>
        </w:tc>
        <w:tc>
          <w:tcPr>
            <w:tcW w:w="1360" w:type="dxa"/>
            <w:vAlign w:val="bottom"/>
            <w:gridSpan w:val="2"/>
            <w:vMerge w:val="continue"/>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w:t>
            </w:r>
          </w:p>
        </w:tc>
        <w:tc>
          <w:tcPr>
            <w:tcW w:w="50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(87.4)</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54.7</w:t>
            </w:r>
          </w:p>
        </w:tc>
        <w:tc>
          <w:tcPr>
            <w:tcW w:w="460" w:type="dxa"/>
            <w:vAlign w:val="bottom"/>
          </w:tcPr>
          <w:p>
            <w:pPr>
              <w:spacing w:after="0"/>
              <w:rPr>
                <w:sz w:val="15"/>
                <w:szCs w:val="15"/>
                <w:color w:val="auto"/>
              </w:rPr>
            </w:pPr>
          </w:p>
        </w:tc>
        <w:tc>
          <w:tcPr>
            <w:tcW w:w="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5"/>
                <w:szCs w:val="15"/>
                <w:color w:val="auto"/>
              </w:rPr>
            </w:pP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43.0</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99.7</w:t>
            </w:r>
          </w:p>
        </w:tc>
        <w:tc>
          <w:tcPr>
            <w:tcW w:w="0" w:type="dxa"/>
            <w:vAlign w:val="bottom"/>
          </w:tcPr>
          <w:p>
            <w:pPr>
              <w:spacing w:after="0"/>
              <w:rPr>
                <w:sz w:val="1"/>
                <w:szCs w:val="1"/>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 period ..................................</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Cash and cash equivalents, end of period .....</w:t>
            </w:r>
          </w:p>
        </w:tc>
        <w:tc>
          <w:tcPr>
            <w:tcW w:w="36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1.8</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continue"/>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0" w:right="679" w:bottom="1440" w:gutter="0" w:footer="0" w:header="0"/>
        </w:sectPr>
      </w:pPr>
    </w:p>
    <w:bookmarkStart w:id="25" w:name="page26"/>
    <w:bookmarkEnd w:id="25"/>
    <w:p>
      <w:pPr>
        <w:jc w:val="center"/>
        <w:ind w:right="336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BALANCE SHEET</w:t>
      </w:r>
    </w:p>
    <w:p>
      <w:pPr>
        <w:spacing w:after="0" w:line="5"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AS OF MARCH 29, 2003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6"/>
              </w:rPr>
              <w:t>PARENT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24"/>
                <w:szCs w:val="24"/>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NON-</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18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1.8</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8.5</w:t>
            </w:r>
          </w:p>
        </w:tc>
        <w:tc>
          <w:tcPr>
            <w:tcW w:w="136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Cash and cash equivalents ..............</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Accounts receivable, net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330.0</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148.6</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245.7</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724.3</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Inventories, net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229.8</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73.8</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96.6</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400.2</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Current deferred tax asset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72.1</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72.5</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Prepaid and other assets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24.2</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20.6</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50.8</w:t>
            </w:r>
          </w:p>
        </w:tc>
        <w:tc>
          <w:tcPr>
            <w:tcW w:w="0" w:type="dxa"/>
            <w:vAlign w:val="bottom"/>
          </w:tcPr>
          <w:p>
            <w:pPr>
              <w:spacing w:after="0"/>
              <w:rPr>
                <w:sz w:val="1"/>
                <w:szCs w:val="1"/>
                <w:color w:val="auto"/>
              </w:rPr>
            </w:pPr>
          </w:p>
        </w:tc>
      </w:tr>
      <w:tr>
        <w:trPr>
          <w:trHeight w:val="175"/>
        </w:trPr>
        <w:tc>
          <w:tcPr>
            <w:tcW w:w="4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Total current assets ..............</w:t>
            </w:r>
          </w:p>
        </w:tc>
        <w:tc>
          <w:tcPr>
            <w:tcW w:w="180" w:type="dxa"/>
            <w:vAlign w:val="bottom"/>
          </w:tcPr>
          <w:p>
            <w:pPr>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657.9</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230.9</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371.3</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1,260.1</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Property, plant and equipment, net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215.6</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92.2</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34.8</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342.6</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Goodwill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280.7</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86.9</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384.2</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Intangible assets, net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281.0</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134.1</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419.5</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Other assets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46.9</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(965.1)</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47.5</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Investment in affiliates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965.1</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130.4</w:t>
            </w:r>
          </w:p>
        </w:tc>
        <w:tc>
          <w:tcPr>
            <w:tcW w:w="360" w:type="dxa"/>
            <w:vAlign w:val="bottom"/>
          </w:tcPr>
          <w:p>
            <w:pPr>
              <w:spacing w:after="0"/>
              <w:rPr>
                <w:sz w:val="15"/>
                <w:szCs w:val="15"/>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23.1</w:t>
            </w:r>
          </w:p>
        </w:tc>
        <w:tc>
          <w:tcPr>
            <w:tcW w:w="1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Intracompany assets ......................</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(153.5)</w:t>
            </w:r>
          </w:p>
        </w:tc>
        <w:tc>
          <w:tcPr>
            <w:tcW w:w="122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Total assets ......................</w:t>
            </w:r>
          </w:p>
        </w:tc>
        <w:tc>
          <w:tcPr>
            <w:tcW w:w="180" w:type="dxa"/>
            <w:vAlign w:val="bottom"/>
            <w:vMerge w:val="restart"/>
          </w:tcPr>
          <w:p>
            <w:pPr>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1,906.5</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1,018.0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648.0</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(1,118.6)</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2,453.9</w:t>
            </w:r>
          </w:p>
        </w:tc>
        <w:tc>
          <w:tcPr>
            <w:tcW w:w="0" w:type="dxa"/>
            <w:vAlign w:val="bottom"/>
          </w:tcPr>
          <w:p>
            <w:pPr>
              <w:spacing w:after="0"/>
              <w:rPr>
                <w:sz w:val="1"/>
                <w:szCs w:val="1"/>
                <w:color w:val="auto"/>
              </w:rPr>
            </w:pPr>
          </w:p>
        </w:tc>
      </w:tr>
      <w:tr>
        <w:trPr>
          <w:trHeight w:val="256"/>
        </w:trPr>
        <w:tc>
          <w:tcPr>
            <w:tcW w:w="4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LIABILITIES AND SHAREHOLDERS' EQUITY</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265.8</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7.9</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14.0</w:t>
            </w:r>
          </w:p>
        </w:tc>
        <w:tc>
          <w:tcPr>
            <w:tcW w:w="136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287.7</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Current portion of debt ................</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Accounts payable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125.5</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41.2</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97.5</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264.2</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Accrued liabilities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119.5</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30.8</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98.8</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249.1</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Accrued taxes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18.5</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w:t>
            </w:r>
          </w:p>
        </w:tc>
        <w:tc>
          <w:tcPr>
            <w:tcW w:w="0" w:type="dxa"/>
            <w:vAlign w:val="bottom"/>
          </w:tcPr>
          <w:p>
            <w:pPr>
              <w:spacing w:after="0"/>
              <w:rPr>
                <w:sz w:val="1"/>
                <w:szCs w:val="1"/>
                <w:color w:val="auto"/>
              </w:rPr>
            </w:pPr>
          </w:p>
        </w:tc>
      </w:tr>
      <w:tr>
        <w:trPr>
          <w:trHeight w:val="175"/>
        </w:trPr>
        <w:tc>
          <w:tcPr>
            <w:tcW w:w="4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Total current liabilities .........</w:t>
            </w:r>
          </w:p>
        </w:tc>
        <w:tc>
          <w:tcPr>
            <w:tcW w:w="180" w:type="dxa"/>
            <w:vAlign w:val="bottom"/>
          </w:tcPr>
          <w:p>
            <w:pPr>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529.3</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81.9</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217.5</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828.7</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Long-term debt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489.7</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377.0</w:t>
            </w: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873.0</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Other liabilities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114.0</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17.8</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(153.5)</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132.2</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Intracompany liabilities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153.5</w:t>
            </w:r>
          </w:p>
        </w:tc>
        <w:tc>
          <w:tcPr>
            <w:tcW w:w="1360" w:type="dxa"/>
            <w:vAlign w:val="bottom"/>
            <w:gridSpan w:val="2"/>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15"/>
                <w:szCs w:val="15"/>
                <w:color w:val="auto"/>
              </w:rPr>
            </w:pPr>
          </w:p>
        </w:tc>
        <w:tc>
          <w:tcPr>
            <w:tcW w:w="122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Total liabilities ...................</w:t>
            </w:r>
          </w:p>
        </w:tc>
        <w:tc>
          <w:tcPr>
            <w:tcW w:w="180" w:type="dxa"/>
            <w:vAlign w:val="bottom"/>
          </w:tcPr>
          <w:p>
            <w:pPr>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1,286.5</w:t>
            </w:r>
          </w:p>
        </w:tc>
        <w:tc>
          <w:tcPr>
            <w:tcW w:w="13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88.6</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612.3</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(153.5)</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1,833.9</w:t>
            </w:r>
          </w:p>
        </w:tc>
        <w:tc>
          <w:tcPr>
            <w:tcW w:w="0" w:type="dxa"/>
            <w:vAlign w:val="bottom"/>
          </w:tcPr>
          <w:p>
            <w:pPr>
              <w:spacing w:after="0"/>
              <w:rPr>
                <w:sz w:val="1"/>
                <w:szCs w:val="1"/>
                <w:color w:val="auto"/>
              </w:rPr>
            </w:pPr>
          </w:p>
        </w:tc>
      </w:tr>
      <w:tr>
        <w:trPr>
          <w:trHeight w:val="25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496.5</w:t>
            </w:r>
          </w:p>
        </w:tc>
        <w:tc>
          <w:tcPr>
            <w:tcW w:w="360" w:type="dxa"/>
            <w:vAlign w:val="bottom"/>
          </w:tcPr>
          <w:p>
            <w:pPr>
              <w:spacing w:after="0"/>
              <w:rPr>
                <w:sz w:val="8"/>
                <w:szCs w:val="8"/>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51.9</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(548.4)</w:t>
            </w: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Investment from parent .................</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Common shares, no par value per share,</w:t>
            </w:r>
          </w:p>
        </w:tc>
        <w:tc>
          <w:tcPr>
            <w:tcW w:w="18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 stated value per share ..........</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Deferred compensation-stock awards .....</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Capital in excess of par value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398.6</w:t>
            </w:r>
          </w:p>
        </w:tc>
        <w:tc>
          <w:tcPr>
            <w:tcW w:w="360" w:type="dxa"/>
            <w:vAlign w:val="bottom"/>
          </w:tcPr>
          <w:p>
            <w:pPr>
              <w:spacing w:after="0"/>
              <w:rPr>
                <w:sz w:val="15"/>
                <w:szCs w:val="15"/>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435.5</w:t>
            </w:r>
          </w:p>
        </w:tc>
        <w:tc>
          <w:tcPr>
            <w:tcW w:w="360" w:type="dxa"/>
            <w:vAlign w:val="bottom"/>
          </w:tcPr>
          <w:p>
            <w:pPr>
              <w:spacing w:after="0"/>
              <w:rPr>
                <w:sz w:val="15"/>
                <w:szCs w:val="15"/>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7.2</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(442.7)</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398.6</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Retained earnings ......................</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310.5</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310.5</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Treasury stock, 1.0 shares at cost .....</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w:t>
            </w:r>
          </w:p>
        </w:tc>
        <w:tc>
          <w:tcPr>
            <w:tcW w:w="36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5"/>
                <w:szCs w:val="15"/>
                <w:color w:val="auto"/>
              </w:rPr>
            </w:pP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(23.4)</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26.0</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0" w:type="dxa"/>
            <w:vAlign w:val="bottom"/>
          </w:tcPr>
          <w:p>
            <w:pPr>
              <w:spacing w:after="0"/>
              <w:rPr>
                <w:sz w:val="1"/>
                <w:szCs w:val="1"/>
                <w:color w:val="auto"/>
              </w:rPr>
            </w:pPr>
          </w:p>
        </w:tc>
      </w:tr>
      <w:tr>
        <w:trPr>
          <w:trHeight w:val="175"/>
        </w:trPr>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Accumulated other comprehensive expense</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(58.3)</w:t>
            </w: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c>
          <w:tcPr>
            <w:tcW w:w="0" w:type="dxa"/>
            <w:vAlign w:val="bottom"/>
          </w:tcPr>
          <w:p>
            <w:pPr>
              <w:spacing w:after="0"/>
              <w:rPr>
                <w:sz w:val="1"/>
                <w:szCs w:val="1"/>
                <w:color w:val="auto"/>
              </w:rPr>
            </w:pPr>
          </w:p>
        </w:tc>
      </w:tr>
      <w:tr>
        <w:trPr>
          <w:trHeight w:val="175"/>
        </w:trPr>
        <w:tc>
          <w:tcPr>
            <w:tcW w:w="4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Total shareholders' equity ..........</w:t>
            </w:r>
          </w:p>
        </w:tc>
        <w:tc>
          <w:tcPr>
            <w:tcW w:w="180" w:type="dxa"/>
            <w:vAlign w:val="bottom"/>
          </w:tcPr>
          <w:p>
            <w:pPr>
              <w:spacing w:after="0"/>
              <w:rPr>
                <w:sz w:val="20"/>
                <w:szCs w:val="20"/>
                <w:color w:val="auto"/>
              </w:rPr>
            </w:pPr>
            <w:r>
              <w:rPr>
                <w:rFonts w:ascii="Courier New" w:cs="Courier New" w:eastAsia="Courier New" w:hAnsi="Courier New"/>
                <w:sz w:val="3"/>
                <w:szCs w:val="3"/>
                <w:color w:val="auto"/>
                <w:w w:val="88"/>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620.0</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929.4</w:t>
            </w:r>
          </w:p>
        </w:tc>
        <w:tc>
          <w:tcPr>
            <w:tcW w:w="3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35.7</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(965.1)</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620.0</w:t>
            </w:r>
          </w:p>
        </w:tc>
        <w:tc>
          <w:tcPr>
            <w:tcW w:w="0" w:type="dxa"/>
            <w:vAlign w:val="bottom"/>
          </w:tcPr>
          <w:p>
            <w:pPr>
              <w:spacing w:after="0"/>
              <w:rPr>
                <w:sz w:val="1"/>
                <w:szCs w:val="1"/>
                <w:color w:val="auto"/>
              </w:rPr>
            </w:pPr>
          </w:p>
        </w:tc>
      </w:tr>
      <w:tr>
        <w:trPr>
          <w:trHeight w:val="256"/>
        </w:trPr>
        <w:tc>
          <w:tcPr>
            <w:tcW w:w="4180" w:type="dxa"/>
            <w:vAlign w:val="bottom"/>
            <w:vMerge w:val="restart"/>
          </w:tcPr>
          <w:p>
            <w:pPr>
              <w:jc w:val="right"/>
              <w:ind w:right="1744"/>
              <w:spacing w:after="0"/>
              <w:rPr>
                <w:sz w:val="20"/>
                <w:szCs w:val="20"/>
                <w:color w:val="auto"/>
              </w:rPr>
            </w:pPr>
            <w:r>
              <w:rPr>
                <w:rFonts w:ascii="Courier New" w:cs="Courier New" w:eastAsia="Courier New" w:hAnsi="Courier New"/>
                <w:sz w:val="15"/>
                <w:szCs w:val="15"/>
                <w:color w:val="auto"/>
              </w:rPr>
              <w:t>Total liabilities and</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8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1,906.5</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1,018.0</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648.0</w:t>
            </w:r>
          </w:p>
        </w:tc>
        <w:tc>
          <w:tcPr>
            <w:tcW w:w="1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 (1,118.6)</w:t>
            </w:r>
          </w:p>
        </w:tc>
        <w:tc>
          <w:tcPr>
            <w:tcW w:w="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2,453.9</w:t>
            </w:r>
          </w:p>
        </w:tc>
        <w:tc>
          <w:tcPr>
            <w:tcW w:w="0" w:type="dxa"/>
            <w:vAlign w:val="bottom"/>
          </w:tcPr>
          <w:p>
            <w:pPr>
              <w:spacing w:after="0"/>
              <w:rPr>
                <w:sz w:val="1"/>
                <w:szCs w:val="1"/>
                <w:color w:val="auto"/>
              </w:rPr>
            </w:pPr>
          </w:p>
        </w:tc>
      </w:tr>
      <w:tr>
        <w:trPr>
          <w:trHeight w:val="175"/>
        </w:trPr>
        <w:tc>
          <w:tcPr>
            <w:tcW w:w="4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shareholders' equity ..............</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440" w:right="1039" w:bottom="1440" w:gutter="0" w:footer="0" w:header="0"/>
        </w:sectPr>
      </w:pPr>
    </w:p>
    <w:bookmarkStart w:id="26" w:name="page27"/>
    <w:bookmarkEnd w:id="26"/>
    <w:p>
      <w:pPr>
        <w:ind w:left="28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BALANCE SHEET</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AS OF SEPTEMBER 30, 2003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540" w:type="dxa"/>
            <w:vAlign w:val="bottom"/>
          </w:tcPr>
          <w:p>
            <w:pPr>
              <w:ind w:left="3080"/>
              <w:spacing w:after="0"/>
              <w:rPr>
                <w:sz w:val="20"/>
                <w:szCs w:val="20"/>
                <w:color w:val="auto"/>
              </w:rPr>
            </w:pPr>
            <w:r>
              <w:rPr>
                <w:rFonts w:ascii="Courier New" w:cs="Courier New" w:eastAsia="Courier New" w:hAnsi="Courier New"/>
                <w:sz w:val="15"/>
                <w:szCs w:val="15"/>
                <w:color w:val="auto"/>
              </w:rPr>
              <w:t>(IN MILLIONS)</w:t>
            </w: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4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6"/>
              </w:rPr>
              <w:t>PARENT</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SUBSIDIARY</w:t>
            </w:r>
          </w:p>
        </w:tc>
        <w:tc>
          <w:tcPr>
            <w:tcW w:w="320" w:type="dxa"/>
            <w:vAlign w:val="bottom"/>
          </w:tcPr>
          <w:p>
            <w:pPr>
              <w:spacing w:after="0"/>
              <w:rPr>
                <w:sz w:val="24"/>
                <w:szCs w:val="24"/>
                <w:color w:val="auto"/>
              </w:rPr>
            </w:pPr>
          </w:p>
        </w:tc>
        <w:tc>
          <w:tcPr>
            <w:tcW w:w="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NON-</w:t>
            </w:r>
          </w:p>
        </w:tc>
        <w:tc>
          <w:tcPr>
            <w:tcW w:w="146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GUARANTORS</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GUARANTORS</w:t>
            </w:r>
          </w:p>
        </w:tc>
        <w:tc>
          <w:tcPr>
            <w:tcW w:w="14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2"/>
                <w:szCs w:val="22"/>
                <w:color w:val="auto"/>
              </w:rPr>
            </w:pP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40" w:type="dxa"/>
            <w:vAlign w:val="bottom"/>
          </w:tcPr>
          <w:p>
            <w:pPr>
              <w:ind w:left="1820"/>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132.1</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1.2</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22.6</w:t>
            </w:r>
          </w:p>
        </w:tc>
        <w:tc>
          <w:tcPr>
            <w:tcW w:w="3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155.9</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 net</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103.3</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99.8</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87.4</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290.5</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Inventories, net</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143.6</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50.4</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82.1</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276.1</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Current deferred tax asset</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56.8</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(0.3)</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56.9</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Prepaid and other assets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16.2</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33.2</w:t>
            </w:r>
          </w:p>
        </w:tc>
        <w:tc>
          <w:tcPr>
            <w:tcW w:w="0" w:type="dxa"/>
            <w:vAlign w:val="bottom"/>
          </w:tcPr>
          <w:p>
            <w:pPr>
              <w:spacing w:after="0"/>
              <w:rPr>
                <w:sz w:val="1"/>
                <w:szCs w:val="1"/>
                <w:color w:val="auto"/>
              </w:rPr>
            </w:pPr>
          </w:p>
        </w:tc>
      </w:tr>
      <w:tr>
        <w:trPr>
          <w:trHeight w:val="175"/>
        </w:trPr>
        <w:tc>
          <w:tcPr>
            <w:tcW w:w="454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Total current assets</w:t>
            </w: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452.0</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155.0</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205.6</w:t>
            </w:r>
          </w:p>
        </w:tc>
        <w:tc>
          <w:tcPr>
            <w:tcW w:w="3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812.6</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206.8</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90.6</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40.8</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338.2</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20.5</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294.3</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91.7</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406.5</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281.8</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141.4</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429.0</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44.8</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w:t>
            </w:r>
          </w:p>
        </w:tc>
        <w:tc>
          <w:tcPr>
            <w:tcW w:w="380" w:type="dxa"/>
            <w:vAlign w:val="bottom"/>
          </w:tcPr>
          <w:p>
            <w:pPr>
              <w:spacing w:after="0"/>
              <w:rPr>
                <w:sz w:val="15"/>
                <w:szCs w:val="15"/>
                <w:color w:val="auto"/>
              </w:rPr>
            </w:pPr>
          </w:p>
        </w:tc>
        <w:tc>
          <w:tcPr>
            <w:tcW w:w="10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(1,066.3)</w:t>
            </w: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1,066.3</w:t>
            </w:r>
          </w:p>
        </w:tc>
        <w:tc>
          <w:tcPr>
            <w:tcW w:w="320" w:type="dxa"/>
            <w:vAlign w:val="bottom"/>
          </w:tcPr>
          <w:p>
            <w:pPr>
              <w:spacing w:after="0"/>
              <w:rPr>
                <w:sz w:val="15"/>
                <w:szCs w:val="15"/>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275.2</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Intracompany assets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(275.2)</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Total assets</w:t>
            </w: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$1,796.2</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1,098.4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477.2</w:t>
            </w:r>
          </w:p>
        </w:tc>
        <w:tc>
          <w:tcPr>
            <w:tcW w:w="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(1,341.5)</w:t>
            </w: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2,030.3</w:t>
            </w: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2"/>
                <w:szCs w:val="22"/>
                <w:color w:val="auto"/>
              </w:rPr>
            </w:pP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540" w:type="dxa"/>
            <w:vAlign w:val="bottom"/>
          </w:tcPr>
          <w:p>
            <w:pPr>
              <w:ind w:left="440"/>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38.9</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9.9</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6.6</w:t>
            </w:r>
          </w:p>
        </w:tc>
        <w:tc>
          <w:tcPr>
            <w:tcW w:w="3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55.4</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debt</w:t>
            </w:r>
          </w:p>
        </w:tc>
        <w:tc>
          <w:tcPr>
            <w:tcW w:w="3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70.0</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27.0</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52.0</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149.0</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111.4</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25.8</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97.1</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234.3</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Accrued taxes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(0.4)</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5"/>
        </w:trPr>
        <w:tc>
          <w:tcPr>
            <w:tcW w:w="45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227.9</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65.0</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155.3</w:t>
            </w:r>
          </w:p>
        </w:tc>
        <w:tc>
          <w:tcPr>
            <w:tcW w:w="3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448.2</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603.8</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9.7</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88.7</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702.2</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137.2</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14.5</w:t>
            </w:r>
          </w:p>
        </w:tc>
        <w:tc>
          <w:tcPr>
            <w:tcW w:w="380" w:type="dxa"/>
            <w:vAlign w:val="bottom"/>
          </w:tcPr>
          <w:p>
            <w:pPr>
              <w:spacing w:after="0"/>
              <w:rPr>
                <w:sz w:val="15"/>
                <w:szCs w:val="15"/>
                <w:color w:val="auto"/>
              </w:rPr>
            </w:pPr>
          </w:p>
        </w:tc>
        <w:tc>
          <w:tcPr>
            <w:tcW w:w="10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(275.2)</w:t>
            </w: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151.7</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Intracompany liabilities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99.1</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176.1</w:t>
            </w: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liabilities</w:t>
            </w: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1,068.0</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74.7</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434.6</w:t>
            </w:r>
          </w:p>
        </w:tc>
        <w:tc>
          <w:tcPr>
            <w:tcW w:w="3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(275.2)</w:t>
            </w: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1,302.1</w:t>
            </w:r>
          </w:p>
        </w:tc>
        <w:tc>
          <w:tcPr>
            <w:tcW w:w="0" w:type="dxa"/>
            <w:vAlign w:val="bottom"/>
          </w:tcPr>
          <w:p>
            <w:pPr>
              <w:spacing w:after="0"/>
              <w:rPr>
                <w:sz w:val="1"/>
                <w:szCs w:val="1"/>
                <w:color w:val="auto"/>
              </w:rPr>
            </w:pPr>
          </w:p>
        </w:tc>
      </w:tr>
      <w:tr>
        <w:trPr>
          <w:trHeight w:val="256"/>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Shareholders' Equity:</w:t>
            </w: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5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510.7</w:t>
            </w:r>
          </w:p>
        </w:tc>
        <w:tc>
          <w:tcPr>
            <w:tcW w:w="320" w:type="dxa"/>
            <w:vAlign w:val="bottom"/>
          </w:tcPr>
          <w:p>
            <w:pPr>
              <w:spacing w:after="0"/>
              <w:rPr>
                <w:sz w:val="8"/>
                <w:szCs w:val="8"/>
                <w:color w:val="auto"/>
              </w:rPr>
            </w:pPr>
          </w:p>
        </w:tc>
        <w:tc>
          <w:tcPr>
            <w:tcW w:w="9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65.3</w:t>
            </w:r>
          </w:p>
        </w:tc>
        <w:tc>
          <w:tcPr>
            <w:tcW w:w="380" w:type="dxa"/>
            <w:vAlign w:val="bottom"/>
          </w:tcPr>
          <w:p>
            <w:pPr>
              <w:spacing w:after="0"/>
              <w:rPr>
                <w:sz w:val="8"/>
                <w:szCs w:val="8"/>
                <w:color w:val="auto"/>
              </w:rPr>
            </w:pPr>
          </w:p>
        </w:tc>
        <w:tc>
          <w:tcPr>
            <w:tcW w:w="10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(576.0)</w:t>
            </w: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Investment from parent</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Common shares, no par value per share,</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540"/>
              <w:spacing w:after="0"/>
              <w:rPr>
                <w:sz w:val="20"/>
                <w:szCs w:val="20"/>
                <w:color w:val="auto"/>
              </w:rPr>
            </w:pPr>
            <w:r>
              <w:rPr>
                <w:rFonts w:ascii="Courier New" w:cs="Courier New" w:eastAsia="Courier New" w:hAnsi="Courier New"/>
                <w:sz w:val="15"/>
                <w:szCs w:val="15"/>
                <w:color w:val="auto"/>
              </w:rPr>
              <w:t>$.01 stated value per share, 32.0</w:t>
            </w:r>
          </w:p>
        </w:tc>
        <w:tc>
          <w:tcPr>
            <w:tcW w:w="36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5"/>
        </w:trPr>
        <w:tc>
          <w:tcPr>
            <w:tcW w:w="4540" w:type="dxa"/>
            <w:vAlign w:val="bottom"/>
          </w:tcPr>
          <w:p>
            <w:pPr>
              <w:ind w:left="540"/>
              <w:spacing w:after="0"/>
              <w:rPr>
                <w:sz w:val="20"/>
                <w:szCs w:val="20"/>
                <w:color w:val="auto"/>
              </w:rPr>
            </w:pPr>
            <w:r>
              <w:rPr>
                <w:rFonts w:ascii="Courier New" w:cs="Courier New" w:eastAsia="Courier New" w:hAnsi="Courier New"/>
                <w:sz w:val="15"/>
                <w:szCs w:val="15"/>
                <w:color w:val="auto"/>
              </w:rPr>
              <w:t>shares issued in 2003</w:t>
            </w: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Deferred compensation-stock awards</w:t>
            </w:r>
          </w:p>
        </w:tc>
        <w:tc>
          <w:tcPr>
            <w:tcW w:w="3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Capital in excess of stated value</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398.4</w:t>
            </w:r>
          </w:p>
        </w:tc>
        <w:tc>
          <w:tcPr>
            <w:tcW w:w="320" w:type="dxa"/>
            <w:vAlign w:val="bottom"/>
          </w:tcPr>
          <w:p>
            <w:pPr>
              <w:spacing w:after="0"/>
              <w:rPr>
                <w:sz w:val="15"/>
                <w:szCs w:val="15"/>
                <w:color w:val="auto"/>
              </w:rPr>
            </w:pP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514.8</w:t>
            </w:r>
          </w:p>
        </w:tc>
        <w:tc>
          <w:tcPr>
            <w:tcW w:w="320" w:type="dxa"/>
            <w:vAlign w:val="bottom"/>
          </w:tcPr>
          <w:p>
            <w:pPr>
              <w:spacing w:after="0"/>
              <w:rPr>
                <w:sz w:val="15"/>
                <w:szCs w:val="15"/>
                <w:color w:val="auto"/>
              </w:rPr>
            </w:pPr>
          </w:p>
        </w:tc>
        <w:tc>
          <w:tcPr>
            <w:tcW w:w="9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2.8</w:t>
            </w:r>
          </w:p>
        </w:tc>
        <w:tc>
          <w:tcPr>
            <w:tcW w:w="380" w:type="dxa"/>
            <w:vAlign w:val="bottom"/>
          </w:tcPr>
          <w:p>
            <w:pPr>
              <w:spacing w:after="0"/>
              <w:rPr>
                <w:sz w:val="15"/>
                <w:szCs w:val="15"/>
                <w:color w:val="auto"/>
              </w:rPr>
            </w:pPr>
          </w:p>
        </w:tc>
        <w:tc>
          <w:tcPr>
            <w:tcW w:w="10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(517.6)</w:t>
            </w: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398.4</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398.6</w:t>
            </w: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398.6</w:t>
            </w:r>
          </w:p>
        </w:tc>
        <w:tc>
          <w:tcPr>
            <w:tcW w:w="0" w:type="dxa"/>
            <w:vAlign w:val="bottom"/>
          </w:tcPr>
          <w:p>
            <w:pPr>
              <w:spacing w:after="0"/>
              <w:rPr>
                <w:sz w:val="1"/>
                <w:szCs w:val="1"/>
                <w:color w:val="auto"/>
              </w:rPr>
            </w:pPr>
          </w:p>
        </w:tc>
      </w:tr>
      <w:tr>
        <w:trPr>
          <w:trHeight w:val="175"/>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Accumulated other comprehensive income</w:t>
            </w:r>
          </w:p>
        </w:tc>
        <w:tc>
          <w:tcPr>
            <w:tcW w:w="3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(60.8)</w:t>
            </w:r>
          </w:p>
        </w:tc>
        <w:tc>
          <w:tcPr>
            <w:tcW w:w="3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(25.5)</w:t>
            </w:r>
          </w:p>
        </w:tc>
        <w:tc>
          <w:tcPr>
            <w:tcW w:w="38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27.3</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5"/>
        </w:trPr>
        <w:tc>
          <w:tcPr>
            <w:tcW w:w="45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shareholders' equity</w:t>
            </w: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728.2</w:t>
            </w:r>
          </w:p>
        </w:tc>
        <w:tc>
          <w:tcPr>
            <w:tcW w:w="3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1,023.7</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42.6</w:t>
            </w:r>
          </w:p>
        </w:tc>
        <w:tc>
          <w:tcPr>
            <w:tcW w:w="3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(1,066.3)</w:t>
            </w:r>
          </w:p>
        </w:tc>
        <w:tc>
          <w:tcPr>
            <w:tcW w:w="42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728.2</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65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5"/>
          <w:szCs w:val="15"/>
          <w:color w:val="auto"/>
        </w:rPr>
        <w:t>Total liabilities and</w:t>
      </w:r>
    </w:p>
    <w:p>
      <w:pPr>
        <w:spacing w:after="0" w:line="5" w:lineRule="exact"/>
        <w:rPr>
          <w:sz w:val="20"/>
          <w:szCs w:val="20"/>
          <w:color w:val="auto"/>
        </w:rPr>
      </w:pPr>
    </w:p>
    <w:p>
      <w:pPr>
        <w:ind w:left="900"/>
        <w:spacing w:after="0"/>
        <w:tabs>
          <w:tab w:leader="none" w:pos="4780" w:val="left"/>
          <w:tab w:leader="none" w:pos="5880" w:val="left"/>
          <w:tab w:leader="none" w:pos="6160" w:val="left"/>
          <w:tab w:leader="none" w:pos="7160" w:val="left"/>
          <w:tab w:leader="none" w:pos="7600" w:val="left"/>
          <w:tab w:leader="none" w:pos="8420" w:val="left"/>
          <w:tab w:leader="none" w:pos="8780" w:val="left"/>
          <w:tab w:leader="none" w:pos="9880" w:val="left"/>
          <w:tab w:leader="none" w:pos="10340" w:val="left"/>
        </w:tabs>
        <w:rPr>
          <w:sz w:val="20"/>
          <w:szCs w:val="20"/>
          <w:color w:val="auto"/>
        </w:rPr>
      </w:pPr>
      <w:r>
        <w:rPr>
          <w:rFonts w:ascii="Courier New" w:cs="Courier New" w:eastAsia="Courier New" w:hAnsi="Courier New"/>
          <w:sz w:val="15"/>
          <w:szCs w:val="15"/>
          <w:color w:val="auto"/>
        </w:rPr>
        <w:t>shareholders' equity</w:t>
      </w:r>
      <w:r>
        <w:rPr>
          <w:sz w:val="20"/>
          <w:szCs w:val="20"/>
          <w:color w:val="auto"/>
        </w:rPr>
        <w:tab/>
      </w:r>
      <w:r>
        <w:rPr>
          <w:rFonts w:ascii="Courier New" w:cs="Courier New" w:eastAsia="Courier New" w:hAnsi="Courier New"/>
          <w:sz w:val="15"/>
          <w:szCs w:val="15"/>
          <w:color w:val="auto"/>
        </w:rPr>
        <w:t>$1,796.2</w:t>
      </w:r>
      <w:r>
        <w:rPr>
          <w:sz w:val="20"/>
          <w:szCs w:val="20"/>
          <w:color w:val="auto"/>
        </w:rPr>
        <w:tab/>
      </w:r>
      <w:r>
        <w:rPr>
          <w:rFonts w:ascii="Courier New" w:cs="Courier New" w:eastAsia="Courier New" w:hAnsi="Courier New"/>
          <w:sz w:val="15"/>
          <w:szCs w:val="15"/>
          <w:color w:val="auto"/>
        </w:rPr>
        <w:t>$</w:t>
        <w:tab/>
        <w:t>1,098.4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477.2</w:t>
      </w:r>
      <w:r>
        <w:rPr>
          <w:sz w:val="20"/>
          <w:szCs w:val="20"/>
          <w:color w:val="auto"/>
        </w:rPr>
        <w:tab/>
      </w:r>
      <w:r>
        <w:rPr>
          <w:rFonts w:ascii="Courier New" w:cs="Courier New" w:eastAsia="Courier New" w:hAnsi="Courier New"/>
          <w:sz w:val="15"/>
          <w:szCs w:val="15"/>
          <w:color w:val="auto"/>
        </w:rPr>
        <w:t>$</w:t>
        <w:tab/>
        <w:t>(1,341.5)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2,030.3</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080"/>
          </w:cols>
          <w:pgMar w:left="240" w:top="615" w:right="579" w:bottom="1440" w:gutter="0" w:footer="0" w:header="0"/>
        </w:sectPr>
      </w:pPr>
    </w:p>
    <w:bookmarkStart w:id="27" w:name="page28"/>
    <w:bookmarkEnd w:id="27"/>
    <w:p>
      <w:pPr>
        <w:ind w:right="3039"/>
        <w:spacing w:after="0" w:line="36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2959" w:firstLine="545"/>
        <w:spacing w:after="0" w:line="267"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We also have a presence in Australia, the Far East, Latin America and South America. Also, in the United States, we operate the second largest residential lawn service business, Scotts LawnService(R). In fiscal 2004, our operations are divided into three reportable segments: North America, Scotts LawnService(R) and International.</w:t>
      </w:r>
    </w:p>
    <w:p>
      <w:pPr>
        <w:spacing w:after="0" w:line="75" w:lineRule="exact"/>
        <w:rPr>
          <w:sz w:val="20"/>
          <w:szCs w:val="20"/>
          <w:color w:val="auto"/>
        </w:rPr>
      </w:pPr>
    </w:p>
    <w:p>
      <w:pPr>
        <w:ind w:right="2959" w:firstLine="545"/>
        <w:spacing w:after="0" w:line="250" w:lineRule="auto"/>
        <w:rPr>
          <w:sz w:val="20"/>
          <w:szCs w:val="20"/>
          <w:color w:val="auto"/>
        </w:rPr>
      </w:pPr>
      <w:r>
        <w:rPr>
          <w:rFonts w:ascii="Courier New" w:cs="Courier New" w:eastAsia="Courier New" w:hAnsi="Courier New"/>
          <w:sz w:val="15"/>
          <w:szCs w:val="15"/>
          <w:color w:val="auto"/>
        </w:rPr>
        <w:t>As a leading consumer branded lawn and garden company, we focus our consumer marketing efforts, including advertising and consumer research, on creating consumer demand to pull products through retail distribution channels. In the past three years, we have spent approximately 5% of our net sales 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make additional investments in consumer marketing expenditures in the future to continue to drive category growth and increased market share. In fiscal 2004, we have increased advertising spending as we deliver a new media message for the Ortho(R) line, increase our advertising</w:t>
      </w:r>
    </w:p>
    <w:p>
      <w:pPr>
        <w:spacing w:after="0" w:line="1" w:lineRule="exact"/>
        <w:rPr>
          <w:sz w:val="20"/>
          <w:szCs w:val="20"/>
          <w:color w:val="auto"/>
        </w:rPr>
      </w:pPr>
    </w:p>
    <w:p>
      <w:pPr>
        <w:ind w:right="3319"/>
        <w:spacing w:after="0" w:line="329" w:lineRule="auto"/>
        <w:rPr>
          <w:sz w:val="20"/>
          <w:szCs w:val="20"/>
          <w:color w:val="auto"/>
        </w:rPr>
      </w:pPr>
      <w:r>
        <w:rPr>
          <w:rFonts w:ascii="Courier New" w:cs="Courier New" w:eastAsia="Courier New" w:hAnsi="Courier New"/>
          <w:sz w:val="15"/>
          <w:szCs w:val="15"/>
          <w:color w:val="auto"/>
        </w:rPr>
        <w:t>on selected brands in Europe and continue to have the largest share of voice in our lawn and garden categories in North America.</w:t>
      </w:r>
    </w:p>
    <w:p>
      <w:pPr>
        <w:spacing w:after="0" w:line="30" w:lineRule="exact"/>
        <w:rPr>
          <w:sz w:val="20"/>
          <w:szCs w:val="20"/>
          <w:color w:val="auto"/>
        </w:rPr>
      </w:pPr>
    </w:p>
    <w:p>
      <w:pPr>
        <w:ind w:right="3139" w:firstLine="545"/>
        <w:spacing w:after="0" w:line="271" w:lineRule="auto"/>
        <w:rPr>
          <w:sz w:val="20"/>
          <w:szCs w:val="20"/>
          <w:color w:val="auto"/>
        </w:rPr>
      </w:pPr>
      <w:r>
        <w:rPr>
          <w:rFonts w:ascii="Courier New" w:cs="Courier New" w:eastAsia="Courier New" w:hAnsi="Courier New"/>
          <w:sz w:val="15"/>
          <w:szCs w:val="15"/>
          <w:color w:val="auto"/>
        </w:rPr>
        <w:t>Our sales are susceptible to global weather conditions. For instance, periods of wet weather like we experienced in the spring of 2003 in the United States adversely impacted fertilizer sales, but increased demand for certain pesticide products. We believe that our past acquisitions have somewhat diversified both our product line risk and geographic risk to weather conditions.</w:t>
      </w:r>
    </w:p>
    <w:p>
      <w:pPr>
        <w:spacing w:after="0" w:line="72" w:lineRule="exact"/>
        <w:rPr>
          <w:sz w:val="20"/>
          <w:szCs w:val="20"/>
          <w:color w:val="auto"/>
        </w:rPr>
      </w:pPr>
    </w:p>
    <w:p>
      <w:pPr>
        <w:ind w:right="2959" w:firstLine="545"/>
        <w:spacing w:after="0" w:line="255" w:lineRule="auto"/>
        <w:rPr>
          <w:sz w:val="20"/>
          <w:szCs w:val="20"/>
          <w:color w:val="auto"/>
        </w:rPr>
      </w:pPr>
      <w:r>
        <w:rPr>
          <w:rFonts w:ascii="Courier New" w:cs="Courier New" w:eastAsia="Courier New" w:hAnsi="Courier New"/>
          <w:sz w:val="15"/>
          <w:szCs w:val="15"/>
          <w:color w:val="auto"/>
        </w:rPr>
        <w:t>Historically, the majority of our shipments to retailers have occurred in the second and third fiscal quarters. However, over the past three years, retailers have reduced their pre-season inventories by relying on vendors to deliver products "in season" when consumers seek to buy our products. This change in retailer purchasing patterns and the increasing importance of Scotts LawnService(R) revenues have caused a sales shift from our second fiscal quarter to the third and fourth fiscal quarters. Fiscal 2003 net sales by quarter were 9.5%, 35.4%, 37.2%, and 17.9%, respectively. Concurrent with this sales shift, and because of the expansion of Scotts LawnService(R), the Company has experienced a shift in profitability from the second to third and fourth fiscal quarters, with the third fiscal quarter now more profitable than the second fiscal quarter. Results for the Company's fourth fiscal quarter, historically a loss making quarter, improved substantially in fiscal 2003. We expect the trend towards stronger third and fourth fiscal quarter sales and profits to continue in fiscal 2004.</w:t>
      </w:r>
    </w:p>
    <w:p>
      <w:pPr>
        <w:spacing w:after="0" w:line="88" w:lineRule="exact"/>
        <w:rPr>
          <w:sz w:val="20"/>
          <w:szCs w:val="20"/>
          <w:color w:val="auto"/>
        </w:rPr>
      </w:pPr>
    </w:p>
    <w:p>
      <w:pPr>
        <w:ind w:right="2959" w:firstLine="545"/>
        <w:spacing w:after="0" w:line="260" w:lineRule="auto"/>
        <w:rPr>
          <w:sz w:val="20"/>
          <w:szCs w:val="20"/>
          <w:color w:val="auto"/>
        </w:rPr>
      </w:pPr>
      <w:r>
        <w:rPr>
          <w:rFonts w:ascii="Courier New" w:cs="Courier New" w:eastAsia="Courier New" w:hAnsi="Courier New"/>
          <w:sz w:val="15"/>
          <w:szCs w:val="15"/>
          <w:color w:val="auto"/>
        </w:rPr>
        <w:t>In fiscal 2002, we announced the International Profit Improvement Plan to improve the operations and profitability of our European-based consumer and professional businesses. We have expended approximately $33 million through March 27, 2004, of which approximately 25% have been capital expenditures, primarily technology related. The remaining 75% of the total spending relates to the reorganization and rationalization of our European supply chain, increased sales force productivity and a shift to Pan-European category management of our product portfolio. By the end of 2005, we anticipate a cumulative total of $45 million to $55 million will have been spent on various projects related to this plan.</w:t>
      </w:r>
    </w:p>
    <w:p>
      <w:pPr>
        <w:spacing w:after="0" w:line="82" w:lineRule="exact"/>
        <w:rPr>
          <w:sz w:val="20"/>
          <w:szCs w:val="20"/>
          <w:color w:val="auto"/>
        </w:rPr>
      </w:pPr>
    </w:p>
    <w:p>
      <w:pPr>
        <w:ind w:right="2959" w:firstLine="545"/>
        <w:spacing w:after="0" w:line="259" w:lineRule="auto"/>
        <w:rPr>
          <w:sz w:val="20"/>
          <w:szCs w:val="20"/>
          <w:color w:val="auto"/>
        </w:rPr>
      </w:pPr>
      <w:r>
        <w:rPr>
          <w:rFonts w:ascii="Courier New" w:cs="Courier New" w:eastAsia="Courier New" w:hAnsi="Courier New"/>
          <w:sz w:val="15"/>
          <w:szCs w:val="15"/>
          <w:color w:val="auto"/>
        </w:rPr>
        <w:t>In January 2003, the Financial Accounting Standards Board (FASB) issued FASB Interpretation 46, "Consolidation of Variable Interest Entities, an Interpretation of ARB No. 51" (FIN 46). In December 2003, the FASB modified FIN 46 to make certain technical corrections and address certain implementation issues that had arisen. FIN 46 provides a new framework for identifying variable interest entities (VIEs) and determining when a company should include the assets, liabilities, noncontrolling interests, and results of activities of a VIE in its consolidated financial statements. Reference should be made to Note 10 to the Condensed, Consolidated Financial Statements (unaudited) included in Part I, Item 1 of this Quarterly Report on Form 10-Q for additional information as to the Company's assessment of FIN 46.</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80" w:lineRule="exact"/>
        <w:rPr>
          <w:sz w:val="20"/>
          <w:szCs w:val="20"/>
          <w:color w:val="auto"/>
        </w:rPr>
      </w:pPr>
    </w:p>
    <w:p>
      <w:pPr>
        <w:ind w:right="2959" w:firstLine="454"/>
        <w:spacing w:after="0" w:line="267" w:lineRule="auto"/>
        <w:rPr>
          <w:sz w:val="20"/>
          <w:szCs w:val="20"/>
          <w:color w:val="auto"/>
        </w:rPr>
      </w:pPr>
      <w:r>
        <w:rPr>
          <w:rFonts w:ascii="Courier New" w:cs="Courier New" w:eastAsia="Courier New" w:hAnsi="Courier New"/>
          <w:sz w:val="15"/>
          <w:szCs w:val="15"/>
          <w:color w:val="auto"/>
        </w:rPr>
        <w:t>The following discussion and analysis of the consolidated financial position and results of operations should be read in conjunction with our Condensed, Consolidated Financial Statements included elsewhere in this Quarterly Report on Form 10-Q. Our Annual Report on Form 10-K for the fiscal year ended September 30, 2003 includes additional information about the Company, our operations and our financial position, and should be read in conjunction with this Quarterly Report on Form 10-Q.</w:t>
      </w:r>
    </w:p>
    <w:p>
      <w:pPr>
        <w:spacing w:after="0" w:line="75"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w:t>
      </w:r>
    </w:p>
    <w:p>
      <w:pPr>
        <w:sectPr>
          <w:pgSz w:w="11900" w:h="16838" w:orient="portrait"/>
          <w:cols w:equalWidth="0" w:num="1">
            <w:col w:w="10219"/>
          </w:cols>
          <w:pgMar w:left="240" w:top="440" w:right="1440" w:bottom="0" w:gutter="0" w:footer="0" w:header="0"/>
        </w:sectPr>
      </w:pPr>
    </w:p>
    <w:bookmarkStart w:id="28" w:name="page29"/>
    <w:bookmarkEnd w:id="28"/>
    <w:p>
      <w:pPr>
        <w:ind w:right="2959"/>
        <w:spacing w:after="0" w:line="267" w:lineRule="auto"/>
        <w:rPr>
          <w:sz w:val="20"/>
          <w:szCs w:val="20"/>
          <w:color w:val="auto"/>
        </w:rPr>
      </w:pPr>
      <w:r>
        <w:rPr>
          <w:rFonts w:ascii="Courier New" w:cs="Courier New" w:eastAsia="Courier New" w:hAnsi="Courier New"/>
          <w:sz w:val="15"/>
          <w:szCs w:val="15"/>
          <w:color w:val="auto"/>
        </w:rPr>
        <w:t>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113" w:right="1440" w:bottom="1440" w:gutter="0" w:footer="0" w:header="0"/>
        </w:sectPr>
      </w:pPr>
    </w:p>
    <w:bookmarkStart w:id="29" w:name="page30"/>
    <w:bookmarkEnd w:id="29"/>
    <w:p>
      <w:pPr>
        <w:ind w:left="547" w:right="2959" w:hanging="547"/>
        <w:spacing w:after="0" w:line="256" w:lineRule="auto"/>
        <w:tabs>
          <w:tab w:leader="none" w:pos="1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84" w:lineRule="exact"/>
        <w:rPr>
          <w:rFonts w:ascii="Courier New" w:cs="Courier New" w:eastAsia="Courier New" w:hAnsi="Courier New"/>
          <w:sz w:val="15"/>
          <w:szCs w:val="15"/>
          <w:color w:val="auto"/>
        </w:rPr>
      </w:pPr>
    </w:p>
    <w:p>
      <w:pPr>
        <w:ind w:left="547" w:right="3319" w:hanging="547"/>
        <w:spacing w:after="0" w:line="271" w:lineRule="auto"/>
        <w:tabs>
          <w:tab w:leader="none" w:pos="1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results of operations or financial position.</w:t>
      </w:r>
    </w:p>
    <w:p>
      <w:pPr>
        <w:spacing w:after="0" w:line="72" w:lineRule="exact"/>
        <w:rPr>
          <w:rFonts w:ascii="Courier New" w:cs="Courier New" w:eastAsia="Courier New" w:hAnsi="Courier New"/>
          <w:sz w:val="15"/>
          <w:szCs w:val="15"/>
          <w:color w:val="auto"/>
        </w:rPr>
      </w:pPr>
    </w:p>
    <w:p>
      <w:pPr>
        <w:ind w:left="547" w:right="2959" w:hanging="547"/>
        <w:spacing w:after="0" w:line="277" w:lineRule="auto"/>
        <w:tabs>
          <w:tab w:leader="none" w:pos="1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 or financial position.</w:t>
      </w:r>
    </w:p>
    <w:p>
      <w:pPr>
        <w:spacing w:after="0" w:line="68" w:lineRule="exact"/>
        <w:rPr>
          <w:rFonts w:ascii="Courier New" w:cs="Courier New" w:eastAsia="Courier New" w:hAnsi="Courier New"/>
          <w:sz w:val="15"/>
          <w:szCs w:val="15"/>
          <w:color w:val="auto"/>
        </w:rPr>
      </w:pPr>
    </w:p>
    <w:p>
      <w:pPr>
        <w:ind w:left="547" w:right="3039" w:hanging="547"/>
        <w:spacing w:after="0" w:line="271" w:lineRule="auto"/>
        <w:tabs>
          <w:tab w:leader="none" w:pos="1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72" w:lineRule="exact"/>
        <w:rPr>
          <w:rFonts w:ascii="Courier New" w:cs="Courier New" w:eastAsia="Courier New" w:hAnsi="Courier New"/>
          <w:sz w:val="15"/>
          <w:szCs w:val="15"/>
          <w:color w:val="auto"/>
        </w:rPr>
      </w:pPr>
    </w:p>
    <w:p>
      <w:pPr>
        <w:ind w:left="547" w:right="3039" w:hanging="547"/>
        <w:spacing w:after="0" w:line="259" w:lineRule="auto"/>
        <w:tabs>
          <w:tab w:leader="none" w:pos="1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described more fully in the notes to the Consolidated Financial Statements for the year ended September 30, 2003,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80" w:lineRule="exact"/>
        <w:rPr>
          <w:rFonts w:ascii="Courier New" w:cs="Courier New" w:eastAsia="Courier New" w:hAnsi="Courier New"/>
          <w:sz w:val="15"/>
          <w:szCs w:val="15"/>
          <w:color w:val="auto"/>
        </w:rPr>
      </w:pPr>
    </w:p>
    <w:p>
      <w:pPr>
        <w:ind w:left="547" w:right="2859" w:hanging="547"/>
        <w:spacing w:after="0" w:line="262" w:lineRule="auto"/>
        <w:tabs>
          <w:tab w:leader="none" w:pos="1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78" w:lineRule="exact"/>
        <w:rPr>
          <w:rFonts w:ascii="Courier New" w:cs="Courier New" w:eastAsia="Courier New" w:hAnsi="Courier New"/>
          <w:sz w:val="15"/>
          <w:szCs w:val="15"/>
          <w:color w:val="auto"/>
        </w:rPr>
      </w:pPr>
    </w:p>
    <w:p>
      <w:pPr>
        <w:ind w:left="547" w:right="2779" w:hanging="547"/>
        <w:spacing w:after="0" w:line="254" w:lineRule="auto"/>
        <w:tabs>
          <w:tab w:leader="none" w:pos="1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8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6"/>
          </w:cols>
          <w:pgMar w:left="233" w:top="44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4100" w:firstLine="545"/>
        <w:spacing w:after="0" w:line="368" w:lineRule="auto"/>
        <w:rPr>
          <w:sz w:val="20"/>
          <w:szCs w:val="20"/>
          <w:color w:val="auto"/>
        </w:rPr>
      </w:pPr>
      <w:r>
        <w:rPr>
          <w:rFonts w:ascii="Courier New" w:cs="Courier New" w:eastAsia="Courier New" w:hAnsi="Courier New"/>
          <w:sz w:val="15"/>
          <w:szCs w:val="15"/>
          <w:color w:val="auto"/>
        </w:rPr>
        <w:t>The following table sets forth net sales by business segment for the three and six month periods ended March 27, 2004 and March 29, 2003:</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8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w w:val="99"/>
              </w:rPr>
              <w:t>THREE MONTHS ENDED</w:t>
            </w:r>
          </w:p>
        </w:tc>
        <w:tc>
          <w:tcPr>
            <w:tcW w:w="36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SIX MONTHS</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70"/>
                <w:vertAlign w:val="subscript"/>
              </w:rPr>
              <w:t>MARCH</w:t>
            </w: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bscript"/>
              </w:rPr>
              <w:t>27,</w:t>
            </w:r>
          </w:p>
        </w:tc>
        <w:tc>
          <w:tcPr>
            <w:tcW w:w="126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MARCH 29,</w:t>
            </w:r>
          </w:p>
        </w:tc>
        <w:tc>
          <w:tcPr>
            <w:tcW w:w="23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MARCH 27,</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MARCH 29,</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2004</w:t>
            </w:r>
          </w:p>
        </w:tc>
        <w:tc>
          <w:tcPr>
            <w:tcW w:w="360" w:type="dxa"/>
            <w:vAlign w:val="bottom"/>
          </w:tcPr>
          <w:p>
            <w:pPr>
              <w:spacing w:after="0"/>
              <w:rPr>
                <w:sz w:val="15"/>
                <w:szCs w:val="15"/>
                <w:color w:val="auto"/>
              </w:rPr>
            </w:pPr>
          </w:p>
        </w:tc>
        <w:tc>
          <w:tcPr>
            <w:tcW w:w="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11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2004</w:t>
            </w:r>
          </w:p>
        </w:tc>
        <w:tc>
          <w:tcPr>
            <w:tcW w:w="14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 MILLIONS)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1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North America .......</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521.0</w:t>
            </w:r>
          </w:p>
        </w:tc>
        <w:tc>
          <w:tcPr>
            <w:tcW w:w="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660.5</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625.6</w:t>
            </w:r>
          </w:p>
        </w:tc>
        <w:tc>
          <w:tcPr>
            <w:tcW w:w="0" w:type="dxa"/>
            <w:vAlign w:val="bottom"/>
          </w:tcPr>
          <w:p>
            <w:pPr>
              <w:spacing w:after="0"/>
              <w:rPr>
                <w:sz w:val="1"/>
                <w:szCs w:val="1"/>
                <w:color w:val="auto"/>
              </w:rPr>
            </w:pPr>
          </w:p>
        </w:tc>
      </w:tr>
      <w:tr>
        <w:trPr>
          <w:trHeight w:val="175"/>
        </w:trPr>
        <w:tc>
          <w:tcPr>
            <w:tcW w:w="21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Scotts LawnService(R)</w:t>
            </w:r>
          </w:p>
        </w:tc>
        <w:tc>
          <w:tcPr>
            <w:tcW w:w="4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w:t>
            </w:r>
          </w:p>
        </w:tc>
        <w:tc>
          <w:tcPr>
            <w:tcW w:w="36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w:t>
            </w:r>
          </w:p>
        </w:tc>
        <w:tc>
          <w:tcPr>
            <w:tcW w:w="360" w:type="dxa"/>
            <w:vAlign w:val="bottom"/>
          </w:tcPr>
          <w:p>
            <w:pPr>
              <w:spacing w:after="0"/>
              <w:rPr>
                <w:sz w:val="15"/>
                <w:szCs w:val="15"/>
                <w:color w:val="auto"/>
              </w:rPr>
            </w:pP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34.9</w:t>
            </w:r>
          </w:p>
        </w:tc>
        <w:tc>
          <w:tcPr>
            <w:tcW w:w="14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175"/>
        </w:trPr>
        <w:tc>
          <w:tcPr>
            <w:tcW w:w="21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International .......</w:t>
            </w:r>
          </w:p>
        </w:tc>
        <w:tc>
          <w:tcPr>
            <w:tcW w:w="4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155.1</w:t>
            </w:r>
          </w:p>
        </w:tc>
        <w:tc>
          <w:tcPr>
            <w:tcW w:w="36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143.7</w:t>
            </w:r>
          </w:p>
        </w:tc>
        <w:tc>
          <w:tcPr>
            <w:tcW w:w="360" w:type="dxa"/>
            <w:vAlign w:val="bottom"/>
          </w:tcPr>
          <w:p>
            <w:pPr>
              <w:spacing w:after="0"/>
              <w:rPr>
                <w:sz w:val="15"/>
                <w:szCs w:val="15"/>
                <w:color w:val="auto"/>
              </w:rPr>
            </w:pP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220.0</w:t>
            </w:r>
          </w:p>
        </w:tc>
        <w:tc>
          <w:tcPr>
            <w:tcW w:w="14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204.5</w:t>
            </w:r>
          </w:p>
        </w:tc>
        <w:tc>
          <w:tcPr>
            <w:tcW w:w="0" w:type="dxa"/>
            <w:vAlign w:val="bottom"/>
          </w:tcPr>
          <w:p>
            <w:pPr>
              <w:spacing w:after="0"/>
              <w:rPr>
                <w:sz w:val="1"/>
                <w:szCs w:val="1"/>
                <w:color w:val="auto"/>
              </w:rPr>
            </w:pPr>
          </w:p>
        </w:tc>
      </w:tr>
      <w:tr>
        <w:trPr>
          <w:trHeight w:val="175"/>
        </w:trPr>
        <w:tc>
          <w:tcPr>
            <w:tcW w:w="21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Consolidated .....</w:t>
            </w:r>
          </w:p>
        </w:tc>
        <w:tc>
          <w:tcPr>
            <w:tcW w:w="44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8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729.2</w:t>
            </w:r>
          </w:p>
        </w:tc>
        <w:tc>
          <w:tcPr>
            <w:tcW w:w="12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21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676.2</w:t>
            </w:r>
          </w:p>
        </w:tc>
        <w:tc>
          <w:tcPr>
            <w:tcW w:w="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915.4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856.9</w:t>
            </w: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2"/>
                <w:szCs w:val="22"/>
                <w:color w:val="auto"/>
              </w:rPr>
            </w:pP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4100" w:firstLine="545"/>
        <w:spacing w:after="0" w:line="307"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and six month periods ended March 27, 2004 and March 29, 2003:</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1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 THE</w:t>
            </w:r>
          </w:p>
        </w:tc>
        <w:tc>
          <w:tcPr>
            <w:tcW w:w="1140" w:type="dxa"/>
            <w:vAlign w:val="bottom"/>
          </w:tcPr>
          <w:p>
            <w:pPr>
              <w:spacing w:after="0"/>
              <w:rPr>
                <w:sz w:val="15"/>
                <w:szCs w:val="15"/>
                <w:color w:val="auto"/>
              </w:rPr>
            </w:pP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SIX</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FOR THE</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286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THREE MONTHS ENDED</w:t>
            </w:r>
          </w:p>
        </w:tc>
        <w:tc>
          <w:tcPr>
            <w:tcW w:w="1140" w:type="dxa"/>
            <w:vAlign w:val="bottom"/>
            <w:vMerge w:val="continue"/>
          </w:tcPr>
          <w:p>
            <w:pPr>
              <w:spacing w:after="0"/>
              <w:rPr>
                <w:sz w:val="15"/>
                <w:szCs w:val="15"/>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MONTHS ENDED</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17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w w:val="72"/>
                <w:vertAlign w:val="subscript"/>
              </w:rPr>
              <w:t>MARCH</w:t>
            </w:r>
            <w:r>
              <w:rPr>
                <w:rFonts w:ascii="Courier New" w:cs="Courier New" w:eastAsia="Courier New" w:hAnsi="Courier New"/>
                <w:sz w:val="10"/>
                <w:szCs w:val="10"/>
                <w:color w:val="auto"/>
                <w:w w:val="72"/>
              </w:rPr>
              <w:t>------------------------</w:t>
            </w:r>
            <w:r>
              <w:rPr>
                <w:rFonts w:ascii="Courier New" w:cs="Courier New" w:eastAsia="Courier New" w:hAnsi="Courier New"/>
                <w:sz w:val="16"/>
                <w:szCs w:val="16"/>
                <w:color w:val="auto"/>
                <w:w w:val="72"/>
                <w:vertAlign w:val="subscript"/>
              </w:rPr>
              <w:t>27,</w:t>
            </w:r>
          </w:p>
        </w:tc>
        <w:tc>
          <w:tcPr>
            <w:tcW w:w="11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8"/>
              </w:rPr>
              <w:t>MARCH 29,</w:t>
            </w:r>
          </w:p>
        </w:tc>
        <w:tc>
          <w:tcPr>
            <w:tcW w:w="2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MARCH 27,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17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2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(UNAUDITED)</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Net sales ....................................................</w:t>
            </w:r>
          </w:p>
        </w:tc>
        <w:tc>
          <w:tcPr>
            <w:tcW w:w="17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Cost of sales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60.2</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61.7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62.8</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65.0</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Restructuring and other charges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0.2</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5"/>
        </w:trPr>
        <w:tc>
          <w:tcPr>
            <w:tcW w:w="5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Gross profit .................................................</w:t>
            </w:r>
          </w:p>
        </w:tc>
        <w:tc>
          <w:tcPr>
            <w:tcW w:w="172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w w:val="81"/>
              </w:rPr>
              <w:t>--------</w:t>
            </w:r>
            <w:r>
              <w:rPr>
                <w:rFonts w:ascii="Courier New" w:cs="Courier New" w:eastAsia="Courier New" w:hAnsi="Courier New"/>
                <w:sz w:val="30"/>
                <w:szCs w:val="30"/>
                <w:color w:val="auto"/>
                <w:w w:val="81"/>
                <w:vertAlign w:val="subscript"/>
              </w:rPr>
              <w:t>39.8</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37.1</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34.4</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Net commission (expense) from marketing agreement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5"/>
        </w:trPr>
        <w:tc>
          <w:tcPr>
            <w:tcW w:w="5900" w:type="dxa"/>
            <w:vAlign w:val="bottom"/>
          </w:tcPr>
          <w:p>
            <w:pPr>
              <w:jc w:val="right"/>
              <w:ind w:right="4104"/>
              <w:spacing w:after="0"/>
              <w:rPr>
                <w:sz w:val="20"/>
                <w:szCs w:val="20"/>
                <w:color w:val="auto"/>
              </w:rPr>
            </w:pPr>
            <w:r>
              <w:rPr>
                <w:rFonts w:ascii="Courier New" w:cs="Courier New" w:eastAsia="Courier New" w:hAnsi="Courier New"/>
                <w:sz w:val="15"/>
                <w:szCs w:val="15"/>
                <w:color w:val="auto"/>
                <w:w w:val="99"/>
              </w:rPr>
              <w:t>Operating expenses:</w:t>
            </w:r>
          </w:p>
        </w:tc>
        <w:tc>
          <w:tcPr>
            <w:tcW w:w="172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rPr>
              <w:t>5.5</w:t>
            </w:r>
          </w:p>
        </w:tc>
        <w:tc>
          <w:tcPr>
            <w:tcW w:w="11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5.2</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5.3</w:t>
            </w:r>
          </w:p>
        </w:tc>
        <w:tc>
          <w:tcPr>
            <w:tcW w:w="14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Advertising ...............................................</w:t>
            </w:r>
          </w:p>
        </w:tc>
        <w:tc>
          <w:tcPr>
            <w:tcW w:w="1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Selling, general and administrative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14.7</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Selling, general and administrative - lawn service business</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Stock-based compensation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Restructuring and other charges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Amortization of intangibles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Other expense (income), net ...............................</w:t>
            </w:r>
          </w:p>
        </w:tc>
        <w:tc>
          <w:tcPr>
            <w:tcW w:w="17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5"/>
        </w:trPr>
        <w:tc>
          <w:tcPr>
            <w:tcW w:w="5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Income from operations .......................................</w:t>
            </w:r>
          </w:p>
        </w:tc>
        <w:tc>
          <w:tcPr>
            <w:tcW w:w="172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w w:val="81"/>
              </w:rPr>
              <w:t>--------</w:t>
            </w:r>
            <w:r>
              <w:rPr>
                <w:rFonts w:ascii="Courier New" w:cs="Courier New" w:eastAsia="Courier New" w:hAnsi="Courier New"/>
                <w:sz w:val="30"/>
                <w:szCs w:val="30"/>
                <w:color w:val="auto"/>
                <w:w w:val="81"/>
                <w:vertAlign w:val="subscript"/>
              </w:rPr>
              <w:t>18.2</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Interest expense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Costs related to refinancing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Income before income taxes ...................................</w:t>
            </w:r>
          </w:p>
        </w:tc>
        <w:tc>
          <w:tcPr>
            <w:tcW w:w="172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w w:val="81"/>
              </w:rPr>
              <w:t>--------</w:t>
            </w:r>
            <w:r>
              <w:rPr>
                <w:rFonts w:ascii="Courier New" w:cs="Courier New" w:eastAsia="Courier New" w:hAnsi="Courier New"/>
                <w:sz w:val="30"/>
                <w:szCs w:val="30"/>
                <w:color w:val="auto"/>
                <w:w w:val="81"/>
                <w:vertAlign w:val="subscript"/>
              </w:rPr>
              <w:t>16.2</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5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Income tax expense ...........................................</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5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Net income ...................................................</w:t>
            </w:r>
          </w:p>
        </w:tc>
        <w:tc>
          <w:tcPr>
            <w:tcW w:w="17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30"/>
                <w:szCs w:val="30"/>
                <w:color w:val="auto"/>
                <w:vertAlign w:val="subscript"/>
              </w:rPr>
              <w:t>10.0%</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27, 2004 COMPARED TO THREE MONTHS ENDED MARCH 29, 2003</w:t>
      </w:r>
    </w:p>
    <w:p>
      <w:pPr>
        <w:spacing w:after="0" w:line="180" w:lineRule="exact"/>
        <w:rPr>
          <w:sz w:val="20"/>
          <w:szCs w:val="20"/>
          <w:color w:val="auto"/>
        </w:rPr>
      </w:pPr>
    </w:p>
    <w:p>
      <w:pPr>
        <w:ind w:right="4180" w:firstLine="545"/>
        <w:spacing w:after="0" w:line="271" w:lineRule="auto"/>
        <w:rPr>
          <w:sz w:val="20"/>
          <w:szCs w:val="20"/>
          <w:color w:val="auto"/>
        </w:rPr>
      </w:pPr>
      <w:r>
        <w:rPr>
          <w:rFonts w:ascii="Courier New" w:cs="Courier New" w:eastAsia="Courier New" w:hAnsi="Courier New"/>
          <w:sz w:val="15"/>
          <w:szCs w:val="15"/>
          <w:color w:val="auto"/>
        </w:rPr>
        <w:t>Net sales for the three months ended March 27, 2004 were $729.2 million, an increase of 7.8% from net sales of $676.2 million for the three months ended March 29, 2003. Excluding the effect of exchange rates, sales for the second quarter of fiscal 2004 were $707.0 million, or 4.6% above the second quarter of fiscal 2003. Price increases are not material to the discussion of net sales in total or by reportable segment for either fiscal period presented.</w:t>
      </w:r>
    </w:p>
    <w:p>
      <w:pPr>
        <w:spacing w:after="0" w:line="72" w:lineRule="exact"/>
        <w:rPr>
          <w:sz w:val="20"/>
          <w:szCs w:val="20"/>
          <w:color w:val="auto"/>
        </w:rPr>
      </w:pPr>
    </w:p>
    <w:p>
      <w:pPr>
        <w:ind w:right="4100" w:firstLine="545"/>
        <w:spacing w:after="0" w:line="271" w:lineRule="auto"/>
        <w:rPr>
          <w:sz w:val="20"/>
          <w:szCs w:val="20"/>
          <w:color w:val="auto"/>
        </w:rPr>
      </w:pPr>
      <w:r>
        <w:rPr>
          <w:rFonts w:ascii="Courier New" w:cs="Courier New" w:eastAsia="Courier New" w:hAnsi="Courier New"/>
          <w:sz w:val="15"/>
          <w:szCs w:val="15"/>
          <w:color w:val="auto"/>
        </w:rPr>
        <w:t>The North America segment net sales were $557.8 million in the second quarter of fiscal 2004, an increase of 7.1% from net sales of $521.0 million for the second quarter of fiscal 2003. Every product group within the North America segment finished the second quarter with strong sales. This increase was driven primarily by sales within our Lawns and Gardening Products groups as a result of increased listings, primarily at our top three retail accounts.</w:t>
      </w:r>
    </w:p>
    <w:p>
      <w:pPr>
        <w:spacing w:after="0" w:line="72" w:lineRule="exact"/>
        <w:rPr>
          <w:sz w:val="20"/>
          <w:szCs w:val="20"/>
          <w:color w:val="auto"/>
        </w:rPr>
      </w:pPr>
    </w:p>
    <w:p>
      <w:pPr>
        <w:ind w:right="4100" w:firstLine="545"/>
        <w:spacing w:after="0" w:line="267" w:lineRule="auto"/>
        <w:rPr>
          <w:sz w:val="20"/>
          <w:szCs w:val="20"/>
          <w:color w:val="auto"/>
        </w:rPr>
      </w:pPr>
      <w:r>
        <w:rPr>
          <w:rFonts w:ascii="Courier New" w:cs="Courier New" w:eastAsia="Courier New" w:hAnsi="Courier New"/>
          <w:sz w:val="15"/>
          <w:szCs w:val="15"/>
          <w:color w:val="auto"/>
        </w:rPr>
        <w:t>Scotts LawnService(R) revenues increased 41.7% from $11.5 million in the second quarter of fiscal 2003 to $16.3 million in the second quarter of fiscal 2004. Approximately one half of the growth reflects an increase in the number of operating locations primarily due to acquisitions in new markets in late fiscal 2003, with the remainder of the increase due to more favorable weather conditions and increased demand for additional services in the second quarter of fiscal 2004.</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360"/>
          </w:cols>
          <w:pgMar w:left="240" w:top="440" w:right="299" w:bottom="284" w:gutter="0" w:footer="0" w:header="0"/>
        </w:sectPr>
      </w:pPr>
    </w:p>
    <w:bookmarkStart w:id="31" w:name="page32"/>
    <w:bookmarkEnd w:id="31"/>
    <w:p>
      <w:pPr>
        <w:ind w:right="2959" w:firstLine="545"/>
        <w:spacing w:after="0" w:line="264" w:lineRule="auto"/>
        <w:rPr>
          <w:sz w:val="20"/>
          <w:szCs w:val="20"/>
          <w:color w:val="auto"/>
        </w:rPr>
      </w:pPr>
      <w:r>
        <w:rPr>
          <w:rFonts w:ascii="Courier New" w:cs="Courier New" w:eastAsia="Courier New" w:hAnsi="Courier New"/>
          <w:sz w:val="15"/>
          <w:szCs w:val="15"/>
          <w:color w:val="auto"/>
        </w:rPr>
        <w:t>Net sales for the International segment in the second quarter of fiscal 2004 were $155.1 million, an increase of $11.4 million, or 7.9%, versus the second quarter of fiscal 2003. Excluding the effect of exchange rates, net sales declined by 6.1%. Poor weather in most of Europe has delayed the lawn and garden season and is the primary contributor to the sales decline. In addition, our decision to exit a very low gross margin line within our professional business and continued drought conditions in Australia also decreased net sales in the International segment.</w:t>
      </w:r>
    </w:p>
    <w:p>
      <w:pPr>
        <w:spacing w:after="0" w:line="78" w:lineRule="exact"/>
        <w:rPr>
          <w:sz w:val="20"/>
          <w:szCs w:val="20"/>
          <w:color w:val="auto"/>
        </w:rPr>
      </w:pPr>
    </w:p>
    <w:p>
      <w:pPr>
        <w:ind w:right="3039" w:firstLine="545"/>
        <w:spacing w:after="0" w:line="264" w:lineRule="auto"/>
        <w:rPr>
          <w:sz w:val="20"/>
          <w:szCs w:val="20"/>
          <w:color w:val="auto"/>
        </w:rPr>
      </w:pPr>
      <w:r>
        <w:rPr>
          <w:rFonts w:ascii="Courier New" w:cs="Courier New" w:eastAsia="Courier New" w:hAnsi="Courier New"/>
          <w:sz w:val="15"/>
          <w:szCs w:val="15"/>
          <w:color w:val="auto"/>
        </w:rPr>
        <w:t>Gross profit was $290.0 million in the second quarter of fiscal 2004, an increase of $32.1 million from gross profit of $257.9 million in the second quarter of fiscal 2003. As a percentage of net sales, gross profit was 39.8% of sales in the second quarter of fiscal 2004 compared to 38.1% in the second quarter of fiscal 2003. North America gross profit margin in the second quarter of fiscal 2004 improved primarily due to favorable product mix. The International segment realized improved margins due to the exit of the low margin professional line described above.</w:t>
      </w:r>
    </w:p>
    <w:p>
      <w:pPr>
        <w:spacing w:after="0" w:line="78" w:lineRule="exact"/>
        <w:rPr>
          <w:sz w:val="20"/>
          <w:szCs w:val="20"/>
          <w:color w:val="auto"/>
        </w:rPr>
      </w:pPr>
    </w:p>
    <w:p>
      <w:pPr>
        <w:ind w:right="2959" w:firstLine="545"/>
        <w:spacing w:after="0" w:line="267" w:lineRule="auto"/>
        <w:rPr>
          <w:sz w:val="20"/>
          <w:szCs w:val="20"/>
          <w:color w:val="auto"/>
        </w:rPr>
      </w:pPr>
      <w:r>
        <w:rPr>
          <w:rFonts w:ascii="Courier New" w:cs="Courier New" w:eastAsia="Courier New" w:hAnsi="Courier New"/>
          <w:sz w:val="15"/>
          <w:szCs w:val="15"/>
          <w:color w:val="auto"/>
        </w:rPr>
        <w:t>The net commission from the marketing agreement was $8.2 million in the second quarter of fiscal 2004 and $4.2 million in the second quarter of fiscal 2003. This increase from the prior year's comparable period is driven by increased sales volume and the favorable timing of media spending. Per the terms of our agreement with Monsanto, we account for media expense consistently with Monsanto's accounting policies. This results in media expense being recorded as incurred.</w:t>
      </w:r>
    </w:p>
    <w:p>
      <w:pPr>
        <w:spacing w:after="0" w:line="75" w:lineRule="exact"/>
        <w:rPr>
          <w:sz w:val="20"/>
          <w:szCs w:val="20"/>
          <w:color w:val="auto"/>
        </w:rPr>
      </w:pPr>
    </w:p>
    <w:p>
      <w:pPr>
        <w:ind w:right="2959" w:firstLine="545"/>
        <w:spacing w:after="0" w:line="287" w:lineRule="auto"/>
        <w:rPr>
          <w:sz w:val="20"/>
          <w:szCs w:val="20"/>
          <w:color w:val="auto"/>
        </w:rPr>
      </w:pPr>
      <w:r>
        <w:rPr>
          <w:rFonts w:ascii="Courier New" w:cs="Courier New" w:eastAsia="Courier New" w:hAnsi="Courier New"/>
          <w:sz w:val="15"/>
          <w:szCs w:val="15"/>
          <w:color w:val="auto"/>
        </w:rPr>
        <w:t>Advertising expenses in the second quarter of fiscal 2004 were $39.8 million, an increase of 14.0% from $34.9 million in the second quarter of fiscal 2003. As a percentage of net sales, advertising expenses were 5.5% in the second quarter of fiscal 2004 compared to 5.2% in the second quarter of fiscal 2003.</w:t>
      </w:r>
    </w:p>
    <w:p>
      <w:pPr>
        <w:spacing w:after="0" w:line="61" w:lineRule="exact"/>
        <w:rPr>
          <w:sz w:val="20"/>
          <w:szCs w:val="20"/>
          <w:color w:val="auto"/>
        </w:rPr>
      </w:pPr>
    </w:p>
    <w:p>
      <w:pPr>
        <w:ind w:right="3139" w:firstLine="545"/>
        <w:spacing w:after="0" w:line="271" w:lineRule="auto"/>
        <w:rPr>
          <w:sz w:val="20"/>
          <w:szCs w:val="20"/>
          <w:color w:val="auto"/>
        </w:rPr>
      </w:pPr>
      <w:r>
        <w:rPr>
          <w:rFonts w:ascii="Courier New" w:cs="Courier New" w:eastAsia="Courier New" w:hAnsi="Courier New"/>
          <w:sz w:val="15"/>
          <w:szCs w:val="15"/>
          <w:color w:val="auto"/>
        </w:rPr>
        <w:t>Selling, general and administrative expenses ("SG&amp;A"), excluding Scotts LawnService(R), stock-based compensation and restructuring and other charges, increased to $107.1 million in the second quarter of fiscal 2004 from $91.3 million in the second quarter of fiscal 2003. This increase in SG&amp;A was due primarily to increased legal costs, severance and incentives, and increases in worker's compensation and insurance in fiscal 2004.</w:t>
      </w:r>
    </w:p>
    <w:p>
      <w:pPr>
        <w:spacing w:after="0" w:line="72" w:lineRule="exact"/>
        <w:rPr>
          <w:sz w:val="20"/>
          <w:szCs w:val="20"/>
          <w:color w:val="auto"/>
        </w:rPr>
      </w:pPr>
    </w:p>
    <w:p>
      <w:pPr>
        <w:ind w:right="2959" w:firstLine="545"/>
        <w:spacing w:after="0" w:line="277" w:lineRule="auto"/>
        <w:rPr>
          <w:sz w:val="20"/>
          <w:szCs w:val="20"/>
          <w:color w:val="auto"/>
        </w:rPr>
      </w:pPr>
      <w:r>
        <w:rPr>
          <w:rFonts w:ascii="Courier New" w:cs="Courier New" w:eastAsia="Courier New" w:hAnsi="Courier New"/>
          <w:sz w:val="15"/>
          <w:szCs w:val="15"/>
          <w:color w:val="auto"/>
        </w:rPr>
        <w:t>SG&amp;A in the Scotts LawnService(R) business increased from $13.1 million in the second quarter of fiscal 2003 to $15.2 million in the second quarter of fiscal 2004, reflecting the increased number of locations added over the past year from acquisitions, primarily in new markets, and the resulting support of increased customer count.</w:t>
      </w:r>
    </w:p>
    <w:p>
      <w:pPr>
        <w:spacing w:after="0" w:line="68" w:lineRule="exact"/>
        <w:rPr>
          <w:sz w:val="20"/>
          <w:szCs w:val="20"/>
          <w:color w:val="auto"/>
        </w:rPr>
      </w:pPr>
    </w:p>
    <w:p>
      <w:pPr>
        <w:ind w:right="2959" w:firstLine="545"/>
        <w:spacing w:after="0" w:line="271" w:lineRule="auto"/>
        <w:rPr>
          <w:sz w:val="20"/>
          <w:szCs w:val="20"/>
          <w:color w:val="auto"/>
        </w:rPr>
      </w:pPr>
      <w:r>
        <w:rPr>
          <w:rFonts w:ascii="Courier New" w:cs="Courier New" w:eastAsia="Courier New" w:hAnsi="Courier New"/>
          <w:sz w:val="15"/>
          <w:szCs w:val="15"/>
          <w:color w:val="auto"/>
        </w:rPr>
        <w:t>Stock-based compensation expense increased to $3.1 million in the second quarter of fiscal 2004, compared to $1.2 million in the second quarter of fiscal 2003, primarily reflecting amortization of grants issued in fiscal 2003 coupled with amortization associated with grants issued in fiscal 2004. The full year charges for stock-based compensation are expected to increase by $4.0 to $5.0 million in fiscal 2004 compared to fiscal 2003.</w:t>
      </w:r>
    </w:p>
    <w:p>
      <w:pPr>
        <w:spacing w:after="0" w:line="72" w:lineRule="exact"/>
        <w:rPr>
          <w:sz w:val="20"/>
          <w:szCs w:val="20"/>
          <w:color w:val="auto"/>
        </w:rPr>
      </w:pPr>
    </w:p>
    <w:p>
      <w:pPr>
        <w:ind w:right="2959" w:firstLine="545"/>
        <w:spacing w:after="0" w:line="287" w:lineRule="auto"/>
        <w:rPr>
          <w:sz w:val="20"/>
          <w:szCs w:val="20"/>
          <w:color w:val="auto"/>
        </w:rPr>
      </w:pPr>
      <w:r>
        <w:rPr>
          <w:rFonts w:ascii="Courier New" w:cs="Courier New" w:eastAsia="Courier New" w:hAnsi="Courier New"/>
          <w:sz w:val="15"/>
          <w:szCs w:val="15"/>
          <w:color w:val="auto"/>
        </w:rPr>
        <w:t>Restructuring and other charges included in SG&amp;A decreased from $2.4 million in fiscal 2003's second quarter to $0.2 million in fiscal 2004's second quarter due primarily to reduced North American distribution restructuring costs and reduced International plant closure costs.</w:t>
      </w:r>
    </w:p>
    <w:p>
      <w:pPr>
        <w:spacing w:after="0" w:line="61" w:lineRule="exact"/>
        <w:rPr>
          <w:sz w:val="20"/>
          <w:szCs w:val="20"/>
          <w:color w:val="auto"/>
        </w:rPr>
      </w:pPr>
    </w:p>
    <w:p>
      <w:pPr>
        <w:ind w:right="3139" w:firstLine="545"/>
        <w:spacing w:after="0" w:line="368" w:lineRule="auto"/>
        <w:rPr>
          <w:sz w:val="20"/>
          <w:szCs w:val="20"/>
          <w:color w:val="auto"/>
        </w:rPr>
      </w:pPr>
      <w:r>
        <w:rPr>
          <w:rFonts w:ascii="Courier New" w:cs="Courier New" w:eastAsia="Courier New" w:hAnsi="Courier New"/>
          <w:sz w:val="15"/>
          <w:szCs w:val="15"/>
          <w:color w:val="auto"/>
        </w:rPr>
        <w:t>Other income was $2.1 million for the second quarter of fiscal 2004, compared to other income of $2.4 million in the second quarter of fiscal 2003.</w:t>
      </w:r>
    </w:p>
    <w:p>
      <w:pPr>
        <w:spacing w:after="0" w:line="3" w:lineRule="exact"/>
        <w:rPr>
          <w:sz w:val="20"/>
          <w:szCs w:val="20"/>
          <w:color w:val="auto"/>
        </w:rPr>
      </w:pPr>
    </w:p>
    <w:p>
      <w:pPr>
        <w:ind w:right="2959" w:firstLine="545"/>
        <w:spacing w:after="0" w:line="277" w:lineRule="auto"/>
        <w:rPr>
          <w:sz w:val="20"/>
          <w:szCs w:val="20"/>
          <w:color w:val="auto"/>
        </w:rPr>
      </w:pPr>
      <w:r>
        <w:rPr>
          <w:rFonts w:ascii="Courier New" w:cs="Courier New" w:eastAsia="Courier New" w:hAnsi="Courier New"/>
          <w:sz w:val="15"/>
          <w:szCs w:val="15"/>
          <w:color w:val="auto"/>
        </w:rPr>
        <w:t>For segment reporting purposes, the Company defines operating income as earnings before interest, taxes and amortization of intangible assets ("EBITA"), as this is the measure used by management to assess earnings performance. Segment performance for the second quarter of fiscal 2004 compared to the second quarter of fiscal 2003 was as follows:</w:t>
      </w:r>
    </w:p>
    <w:p>
      <w:pPr>
        <w:spacing w:after="0" w:line="68" w:lineRule="exact"/>
        <w:rPr>
          <w:sz w:val="20"/>
          <w:szCs w:val="20"/>
          <w:color w:val="auto"/>
        </w:rPr>
      </w:pPr>
    </w:p>
    <w:p>
      <w:pPr>
        <w:ind w:left="1080" w:right="3039" w:hanging="542"/>
        <w:spacing w:after="0" w:line="277" w:lineRule="auto"/>
        <w:tabs>
          <w:tab w:leader="none" w:pos="10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America's operating income increased from $128.4 million in fiscal 2003 to $145.6 million in fiscal 2004, as improved sales and gross margins, previously described above, more than offset current year SG&amp;A increases in severance, incentives, selling and research and development costs;</w:t>
      </w:r>
    </w:p>
    <w:p>
      <w:pPr>
        <w:spacing w:after="0" w:line="68" w:lineRule="exact"/>
        <w:rPr>
          <w:rFonts w:ascii="Courier New" w:cs="Courier New" w:eastAsia="Courier New" w:hAnsi="Courier New"/>
          <w:sz w:val="15"/>
          <w:szCs w:val="15"/>
          <w:color w:val="auto"/>
        </w:rPr>
      </w:pPr>
    </w:p>
    <w:p>
      <w:pPr>
        <w:ind w:left="1080" w:right="3039" w:hanging="542"/>
        <w:spacing w:after="0" w:line="267" w:lineRule="auto"/>
        <w:tabs>
          <w:tab w:leader="none" w:pos="10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reported higher net sales, but a larger operating loss, $12.7 million compared to $12.3 million. As this highly seasonal business grows and adds fixed infrastructure costs, it will have larger losses in the first and second quarters of the fiscal year due to seasonally low revenues. Conversely, the second half of the fiscal year will provide higher revenues, margins and operating income;</w:t>
      </w:r>
    </w:p>
    <w:p>
      <w:pPr>
        <w:spacing w:after="0" w:line="74" w:lineRule="exact"/>
        <w:rPr>
          <w:rFonts w:ascii="Courier New" w:cs="Courier New" w:eastAsia="Courier New" w:hAnsi="Courier New"/>
          <w:sz w:val="15"/>
          <w:szCs w:val="15"/>
          <w:color w:val="auto"/>
        </w:rPr>
      </w:pPr>
    </w:p>
    <w:p>
      <w:pPr>
        <w:ind w:left="1080" w:right="3319" w:hanging="542"/>
        <w:spacing w:after="0" w:line="368" w:lineRule="auto"/>
        <w:tabs>
          <w:tab w:leader="none" w:pos="10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International's operating income increased to $25.1 million from $22.5 million. Although net sales declined $8.8 million,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40" w:right="1440" w:bottom="1440" w:gutter="0" w:footer="0" w:header="0"/>
        </w:sectPr>
      </w:pPr>
    </w:p>
    <w:bookmarkStart w:id="32" w:name="page33"/>
    <w:bookmarkEnd w:id="32"/>
    <w:p>
      <w:pPr>
        <w:ind w:left="1080" w:right="2959"/>
        <w:spacing w:after="0" w:line="307" w:lineRule="auto"/>
        <w:rPr>
          <w:sz w:val="20"/>
          <w:szCs w:val="20"/>
          <w:color w:val="auto"/>
        </w:rPr>
      </w:pPr>
      <w:r>
        <w:rPr>
          <w:rFonts w:ascii="Courier New" w:cs="Courier New" w:eastAsia="Courier New" w:hAnsi="Courier New"/>
          <w:sz w:val="15"/>
          <w:szCs w:val="15"/>
          <w:color w:val="auto"/>
        </w:rPr>
        <w:t>excluding the effect of exchange rates, this was more than offset by improved gross margin, decreased SG&amp;A spending and the favorable impact of foreign exchange on operating income.</w:t>
      </w:r>
    </w:p>
    <w:p>
      <w:pPr>
        <w:spacing w:after="0" w:line="47" w:lineRule="exact"/>
        <w:rPr>
          <w:sz w:val="20"/>
          <w:szCs w:val="20"/>
          <w:color w:val="auto"/>
        </w:rPr>
      </w:pPr>
    </w:p>
    <w:p>
      <w:pPr>
        <w:ind w:right="2959" w:firstLine="545"/>
        <w:spacing w:after="0" w:line="271" w:lineRule="auto"/>
        <w:rPr>
          <w:sz w:val="20"/>
          <w:szCs w:val="20"/>
          <w:color w:val="auto"/>
        </w:rPr>
      </w:pPr>
      <w:r>
        <w:rPr>
          <w:rFonts w:ascii="Courier New" w:cs="Courier New" w:eastAsia="Courier New" w:hAnsi="Courier New"/>
          <w:sz w:val="15"/>
          <w:szCs w:val="15"/>
          <w:color w:val="auto"/>
        </w:rPr>
        <w:t>Interest expense for the second quarter of fiscal 2004 was $13.5 million, compared to $18.7 million for the second quarter of fiscal 2003. The decrease in interest expense was due to a reduction in average borrowings as compared to the prior year coupled with a reduction in the weighted average interest rate as a result of lower rates under our New Credit Agreement and the 6 5/8% Notes, which replaced the 8 5/8% Notes which were tendered in October 2003.</w:t>
      </w:r>
    </w:p>
    <w:p>
      <w:pPr>
        <w:spacing w:after="0" w:line="72" w:lineRule="exact"/>
        <w:rPr>
          <w:sz w:val="20"/>
          <w:szCs w:val="20"/>
          <w:color w:val="auto"/>
        </w:rPr>
      </w:pPr>
    </w:p>
    <w:p>
      <w:pPr>
        <w:ind w:right="2959" w:firstLine="545"/>
        <w:spacing w:after="0" w:line="256" w:lineRule="auto"/>
        <w:rPr>
          <w:sz w:val="20"/>
          <w:szCs w:val="20"/>
          <w:color w:val="auto"/>
        </w:rPr>
      </w:pPr>
      <w:r>
        <w:rPr>
          <w:rFonts w:ascii="Courier New" w:cs="Courier New" w:eastAsia="Courier New" w:hAnsi="Courier New"/>
          <w:sz w:val="15"/>
          <w:szCs w:val="15"/>
          <w:color w:val="auto"/>
        </w:rPr>
        <w:t>The income tax expense was calculated assuming an effective tax rate of 38.3% for the second quarter of fiscal 2004 versus 38.0% for the comparable quarter in fiscal 2003.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 during the course of the fiscal year. There are no material changes to the effective tax rate expected at this time.</w:t>
      </w:r>
    </w:p>
    <w:p>
      <w:pPr>
        <w:spacing w:after="0" w:line="84" w:lineRule="exact"/>
        <w:rPr>
          <w:sz w:val="20"/>
          <w:szCs w:val="20"/>
          <w:color w:val="auto"/>
        </w:rPr>
      </w:pPr>
    </w:p>
    <w:p>
      <w:pPr>
        <w:ind w:right="2959" w:firstLine="545"/>
        <w:spacing w:after="0" w:line="277" w:lineRule="auto"/>
        <w:rPr>
          <w:sz w:val="20"/>
          <w:szCs w:val="20"/>
          <w:color w:val="auto"/>
        </w:rPr>
      </w:pPr>
      <w:r>
        <w:rPr>
          <w:rFonts w:ascii="Courier New" w:cs="Courier New" w:eastAsia="Courier New" w:hAnsi="Courier New"/>
          <w:sz w:val="15"/>
          <w:szCs w:val="15"/>
          <w:color w:val="auto"/>
        </w:rPr>
        <w:t>The Company reported net income of $73.1 million for the second quarter of fiscal 2004, compared to $62.5 million for fiscal 2003. Average shares outstanding for purposes of computing earnings per common share increased from 32.2 million at March 29, 2003 to 33.0 million at March 27, 2004 due to shares issued for option and warrant exercises.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27, 2004 COMPARED TO SIX MONTHS ENDED MARCH 29, 2003</w:t>
      </w:r>
    </w:p>
    <w:p>
      <w:pPr>
        <w:spacing w:after="0" w:line="180" w:lineRule="exact"/>
        <w:rPr>
          <w:sz w:val="20"/>
          <w:szCs w:val="20"/>
          <w:color w:val="auto"/>
        </w:rPr>
      </w:pPr>
    </w:p>
    <w:p>
      <w:pPr>
        <w:ind w:right="2959" w:firstLine="545"/>
        <w:spacing w:after="0" w:line="271" w:lineRule="auto"/>
        <w:rPr>
          <w:sz w:val="20"/>
          <w:szCs w:val="20"/>
          <w:color w:val="auto"/>
        </w:rPr>
      </w:pPr>
      <w:r>
        <w:rPr>
          <w:rFonts w:ascii="Courier New" w:cs="Courier New" w:eastAsia="Courier New" w:hAnsi="Courier New"/>
          <w:sz w:val="15"/>
          <w:szCs w:val="15"/>
          <w:color w:val="auto"/>
        </w:rPr>
        <w:t>Net sales for the six months ended March 27, 2004 were $915.4 million, an increase of 6.8% from net sales of $856.9 million for the six months ended March 29, 2003. Excluding the effect of exchange rates, sales for the first half of fiscal 2004 were $883.3 million, or 3.1% above the first half of fiscal 2003. Price increases are not material to the discussion of net sales in total or by reportable segment for either fiscal period presented.</w:t>
      </w:r>
    </w:p>
    <w:p>
      <w:pPr>
        <w:spacing w:after="0" w:line="72" w:lineRule="exact"/>
        <w:rPr>
          <w:sz w:val="20"/>
          <w:szCs w:val="20"/>
          <w:color w:val="auto"/>
        </w:rPr>
      </w:pPr>
    </w:p>
    <w:p>
      <w:pPr>
        <w:ind w:right="2959" w:firstLine="545"/>
        <w:spacing w:after="0" w:line="287" w:lineRule="auto"/>
        <w:rPr>
          <w:sz w:val="20"/>
          <w:szCs w:val="20"/>
          <w:color w:val="auto"/>
        </w:rPr>
      </w:pPr>
      <w:r>
        <w:rPr>
          <w:rFonts w:ascii="Courier New" w:cs="Courier New" w:eastAsia="Courier New" w:hAnsi="Courier New"/>
          <w:sz w:val="15"/>
          <w:szCs w:val="15"/>
          <w:color w:val="auto"/>
        </w:rPr>
        <w:t>The North America segment net sales were $660.5 million in the first half of fiscal 2004, an increase of 5.6% from net sales of $625.6 million for the first half of fiscal 2003. This increase was driven by the strong second quarter sales within the North America segment.</w:t>
      </w:r>
    </w:p>
    <w:p>
      <w:pPr>
        <w:spacing w:after="0" w:line="61" w:lineRule="exact"/>
        <w:rPr>
          <w:sz w:val="20"/>
          <w:szCs w:val="20"/>
          <w:color w:val="auto"/>
        </w:rPr>
      </w:pPr>
    </w:p>
    <w:p>
      <w:pPr>
        <w:ind w:right="2959" w:firstLine="545"/>
        <w:spacing w:after="0" w:line="271" w:lineRule="auto"/>
        <w:rPr>
          <w:sz w:val="20"/>
          <w:szCs w:val="20"/>
          <w:color w:val="auto"/>
        </w:rPr>
      </w:pPr>
      <w:r>
        <w:rPr>
          <w:rFonts w:ascii="Courier New" w:cs="Courier New" w:eastAsia="Courier New" w:hAnsi="Courier New"/>
          <w:sz w:val="15"/>
          <w:szCs w:val="15"/>
          <w:color w:val="auto"/>
        </w:rPr>
        <w:t>Scotts LawnService(R) revenues increased 30.2% from $26.8 million in the first half of fiscal 2003 to $34.9 million in the first half of fiscal 2004. This growth reflects an increase in the number of operating locations, primarily due to acquisitions in new markets in late fiscal 2003, coupled with favorable weather conditions and additional services provided in the first half of fiscal 2004.</w:t>
      </w:r>
    </w:p>
    <w:p>
      <w:pPr>
        <w:spacing w:after="0" w:line="72" w:lineRule="exact"/>
        <w:rPr>
          <w:sz w:val="20"/>
          <w:szCs w:val="20"/>
          <w:color w:val="auto"/>
        </w:rPr>
      </w:pPr>
    </w:p>
    <w:p>
      <w:pPr>
        <w:ind w:right="2959" w:firstLine="545"/>
        <w:spacing w:after="0" w:line="260" w:lineRule="auto"/>
        <w:rPr>
          <w:sz w:val="20"/>
          <w:szCs w:val="20"/>
          <w:color w:val="auto"/>
        </w:rPr>
      </w:pPr>
      <w:r>
        <w:rPr>
          <w:rFonts w:ascii="Courier New" w:cs="Courier New" w:eastAsia="Courier New" w:hAnsi="Courier New"/>
          <w:sz w:val="15"/>
          <w:szCs w:val="15"/>
          <w:color w:val="auto"/>
        </w:rPr>
        <w:t>Net sales for the International segment in the first half of fiscal 2004 were $220.0 million, an increase of $15.5 million, or 7.6%, versus the first half of fiscal 2003. Excluding the effect of exchange rates, net sales declined by 7.0%. This decrease was partially due to first fiscal quarter shipping delays in our consumer business due to product availability issues resulting from our SKU rationalization initiatives. Poor weather in the second fiscal quarter delayed the lawn and garden season in Europe. In addition, our decision to exit a very low gross margin line within our professional business and continued drought conditions in Australia also decreased net sales in the International segment.</w:t>
      </w:r>
    </w:p>
    <w:p>
      <w:pPr>
        <w:spacing w:after="0" w:line="82" w:lineRule="exact"/>
        <w:rPr>
          <w:sz w:val="20"/>
          <w:szCs w:val="20"/>
          <w:color w:val="auto"/>
        </w:rPr>
      </w:pPr>
    </w:p>
    <w:p>
      <w:pPr>
        <w:ind w:right="2959" w:firstLine="545"/>
        <w:spacing w:after="0" w:line="257" w:lineRule="auto"/>
        <w:rPr>
          <w:sz w:val="20"/>
          <w:szCs w:val="20"/>
          <w:color w:val="auto"/>
        </w:rPr>
      </w:pPr>
      <w:r>
        <w:rPr>
          <w:rFonts w:ascii="Courier New" w:cs="Courier New" w:eastAsia="Courier New" w:hAnsi="Courier New"/>
          <w:sz w:val="15"/>
          <w:szCs w:val="15"/>
          <w:color w:val="auto"/>
        </w:rPr>
        <w:t>Gross profit was $339.3 million in the first half of fiscal 2004, an increase of $44.1 million from gross profit of $295.2 million in the first half of fiscal 2003. As a percentage of net sales, gross profit was 37.1% of sales in the first half of fiscal 2004 compared to 34.4% in the first half of fiscal 2003. Excluding the effect of favorable exchange rates and excluding restructuring and other charges, gross profit margin was 37.1% of sales in the first half of fiscal 2004 compared to 35.0% in the first half of fiscal 2003. North America gross profit margin in the first half of fiscal 2004 improved primarily due to favorable product mix, favorable distribution expense driven by reductions in warehousing costs and the timing of trade programs that will occur in the second half of fiscal 2004, compared to similar programs that occurred in the first half of fiscal 2003. The International segment realized improved margins due to the exit of the low margin professional line described above.</w:t>
      </w:r>
    </w:p>
    <w:p>
      <w:pPr>
        <w:spacing w:after="0" w:line="81" w:lineRule="exact"/>
        <w:rPr>
          <w:sz w:val="20"/>
          <w:szCs w:val="20"/>
          <w:color w:val="auto"/>
        </w:rPr>
      </w:pPr>
    </w:p>
    <w:p>
      <w:pPr>
        <w:ind w:right="3039" w:firstLine="545"/>
        <w:spacing w:after="0" w:line="267" w:lineRule="auto"/>
        <w:rPr>
          <w:sz w:val="20"/>
          <w:szCs w:val="20"/>
          <w:color w:val="auto"/>
        </w:rPr>
      </w:pPr>
      <w:r>
        <w:rPr>
          <w:rFonts w:ascii="Courier New" w:cs="Courier New" w:eastAsia="Courier New" w:hAnsi="Courier New"/>
          <w:sz w:val="15"/>
          <w:szCs w:val="15"/>
          <w:color w:val="auto"/>
        </w:rPr>
        <w:t>The net commission from the marketing agreement was $1.1 million in the first half of fiscal 2004 compared to net expense of $2.9 million in the first half of fiscal 2003 driven by sales volume and the favorable timing of media spending. Per the terms of our agreement with Monsanto, we account for media expense consistently with Monsanto's accounting policies. This results in media expense being recorded as incurred. The annual contribution payment remains unchanged at $25 million for fiscal 2004.</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40" w:right="1440" w:bottom="634" w:gutter="0" w:footer="0" w:header="0"/>
        </w:sectPr>
      </w:pPr>
    </w:p>
    <w:bookmarkStart w:id="33" w:name="page34"/>
    <w:bookmarkEnd w:id="33"/>
    <w:p>
      <w:pPr>
        <w:ind w:right="2959" w:firstLine="364"/>
        <w:spacing w:after="0" w:line="287" w:lineRule="auto"/>
        <w:rPr>
          <w:sz w:val="20"/>
          <w:szCs w:val="20"/>
          <w:color w:val="auto"/>
        </w:rPr>
      </w:pPr>
      <w:r>
        <w:rPr>
          <w:rFonts w:ascii="Courier New" w:cs="Courier New" w:eastAsia="Courier New" w:hAnsi="Courier New"/>
          <w:sz w:val="15"/>
          <w:szCs w:val="15"/>
          <w:color w:val="auto"/>
        </w:rPr>
        <w:t>Advertising expenses in the first half of fiscal 2004 were $48.1 million, an increase of 10.6% from $43.5 million in the first half of fiscal 2003. As a percentage of net sales, advertising expenses were 5.3% in the first half of fiscal 2004 compared to 5.0% in the first half of fiscal 2003.</w:t>
      </w:r>
    </w:p>
    <w:p>
      <w:pPr>
        <w:spacing w:after="0" w:line="61" w:lineRule="exact"/>
        <w:rPr>
          <w:sz w:val="20"/>
          <w:szCs w:val="20"/>
          <w:color w:val="auto"/>
        </w:rPr>
      </w:pPr>
    </w:p>
    <w:p>
      <w:pPr>
        <w:ind w:right="2959" w:firstLine="364"/>
        <w:spacing w:after="0" w:line="267" w:lineRule="auto"/>
        <w:rPr>
          <w:sz w:val="20"/>
          <w:szCs w:val="20"/>
          <w:color w:val="auto"/>
        </w:rPr>
      </w:pPr>
      <w:r>
        <w:rPr>
          <w:rFonts w:ascii="Courier New" w:cs="Courier New" w:eastAsia="Courier New" w:hAnsi="Courier New"/>
          <w:sz w:val="15"/>
          <w:szCs w:val="15"/>
          <w:color w:val="auto"/>
        </w:rPr>
        <w:t>Selling, general and administrative expenses ("SG&amp;A"), excluding Scotts LawnService(R), stock-based compensation and restructuring and other charges, increased to $185.1 million in the first half of fiscal 2004 from $158.8 million in the first half of fiscal 2003. This increase in SG&amp;A was due primarily to increased legal costs, severance and incentives, and increases in worker's compensation and insurance in fiscal 2004, coupled with the non-recurrence of bad debt recoveries realized in fiscal 2003.</w:t>
      </w:r>
    </w:p>
    <w:p>
      <w:pPr>
        <w:spacing w:after="0" w:line="75" w:lineRule="exact"/>
        <w:rPr>
          <w:sz w:val="20"/>
          <w:szCs w:val="20"/>
          <w:color w:val="auto"/>
        </w:rPr>
      </w:pPr>
    </w:p>
    <w:p>
      <w:pPr>
        <w:ind w:right="2959" w:firstLine="364"/>
        <w:spacing w:after="0" w:line="277" w:lineRule="auto"/>
        <w:rPr>
          <w:sz w:val="20"/>
          <w:szCs w:val="20"/>
          <w:color w:val="auto"/>
        </w:rPr>
      </w:pPr>
      <w:r>
        <w:rPr>
          <w:rFonts w:ascii="Courier New" w:cs="Courier New" w:eastAsia="Courier New" w:hAnsi="Courier New"/>
          <w:sz w:val="15"/>
          <w:szCs w:val="15"/>
          <w:color w:val="auto"/>
        </w:rPr>
        <w:t>SG&amp;A in the Scotts LawnService(R) business increased from $23.1 million in the first half of fiscal 2003 to $27.6 million in the first half of fiscal 2004, reflecting the increased number of locations added over the past year from acquisitions, primarily in new markets and the resulting support of increased customer count.</w:t>
      </w:r>
    </w:p>
    <w:p>
      <w:pPr>
        <w:spacing w:after="0" w:line="68" w:lineRule="exact"/>
        <w:rPr>
          <w:sz w:val="20"/>
          <w:szCs w:val="20"/>
          <w:color w:val="auto"/>
        </w:rPr>
      </w:pPr>
    </w:p>
    <w:p>
      <w:pPr>
        <w:ind w:right="2959" w:firstLine="364"/>
        <w:spacing w:after="0" w:line="271" w:lineRule="auto"/>
        <w:rPr>
          <w:sz w:val="20"/>
          <w:szCs w:val="20"/>
          <w:color w:val="auto"/>
        </w:rPr>
      </w:pPr>
      <w:r>
        <w:rPr>
          <w:rFonts w:ascii="Courier New" w:cs="Courier New" w:eastAsia="Courier New" w:hAnsi="Courier New"/>
          <w:sz w:val="15"/>
          <w:szCs w:val="15"/>
          <w:color w:val="auto"/>
        </w:rPr>
        <w:t>Stock-based compensation expense increased to $4.4 million in the first half of fiscal 2004, compared to $1.6 million in the first half of fiscal 2003, primarily reflecting amortization of grants issued in fiscal 2003 coupled with amortization associated with grants issued in fiscal 2004. The full year charges for stock-based compensation are expected to increase by $4.0 to $5.0 million in fiscal 2004 compared to fiscal 2003.</w:t>
      </w:r>
    </w:p>
    <w:p>
      <w:pPr>
        <w:spacing w:after="0" w:line="72" w:lineRule="exact"/>
        <w:rPr>
          <w:sz w:val="20"/>
          <w:szCs w:val="20"/>
          <w:color w:val="auto"/>
        </w:rPr>
      </w:pPr>
    </w:p>
    <w:p>
      <w:pPr>
        <w:ind w:right="2959" w:firstLine="364"/>
        <w:spacing w:after="0" w:line="287" w:lineRule="auto"/>
        <w:rPr>
          <w:sz w:val="20"/>
          <w:szCs w:val="20"/>
          <w:color w:val="auto"/>
        </w:rPr>
      </w:pPr>
      <w:r>
        <w:rPr>
          <w:rFonts w:ascii="Courier New" w:cs="Courier New" w:eastAsia="Courier New" w:hAnsi="Courier New"/>
          <w:sz w:val="15"/>
          <w:szCs w:val="15"/>
          <w:color w:val="auto"/>
        </w:rPr>
        <w:t>Restructuring and other charges included in SG&amp;A decreased from $4.3 million in the first half of fiscal 2003 to $0.7 million in the first half of fiscal 2004 due to reduced North American distribution restructuring costs and reduced charges related to our International Profit Improvement Plan.</w:t>
      </w:r>
    </w:p>
    <w:p>
      <w:pPr>
        <w:spacing w:after="0" w:line="61" w:lineRule="exact"/>
        <w:rPr>
          <w:sz w:val="20"/>
          <w:szCs w:val="20"/>
          <w:color w:val="auto"/>
        </w:rPr>
      </w:pPr>
    </w:p>
    <w:p>
      <w:pPr>
        <w:ind w:right="2959" w:firstLine="364"/>
        <w:spacing w:after="0" w:line="368" w:lineRule="auto"/>
        <w:rPr>
          <w:sz w:val="20"/>
          <w:szCs w:val="20"/>
          <w:color w:val="auto"/>
        </w:rPr>
      </w:pPr>
      <w:r>
        <w:rPr>
          <w:rFonts w:ascii="Courier New" w:cs="Courier New" w:eastAsia="Courier New" w:hAnsi="Courier New"/>
          <w:sz w:val="15"/>
          <w:szCs w:val="15"/>
          <w:color w:val="auto"/>
        </w:rPr>
        <w:t>Other income was $3.9 million for the first half of fiscal 2004, compared to other income of $3.6 million in the first half of fiscal 2003.</w:t>
      </w:r>
    </w:p>
    <w:p>
      <w:pPr>
        <w:spacing w:after="0" w:line="3" w:lineRule="exact"/>
        <w:rPr>
          <w:sz w:val="20"/>
          <w:szCs w:val="20"/>
          <w:color w:val="auto"/>
        </w:rPr>
      </w:pPr>
    </w:p>
    <w:p>
      <w:pPr>
        <w:ind w:right="2959" w:firstLine="364"/>
        <w:spacing w:after="0" w:line="287" w:lineRule="auto"/>
        <w:rPr>
          <w:sz w:val="20"/>
          <w:szCs w:val="20"/>
          <w:color w:val="auto"/>
        </w:rPr>
      </w:pPr>
      <w:r>
        <w:rPr>
          <w:rFonts w:ascii="Courier New" w:cs="Courier New" w:eastAsia="Courier New" w:hAnsi="Courier New"/>
          <w:sz w:val="15"/>
          <w:szCs w:val="15"/>
          <w:color w:val="auto"/>
        </w:rPr>
        <w:t>For segment reporting purposes, the Company defines operating income as EBITA, as this is the measure used by management to assess earnings performance. Segment performance for the first half of fiscal 2004 compared to the first half of fiscal 2003 was as follows:</w:t>
      </w:r>
    </w:p>
    <w:p>
      <w:pPr>
        <w:spacing w:after="0" w:line="61" w:lineRule="exact"/>
        <w:rPr>
          <w:sz w:val="20"/>
          <w:szCs w:val="20"/>
          <w:color w:val="auto"/>
        </w:rPr>
      </w:pPr>
    </w:p>
    <w:p>
      <w:pPr>
        <w:ind w:left="720" w:right="3039" w:hanging="363"/>
        <w:spacing w:after="0" w:line="277" w:lineRule="auto"/>
        <w:tabs>
          <w:tab w:leader="none" w:pos="7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America's operating income increased from $98.7 million in fiscal 2003 to $116.9 million in fiscal 2004, as improved sales and gross margins, previously described above, more than offset current year SG&amp;A increases in severance, incentives, selling and research and development costs;</w:t>
      </w:r>
    </w:p>
    <w:p>
      <w:pPr>
        <w:spacing w:after="0" w:line="68" w:lineRule="exact"/>
        <w:rPr>
          <w:rFonts w:ascii="Courier New" w:cs="Courier New" w:eastAsia="Courier New" w:hAnsi="Courier New"/>
          <w:sz w:val="15"/>
          <w:szCs w:val="15"/>
          <w:color w:val="auto"/>
        </w:rPr>
      </w:pPr>
    </w:p>
    <w:p>
      <w:pPr>
        <w:ind w:left="720" w:right="3039" w:hanging="363"/>
        <w:spacing w:after="0" w:line="271" w:lineRule="auto"/>
        <w:tabs>
          <w:tab w:leader="none" w:pos="7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reported higher net sales, but a larger operating loss, $19.2 million compared to $17.1 million. As this highly seasonal business grows and adds fixed infrastructure costs, it will have larger losses in the first and second quarters of the fiscal year due to seasonally low revenues. Conversely, the second half of the fiscal year will provide higher revenues, margins and operating income;</w:t>
      </w:r>
    </w:p>
    <w:p>
      <w:pPr>
        <w:spacing w:after="0" w:line="72" w:lineRule="exact"/>
        <w:rPr>
          <w:rFonts w:ascii="Courier New" w:cs="Courier New" w:eastAsia="Courier New" w:hAnsi="Courier New"/>
          <w:sz w:val="15"/>
          <w:szCs w:val="15"/>
          <w:color w:val="auto"/>
        </w:rPr>
      </w:pPr>
    </w:p>
    <w:p>
      <w:pPr>
        <w:ind w:left="720" w:right="2959" w:hanging="363"/>
        <w:spacing w:after="0" w:line="287" w:lineRule="auto"/>
        <w:tabs>
          <w:tab w:leader="none" w:pos="7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International's operating income increased to $22.8 million from $20.8 million, as the net sales decline of $14.4 million, excluding the effect of exchange rates, was only partially offset by improved gross margin and SG&amp;A expense reductions.</w:t>
      </w:r>
    </w:p>
    <w:p>
      <w:pPr>
        <w:spacing w:after="0" w:line="61" w:lineRule="exact"/>
        <w:rPr>
          <w:sz w:val="20"/>
          <w:szCs w:val="20"/>
          <w:color w:val="auto"/>
        </w:rPr>
      </w:pPr>
    </w:p>
    <w:p>
      <w:pPr>
        <w:ind w:right="2959" w:firstLine="364"/>
        <w:spacing w:after="0" w:line="271" w:lineRule="auto"/>
        <w:rPr>
          <w:sz w:val="20"/>
          <w:szCs w:val="20"/>
          <w:color w:val="auto"/>
        </w:rPr>
      </w:pPr>
      <w:r>
        <w:rPr>
          <w:rFonts w:ascii="Courier New" w:cs="Courier New" w:eastAsia="Courier New" w:hAnsi="Courier New"/>
          <w:sz w:val="15"/>
          <w:szCs w:val="15"/>
          <w:color w:val="auto"/>
        </w:rPr>
        <w:t>Interest expense for the first half of fiscal 2004 was $25.4 million, compared to $35.2 million for the first half of fiscal 2003. The decrease in interest expense was due to a reduction in average borrowings as compared to the prior year, coupled with a reduction in the weighted average interest rate as a result of lower rates under our New Credit Agreement and the 6 5/8% Notes, which replaced the 8 5/8% Notes which were tendered in October 2003.</w:t>
      </w:r>
    </w:p>
    <w:p>
      <w:pPr>
        <w:spacing w:after="0" w:line="72" w:lineRule="exact"/>
        <w:rPr>
          <w:sz w:val="20"/>
          <w:szCs w:val="20"/>
          <w:color w:val="auto"/>
        </w:rPr>
      </w:pPr>
    </w:p>
    <w:p>
      <w:pPr>
        <w:ind w:right="2959" w:firstLine="364"/>
        <w:spacing w:after="0" w:line="257" w:lineRule="auto"/>
        <w:rPr>
          <w:sz w:val="20"/>
          <w:szCs w:val="20"/>
          <w:color w:val="auto"/>
        </w:rPr>
      </w:pPr>
      <w:r>
        <w:rPr>
          <w:rFonts w:ascii="Courier New" w:cs="Courier New" w:eastAsia="Courier New" w:hAnsi="Courier New"/>
          <w:sz w:val="15"/>
          <w:szCs w:val="15"/>
          <w:color w:val="auto"/>
        </w:rPr>
        <w:t>The income tax expense was calculated assuming an effective tax rate of 38.3% for the first half of fiscal 2004 versus 38.0% for the comparable period in fiscal 2003.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that determined at fiscal year end. The estimated effective tax rate is subject to revision in later interim periods and at fiscal year end as facts and circumstances change during the course of the fiscal year. There are no material changes to the effective tax rate expected at this time.</w:t>
      </w:r>
    </w:p>
    <w:p>
      <w:pPr>
        <w:spacing w:after="0" w:line="81" w:lineRule="exact"/>
        <w:rPr>
          <w:sz w:val="20"/>
          <w:szCs w:val="20"/>
          <w:color w:val="auto"/>
        </w:rPr>
      </w:pPr>
    </w:p>
    <w:p>
      <w:pPr>
        <w:ind w:right="2959" w:firstLine="364"/>
        <w:spacing w:after="0" w:line="368" w:lineRule="auto"/>
        <w:rPr>
          <w:sz w:val="20"/>
          <w:szCs w:val="20"/>
          <w:color w:val="auto"/>
        </w:rPr>
      </w:pPr>
      <w:r>
        <w:rPr>
          <w:rFonts w:ascii="Courier New" w:cs="Courier New" w:eastAsia="Courier New" w:hAnsi="Courier New"/>
          <w:sz w:val="15"/>
          <w:szCs w:val="15"/>
          <w:color w:val="auto"/>
        </w:rPr>
        <w:t>The Company reported net income of $2.4 million for the first half of fiscal 2004, compared to $15.7 million for the first half of</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40" w:right="1440" w:bottom="1440" w:gutter="0" w:footer="0" w:header="0"/>
        </w:sectPr>
      </w:pPr>
    </w:p>
    <w:bookmarkStart w:id="34" w:name="page35"/>
    <w:bookmarkEnd w:id="34"/>
    <w:p>
      <w:pPr>
        <w:ind w:right="2959"/>
        <w:spacing w:after="0" w:line="277" w:lineRule="auto"/>
        <w:rPr>
          <w:sz w:val="20"/>
          <w:szCs w:val="20"/>
          <w:color w:val="auto"/>
        </w:rPr>
      </w:pPr>
      <w:r>
        <w:rPr>
          <w:rFonts w:ascii="Courier New" w:cs="Courier New" w:eastAsia="Courier New" w:hAnsi="Courier New"/>
          <w:sz w:val="15"/>
          <w:szCs w:val="15"/>
          <w:color w:val="auto"/>
        </w:rPr>
        <w:t>fiscal 2003. If the effect of costs related to our refinancing are excluded, our net income for the six months ended March 27, 2004 was $29.7 million. Average shares outstanding for purposes of computing earnings per common share increased from 32.1 million at March 29, 2003 to 32.9 million at March 27, 2004 due to shares issued for option and warrant exercises.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364"/>
        <w:spacing w:after="0" w:line="257" w:lineRule="auto"/>
        <w:rPr>
          <w:sz w:val="20"/>
          <w:szCs w:val="20"/>
          <w:color w:val="auto"/>
        </w:rPr>
      </w:pPr>
      <w:r>
        <w:rPr>
          <w:rFonts w:ascii="Courier New" w:cs="Courier New" w:eastAsia="Courier New" w:hAnsi="Courier New"/>
          <w:sz w:val="15"/>
          <w:szCs w:val="15"/>
          <w:color w:val="auto"/>
        </w:rPr>
        <w:t>Cash used in operating activities was $404.5 million and $380.6 million for the six months ended March 27, 2004 and March 29, 2003, respectively. We entered fiscal 2004 with $155.9 million of cash and cash equivalents as compared to $99.7 million in fiscal 2003. This increase in cash and cash equivalents was largely due to cash management initiatives in the fourth quarter of fiscal 2003 that affected accounts payable and accrued liabilities. The increase in cash used in operating activities from 2003 to 2004, is due primarily to the growth in accounts receivable during the second fiscal quarter as a result of strong sales within the quarter, particularly in the month of March. While the balance in accounts receivable is higher than in the prior year, our continued management of customer accounts has improved the quality of our accounts receivables at March 27, 2004.</w:t>
      </w:r>
    </w:p>
    <w:p>
      <w:pPr>
        <w:spacing w:after="0" w:line="89" w:lineRule="exact"/>
        <w:rPr>
          <w:sz w:val="20"/>
          <w:szCs w:val="20"/>
          <w:color w:val="auto"/>
        </w:rPr>
      </w:pPr>
    </w:p>
    <w:p>
      <w:pPr>
        <w:ind w:right="3039" w:firstLine="364"/>
        <w:spacing w:after="0" w:line="267" w:lineRule="auto"/>
        <w:rPr>
          <w:sz w:val="20"/>
          <w:szCs w:val="20"/>
          <w:color w:val="auto"/>
        </w:rPr>
      </w:pPr>
      <w:r>
        <w:rPr>
          <w:rFonts w:ascii="Courier New" w:cs="Courier New" w:eastAsia="Courier New" w:hAnsi="Courier New"/>
          <w:sz w:val="15"/>
          <w:szCs w:val="15"/>
          <w:color w:val="auto"/>
        </w:rPr>
        <w:t>Cash used in investing activities was $25.1 million and $63.5 million for the six months ended March 27, 2004 and March 29, 2003, respectively. Capital expenditures were responsible for $20.4 million of the decrease between the periods. There were no significant capital projects that commenced in the first half of fiscal 2004. In addition, principal payments due on seller notes issued in conjunction with prior acquisitions were $18.1 million less during the first half of fiscal 2004 as compared to fiscal 2003.</w:t>
      </w:r>
    </w:p>
    <w:p>
      <w:pPr>
        <w:spacing w:after="0" w:line="75" w:lineRule="exact"/>
        <w:rPr>
          <w:sz w:val="20"/>
          <w:szCs w:val="20"/>
          <w:color w:val="auto"/>
        </w:rPr>
      </w:pPr>
    </w:p>
    <w:p>
      <w:pPr>
        <w:ind w:right="2959" w:firstLine="364"/>
        <w:spacing w:after="0" w:line="257" w:lineRule="auto"/>
        <w:rPr>
          <w:sz w:val="20"/>
          <w:szCs w:val="20"/>
          <w:color w:val="auto"/>
        </w:rPr>
      </w:pPr>
      <w:r>
        <w:rPr>
          <w:rFonts w:ascii="Courier New" w:cs="Courier New" w:eastAsia="Courier New" w:hAnsi="Courier New"/>
          <w:sz w:val="15"/>
          <w:szCs w:val="15"/>
          <w:color w:val="auto"/>
        </w:rPr>
        <w:t>Financing activities provided cash of $286.9 million and $355.7 million for the six months ended March 27, 2004 and March 29, 2003, respectively. During the first quarter of fiscal 2004, we restructured our borrowing arrangements through the refinancing of our former Credit Agreement, the redemption of our 8 5/8% Notes and the issuance of our 6 5/8% Notes. Our future cash outflows for the repayment of our debt after the refinancing of our former Credit Agreement, the redemption of our 8 5/8% Notes and the issuance of our 6 5/8% Notes is as follows; $28.8 million in less than one year, $16.2 million in one to three years, $331.4 million in four to five years and $698.1 million after five years, with $6.9 million representing future interest. In the first quarter of fiscal 2003, a $24.4 million mandatory prepayment was made on term loans as required by the level of fiscal 2002 excess cash flow, as defined in the former Credit Agreement.</w:t>
      </w:r>
    </w:p>
    <w:p>
      <w:pPr>
        <w:spacing w:after="0" w:line="81" w:lineRule="exact"/>
        <w:rPr>
          <w:sz w:val="20"/>
          <w:szCs w:val="20"/>
          <w:color w:val="auto"/>
        </w:rPr>
      </w:pPr>
    </w:p>
    <w:p>
      <w:pPr>
        <w:ind w:right="2959" w:firstLine="364"/>
        <w:spacing w:after="0" w:line="262" w:lineRule="auto"/>
        <w:rPr>
          <w:sz w:val="20"/>
          <w:szCs w:val="20"/>
          <w:color w:val="auto"/>
        </w:rPr>
      </w:pPr>
      <w:r>
        <w:rPr>
          <w:rFonts w:ascii="Courier New" w:cs="Courier New" w:eastAsia="Courier New" w:hAnsi="Courier New"/>
          <w:sz w:val="15"/>
          <w:szCs w:val="15"/>
          <w:color w:val="auto"/>
        </w:rPr>
        <w:t>Our primary sources of liquidity are cash generated by operations and borrowings under our credit agreements. The New Credit Agreement consists of a $700 million multi-currency revolving credit commitment and a $500 million term loan B facility. Note 5 to the Condensed, Consolidated Financial Statements (unaudited) included in Part I, Item 1 of this Quarterly Report on Form 10-Q provides additional information pertaining to the refinancing of our former Credit Agreement, the redemption of our 8 5/8% Notes, the issuance of our 6 5/8% Notes and our New Credit Agreement. At March 27, 2004, we were in compliance with all of our debt covenants.</w:t>
      </w:r>
    </w:p>
    <w:p>
      <w:pPr>
        <w:spacing w:after="0" w:line="78" w:lineRule="exact"/>
        <w:rPr>
          <w:sz w:val="20"/>
          <w:szCs w:val="20"/>
          <w:color w:val="auto"/>
        </w:rPr>
      </w:pPr>
    </w:p>
    <w:p>
      <w:pPr>
        <w:ind w:right="3039" w:firstLine="364"/>
        <w:spacing w:after="0" w:line="267" w:lineRule="auto"/>
        <w:rPr>
          <w:sz w:val="20"/>
          <w:szCs w:val="20"/>
          <w:color w:val="auto"/>
        </w:rPr>
      </w:pPr>
      <w:r>
        <w:rPr>
          <w:rFonts w:ascii="Courier New" w:cs="Courier New" w:eastAsia="Courier New" w:hAnsi="Courier New"/>
          <w:sz w:val="15"/>
          <w:szCs w:val="15"/>
          <w:color w:val="auto"/>
        </w:rPr>
        <w:t>We have not paid dividends on our common shares in the past and currently have no plans to pay dividends in the future. We anticipate that our earnings will be retained and reinvested to support the growth of our business or to pay down indebtedness. The payment of future dividends, if any, on common shares will be determined by our Board of Directors in light of conditions then existing, including our earnings, financial condition, capital requirements, restrictions in financing agreements, business conditions and other factors.</w:t>
      </w:r>
    </w:p>
    <w:p>
      <w:pPr>
        <w:spacing w:after="0" w:line="75" w:lineRule="exact"/>
        <w:rPr>
          <w:sz w:val="20"/>
          <w:szCs w:val="20"/>
          <w:color w:val="auto"/>
        </w:rPr>
      </w:pPr>
    </w:p>
    <w:p>
      <w:pPr>
        <w:ind w:right="2959" w:firstLine="364"/>
        <w:spacing w:after="0" w:line="267" w:lineRule="auto"/>
        <w:rPr>
          <w:sz w:val="20"/>
          <w:szCs w:val="20"/>
          <w:color w:val="auto"/>
        </w:rPr>
      </w:pPr>
      <w:r>
        <w:rPr>
          <w:rFonts w:ascii="Courier New" w:cs="Courier New" w:eastAsia="Courier New" w:hAnsi="Courier New"/>
          <w:sz w:val="15"/>
          <w:szCs w:val="15"/>
          <w:color w:val="auto"/>
        </w:rPr>
        <w:t>All of our off-balance sheet financing is in the form of operating leases that are disclosed in the notes to consolidated financial statements included in our Annual Report on Form 10-K for the fiscal year ended September 30, 2003. During the second quarter of fiscal 2004, we took final delivery on a used aircraft under the terms of a synthetic operating lease agreement as disclosed in Note 8 to the Condensed, Consolidated Financial Statements (unaudited) included in Part I, Item 1 of this Quarterly Report on Form 10-Q.</w:t>
      </w:r>
    </w:p>
    <w:p>
      <w:pPr>
        <w:spacing w:after="0" w:line="75" w:lineRule="exact"/>
        <w:rPr>
          <w:sz w:val="20"/>
          <w:szCs w:val="20"/>
          <w:color w:val="auto"/>
        </w:rPr>
      </w:pPr>
    </w:p>
    <w:p>
      <w:pPr>
        <w:ind w:right="2959" w:firstLine="364"/>
        <w:spacing w:after="0" w:line="260" w:lineRule="auto"/>
        <w:rPr>
          <w:sz w:val="20"/>
          <w:szCs w:val="20"/>
          <w:color w:val="auto"/>
        </w:rPr>
      </w:pPr>
      <w:r>
        <w:rPr>
          <w:rFonts w:ascii="Courier New" w:cs="Courier New" w:eastAsia="Courier New" w:hAnsi="Courier New"/>
          <w:sz w:val="15"/>
          <w:szCs w:val="15"/>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82" w:lineRule="exact"/>
        <w:rPr>
          <w:sz w:val="20"/>
          <w:szCs w:val="20"/>
          <w:color w:val="auto"/>
        </w:rPr>
      </w:pPr>
    </w:p>
    <w:p>
      <w:pPr>
        <w:ind w:right="3039" w:firstLine="364"/>
        <w:spacing w:after="0" w:line="267" w:lineRule="auto"/>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2004,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200" w:lineRule="exact"/>
        <w:rPr>
          <w:sz w:val="20"/>
          <w:szCs w:val="20"/>
          <w:color w:val="auto"/>
        </w:rPr>
      </w:pPr>
    </w:p>
    <w:p>
      <w:pPr>
        <w:spacing w:after="0" w:line="2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40" w:right="1440" w:bottom="0" w:gutter="0" w:footer="0" w:header="0"/>
        </w:sectPr>
      </w:pPr>
    </w:p>
    <w:bookmarkStart w:id="35" w:name="page36"/>
    <w:bookmarkEnd w:id="35"/>
    <w:p>
      <w:pPr>
        <w:ind w:left="7"/>
        <w:spacing w:after="0"/>
        <w:rPr>
          <w:sz w:val="20"/>
          <w:szCs w:val="20"/>
          <w:color w:val="auto"/>
        </w:rPr>
      </w:pPr>
      <w:r>
        <w:rPr>
          <w:rFonts w:ascii="Courier New" w:cs="Courier New" w:eastAsia="Courier New" w:hAnsi="Courier New"/>
          <w:sz w:val="15"/>
          <w:szCs w:val="15"/>
          <w:color w:val="auto"/>
        </w:rPr>
        <w:t>ENVIRONMENTAL MATTERS</w:t>
      </w:r>
    </w:p>
    <w:p>
      <w:pPr>
        <w:spacing w:after="0" w:line="180" w:lineRule="exact"/>
        <w:rPr>
          <w:sz w:val="20"/>
          <w:szCs w:val="20"/>
          <w:color w:val="auto"/>
        </w:rPr>
      </w:pPr>
    </w:p>
    <w:p>
      <w:pPr>
        <w:ind w:left="7" w:right="2959" w:firstLine="364"/>
        <w:spacing w:after="0" w:line="253" w:lineRule="auto"/>
        <w:rPr>
          <w:sz w:val="20"/>
          <w:szCs w:val="20"/>
          <w:color w:val="auto"/>
        </w:rPr>
      </w:pPr>
      <w:r>
        <w:rPr>
          <w:rFonts w:ascii="Courier New" w:cs="Courier New" w:eastAsia="Courier New" w:hAnsi="Courier New"/>
          <w:sz w:val="15"/>
          <w:szCs w:val="15"/>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results of operations, financial position and cash flows. Additional information on environmental matters affecting us is provided in Note 9 to the Condensed, Consolidated Financial Statements (unaudited) included in Part I, Item 1 of this Quarterly Report on Form 10-Q and in the fiscal 2003 Annual Report on Form 10-K under the "ITEM 1. BUSINESS - ENVIRONMENTAL AND REGULATORY CONSIDERATIONS" and "ITEM 3. LEGAL PROCEEDINGS" sections.</w:t>
      </w:r>
    </w:p>
    <w:p>
      <w:pPr>
        <w:spacing w:after="0" w:line="9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FORWARD-LOOKING STATEMENTS</w:t>
      </w:r>
    </w:p>
    <w:p>
      <w:pPr>
        <w:spacing w:after="0" w:line="180" w:lineRule="exact"/>
        <w:rPr>
          <w:sz w:val="20"/>
          <w:szCs w:val="20"/>
          <w:color w:val="auto"/>
        </w:rPr>
      </w:pPr>
    </w:p>
    <w:p>
      <w:pPr>
        <w:ind w:left="7" w:right="2959" w:firstLine="364"/>
        <w:spacing w:after="0" w:line="264"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78" w:lineRule="exact"/>
        <w:rPr>
          <w:sz w:val="20"/>
          <w:szCs w:val="20"/>
          <w:color w:val="auto"/>
        </w:rPr>
      </w:pPr>
    </w:p>
    <w:p>
      <w:pPr>
        <w:ind w:left="7" w:right="3039" w:firstLine="364"/>
        <w:spacing w:after="0" w:line="267"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5" w:lineRule="exact"/>
        <w:rPr>
          <w:sz w:val="20"/>
          <w:szCs w:val="20"/>
          <w:color w:val="auto"/>
        </w:rPr>
      </w:pPr>
    </w:p>
    <w:p>
      <w:pPr>
        <w:ind w:left="7" w:right="2959" w:firstLine="364"/>
        <w:spacing w:after="0" w:line="264" w:lineRule="auto"/>
        <w:rPr>
          <w:sz w:val="20"/>
          <w:szCs w:val="20"/>
          <w:color w:val="auto"/>
        </w:rPr>
      </w:pPr>
      <w:r>
        <w:rPr>
          <w:rFonts w:ascii="Courier New" w:cs="Courier New" w:eastAsia="Courier New" w:hAnsi="Courier New"/>
          <w:sz w:val="15"/>
          <w:szCs w:val="15"/>
          <w:color w:val="auto"/>
        </w:rPr>
        <w:t>Some forward-looking statements that we make in this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78" w:lineRule="exact"/>
        <w:rPr>
          <w:sz w:val="20"/>
          <w:szCs w:val="20"/>
          <w:color w:val="auto"/>
        </w:rPr>
      </w:pPr>
    </w:p>
    <w:p>
      <w:pPr>
        <w:ind w:left="367" w:right="2779" w:hanging="367"/>
        <w:spacing w:after="0" w:line="368" w:lineRule="auto"/>
        <w:tabs>
          <w:tab w:leader="none" w:pos="1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SUBSTANTIAL INDEBTEDNESS COULD ADVERSELY AFFECT OUR FINANCIAL HEALTH AND PREVENT US FROM FULFILLING OUR OBLIGATIONS.</w:t>
      </w:r>
    </w:p>
    <w:p>
      <w:pPr>
        <w:spacing w:after="0" w:line="3" w:lineRule="exact"/>
        <w:rPr>
          <w:sz w:val="20"/>
          <w:szCs w:val="20"/>
          <w:color w:val="auto"/>
        </w:rPr>
      </w:pPr>
    </w:p>
    <w:p>
      <w:pPr>
        <w:ind w:left="7" w:right="3319" w:firstLine="364"/>
        <w:spacing w:after="0" w:line="368"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3" w:lineRule="exact"/>
        <w:rPr>
          <w:sz w:val="20"/>
          <w:szCs w:val="20"/>
          <w:color w:val="auto"/>
        </w:rPr>
      </w:pPr>
    </w:p>
    <w:p>
      <w:pPr>
        <w:ind w:left="727" w:right="3859" w:hanging="363"/>
        <w:spacing w:after="0" w:line="368"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under outstanding indebtedness and otherwise;</w:t>
      </w:r>
    </w:p>
    <w:p>
      <w:pPr>
        <w:spacing w:after="0" w:line="3" w:lineRule="exact"/>
        <w:rPr>
          <w:rFonts w:ascii="Courier New" w:cs="Courier New" w:eastAsia="Courier New" w:hAnsi="Courier New"/>
          <w:sz w:val="15"/>
          <w:szCs w:val="15"/>
          <w:color w:val="auto"/>
        </w:rPr>
      </w:pPr>
    </w:p>
    <w:p>
      <w:pPr>
        <w:ind w:left="727" w:right="3419" w:hanging="363"/>
        <w:spacing w:after="0" w:line="368"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3" w:lineRule="exact"/>
        <w:rPr>
          <w:rFonts w:ascii="Courier New" w:cs="Courier New" w:eastAsia="Courier New" w:hAnsi="Courier New"/>
          <w:sz w:val="15"/>
          <w:szCs w:val="15"/>
          <w:color w:val="auto"/>
        </w:rPr>
      </w:pPr>
    </w:p>
    <w:p>
      <w:pPr>
        <w:ind w:left="727" w:right="3039" w:hanging="363"/>
        <w:spacing w:after="0" w:line="277"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68" w:lineRule="exact"/>
        <w:rPr>
          <w:rFonts w:ascii="Courier New" w:cs="Courier New" w:eastAsia="Courier New" w:hAnsi="Courier New"/>
          <w:sz w:val="15"/>
          <w:szCs w:val="15"/>
          <w:color w:val="auto"/>
        </w:rPr>
      </w:pPr>
    </w:p>
    <w:p>
      <w:pPr>
        <w:ind w:left="727" w:right="3219" w:hanging="363"/>
        <w:spacing w:after="0" w:line="368"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3" w:lineRule="exact"/>
        <w:rPr>
          <w:rFonts w:ascii="Courier New" w:cs="Courier New" w:eastAsia="Courier New" w:hAnsi="Courier New"/>
          <w:sz w:val="15"/>
          <w:szCs w:val="15"/>
          <w:color w:val="auto"/>
        </w:rPr>
      </w:pPr>
    </w:p>
    <w:p>
      <w:pPr>
        <w:ind w:left="727" w:right="3139" w:hanging="363"/>
        <w:spacing w:after="0" w:line="368"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certain competitors that may have less debt;</w:t>
      </w:r>
    </w:p>
    <w:p>
      <w:pPr>
        <w:spacing w:after="0" w:line="3" w:lineRule="exact"/>
        <w:rPr>
          <w:rFonts w:ascii="Courier New" w:cs="Courier New" w:eastAsia="Courier New" w:hAnsi="Courier New"/>
          <w:sz w:val="15"/>
          <w:szCs w:val="15"/>
          <w:color w:val="auto"/>
        </w:rPr>
      </w:pPr>
    </w:p>
    <w:p>
      <w:pPr>
        <w:ind w:left="727" w:hanging="363"/>
        <w:spacing w:after="0"/>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9" w:lineRule="exact"/>
        <w:rPr>
          <w:rFonts w:ascii="Courier New" w:cs="Courier New" w:eastAsia="Courier New" w:hAnsi="Courier New"/>
          <w:sz w:val="15"/>
          <w:szCs w:val="15"/>
          <w:color w:val="auto"/>
        </w:rPr>
      </w:pPr>
    </w:p>
    <w:p>
      <w:pPr>
        <w:ind w:left="727" w:right="3039" w:hanging="363"/>
        <w:spacing w:after="0" w:line="307"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47" w:lineRule="exact"/>
        <w:rPr>
          <w:sz w:val="20"/>
          <w:szCs w:val="20"/>
          <w:color w:val="auto"/>
        </w:rPr>
      </w:pPr>
    </w:p>
    <w:p>
      <w:pPr>
        <w:ind w:left="7" w:right="2959" w:firstLine="364"/>
        <w:spacing w:after="0" w:line="287" w:lineRule="auto"/>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acquisitions will depend on our ability to generate cash in the future. This, to some extent, is subject to general economic, financial, competitive,</w:t>
      </w:r>
    </w:p>
    <w:p>
      <w:pPr>
        <w:spacing w:after="0" w:line="23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6"/>
          </w:cols>
          <w:pgMar w:left="233" w:top="440" w:right="1440" w:bottom="634" w:gutter="0" w:footer="0" w:header="0"/>
        </w:sectPr>
      </w:pPr>
    </w:p>
    <w:bookmarkStart w:id="36" w:name="page37"/>
    <w:bookmarkEnd w:id="36"/>
    <w:p>
      <w:pPr>
        <w:ind w:left="7"/>
        <w:spacing w:after="0"/>
        <w:rPr>
          <w:sz w:val="20"/>
          <w:szCs w:val="20"/>
          <w:color w:val="auto"/>
        </w:rPr>
      </w:pPr>
      <w:r>
        <w:rPr>
          <w:rFonts w:ascii="Courier New" w:cs="Courier New" w:eastAsia="Courier New" w:hAnsi="Courier New"/>
          <w:sz w:val="15"/>
          <w:szCs w:val="15"/>
          <w:color w:val="auto"/>
        </w:rPr>
        <w:t>legislative, regulatory and other factors that are beyond our control.</w:t>
      </w:r>
    </w:p>
    <w:p>
      <w:pPr>
        <w:spacing w:after="0" w:line="180" w:lineRule="exact"/>
        <w:rPr>
          <w:sz w:val="20"/>
          <w:szCs w:val="20"/>
          <w:color w:val="auto"/>
        </w:rPr>
      </w:pPr>
    </w:p>
    <w:p>
      <w:pPr>
        <w:ind w:left="7" w:right="3039" w:firstLine="364"/>
        <w:spacing w:after="0" w:line="267" w:lineRule="auto"/>
        <w:rPr>
          <w:sz w:val="20"/>
          <w:szCs w:val="20"/>
          <w:color w:val="auto"/>
        </w:rPr>
      </w:pPr>
      <w:r>
        <w:rPr>
          <w:rFonts w:ascii="Courier New" w:cs="Courier New" w:eastAsia="Courier New" w:hAnsi="Courier New"/>
          <w:sz w:val="15"/>
          <w:szCs w:val="15"/>
          <w:color w:val="auto"/>
        </w:rPr>
        <w:t>We cannot assure you that our business will generate sufficient cash flow from operating activities or that future borrowings will be available to us under our New Credit Agreement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75" w:lineRule="exact"/>
        <w:rPr>
          <w:sz w:val="20"/>
          <w:szCs w:val="20"/>
          <w:color w:val="auto"/>
        </w:rPr>
      </w:pPr>
    </w:p>
    <w:p>
      <w:pPr>
        <w:ind w:left="7"/>
        <w:spacing w:after="0"/>
        <w:tabs>
          <w:tab w:leader="none" w:pos="5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RESTRICTIVE COVENANTS MAY ADVERSELY AFFECT US.</w:t>
      </w:r>
    </w:p>
    <w:p>
      <w:pPr>
        <w:spacing w:after="0" w:line="180" w:lineRule="exact"/>
        <w:rPr>
          <w:sz w:val="20"/>
          <w:szCs w:val="20"/>
          <w:color w:val="auto"/>
        </w:rPr>
      </w:pPr>
    </w:p>
    <w:p>
      <w:pPr>
        <w:ind w:left="7" w:right="2959" w:firstLine="364"/>
        <w:spacing w:after="0" w:line="257" w:lineRule="auto"/>
        <w:rPr>
          <w:sz w:val="20"/>
          <w:szCs w:val="20"/>
          <w:color w:val="auto"/>
        </w:rPr>
      </w:pPr>
      <w:r>
        <w:rPr>
          <w:rFonts w:ascii="Courier New" w:cs="Courier New" w:eastAsia="Courier New" w:hAnsi="Courier New"/>
          <w:sz w:val="15"/>
          <w:szCs w:val="15"/>
          <w:color w:val="auto"/>
        </w:rPr>
        <w:t>Our New Credit Agreement and the indenture governing our outstanding 6 5/8% Notes contain restrictive covenants and cross default provisions that require us to maintain specified financial ratios. Our ability to satisfy those financial ratios can be affected by events beyond our control, and we cannot assure you that we will satisfy those tests. A breach of any of these covenants could result in a default under our New Credit Agreement and/or our outstanding 6 5/8% Notes. Upon the occurrence of an event of default under our New Credit Agreement and/or the 6 5/8%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89" w:lineRule="exact"/>
        <w:rPr>
          <w:sz w:val="20"/>
          <w:szCs w:val="20"/>
          <w:color w:val="auto"/>
        </w:rPr>
      </w:pPr>
    </w:p>
    <w:p>
      <w:pPr>
        <w:ind w:left="7"/>
        <w:spacing w:after="0"/>
        <w:tabs>
          <w:tab w:leader="none" w:pos="5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ADVERSE WEATHER CONDITIONS COULD ADVERSELY IMPACT FINANCIAL RESULTS.</w:t>
      </w:r>
    </w:p>
    <w:p>
      <w:pPr>
        <w:spacing w:after="0" w:line="180" w:lineRule="exact"/>
        <w:rPr>
          <w:sz w:val="20"/>
          <w:szCs w:val="20"/>
          <w:color w:val="auto"/>
        </w:rPr>
      </w:pPr>
    </w:p>
    <w:p>
      <w:pPr>
        <w:ind w:left="7" w:right="3039" w:firstLine="364"/>
        <w:spacing w:after="0" w:line="287"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An abnormally cold or wet spring throughout North America and/or Europe could adversely affect sales and therefore our financial results.</w:t>
      </w:r>
    </w:p>
    <w:p>
      <w:pPr>
        <w:spacing w:after="0" w:line="61" w:lineRule="exact"/>
        <w:rPr>
          <w:sz w:val="20"/>
          <w:szCs w:val="20"/>
          <w:color w:val="auto"/>
        </w:rPr>
      </w:pPr>
    </w:p>
    <w:p>
      <w:pPr>
        <w:ind w:left="367" w:right="3039" w:hanging="367"/>
        <w:spacing w:after="0" w:line="368" w:lineRule="auto"/>
        <w:tabs>
          <w:tab w:leader="none" w:pos="18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HISTORICAL SEASONALITY COULD IMPAIR OUR ABILITY TO PAY OBLIGATIONS AS THEY COME DUE IN ADDITION TO OUR OPERATING EXPENSES.</w:t>
      </w:r>
    </w:p>
    <w:p>
      <w:pPr>
        <w:spacing w:after="0" w:line="3" w:lineRule="exact"/>
        <w:rPr>
          <w:sz w:val="20"/>
          <w:szCs w:val="20"/>
          <w:color w:val="auto"/>
        </w:rPr>
      </w:pPr>
    </w:p>
    <w:p>
      <w:pPr>
        <w:ind w:left="7" w:right="2959" w:firstLine="364"/>
        <w:spacing w:after="0" w:line="259"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and building inventories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80" w:lineRule="exact"/>
        <w:rPr>
          <w:sz w:val="20"/>
          <w:szCs w:val="20"/>
          <w:color w:val="auto"/>
        </w:rPr>
      </w:pPr>
    </w:p>
    <w:p>
      <w:pPr>
        <w:ind w:left="7" w:right="3499" w:hanging="7"/>
        <w:spacing w:after="0" w:line="368" w:lineRule="auto"/>
        <w:tabs>
          <w:tab w:leader="none" w:pos="18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PERCEPTIONS THAT THE PRODUCTS WE PRODUCE AND MARKET ARE NOT SAFE COULD ADVERSELY AFFECT US.</w:t>
      </w:r>
    </w:p>
    <w:p>
      <w:pPr>
        <w:spacing w:after="0" w:line="3" w:lineRule="exact"/>
        <w:rPr>
          <w:sz w:val="20"/>
          <w:szCs w:val="20"/>
          <w:color w:val="auto"/>
        </w:rPr>
      </w:pPr>
    </w:p>
    <w:p>
      <w:pPr>
        <w:ind w:left="7" w:right="2959" w:firstLine="364"/>
        <w:spacing w:after="0" w:line="260" w:lineRule="auto"/>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82" w:lineRule="exact"/>
        <w:rPr>
          <w:sz w:val="20"/>
          <w:szCs w:val="20"/>
          <w:color w:val="auto"/>
        </w:rPr>
      </w:pPr>
    </w:p>
    <w:p>
      <w:pPr>
        <w:ind w:left="367" w:right="2779" w:hanging="367"/>
        <w:spacing w:after="0" w:line="368" w:lineRule="auto"/>
        <w:tabs>
          <w:tab w:leader="none" w:pos="18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NATURE OF CERTAIN OF OUR PRODUCTS AND OUR BUSINESS SUCCESS CONTRIBUTE TO THE RISK THAT THE COMPANY WILL BE SUBJECTED TO LAWSUITS.</w:t>
      </w:r>
    </w:p>
    <w:p>
      <w:pPr>
        <w:spacing w:after="0" w:line="3" w:lineRule="exact"/>
        <w:rPr>
          <w:sz w:val="20"/>
          <w:szCs w:val="20"/>
          <w:color w:val="auto"/>
        </w:rPr>
      </w:pPr>
    </w:p>
    <w:p>
      <w:pPr>
        <w:jc w:val="both"/>
        <w:ind w:left="7" w:right="2959" w:firstLine="364"/>
        <w:spacing w:after="0" w:line="307" w:lineRule="auto"/>
        <w:rPr>
          <w:sz w:val="20"/>
          <w:szCs w:val="20"/>
          <w:color w:val="auto"/>
        </w:rPr>
      </w:pPr>
      <w:r>
        <w:rPr>
          <w:rFonts w:ascii="Courier New" w:cs="Courier New" w:eastAsia="Courier New" w:hAnsi="Courier New"/>
          <w:sz w:val="15"/>
          <w:szCs w:val="15"/>
          <w:color w:val="auto"/>
        </w:rPr>
        <w:t>The nature of certain of our products and our business success contribute to the risk that the Company will be subjected to lawsuits. The following are among the factors that contribute to this litigation risk:</w:t>
      </w:r>
    </w:p>
    <w:p>
      <w:pPr>
        <w:spacing w:after="0" w:line="47" w:lineRule="exact"/>
        <w:rPr>
          <w:sz w:val="20"/>
          <w:szCs w:val="20"/>
          <w:color w:val="auto"/>
        </w:rPr>
      </w:pPr>
    </w:p>
    <w:p>
      <w:pPr>
        <w:ind w:left="727" w:right="2959" w:hanging="363"/>
        <w:spacing w:after="0" w:line="264" w:lineRule="auto"/>
        <w:tabs>
          <w:tab w:leader="none" w:pos="72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2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6"/>
          </w:cols>
          <w:pgMar w:left="233" w:top="440" w:right="1440" w:bottom="1440" w:gutter="0" w:footer="0" w:header="0"/>
        </w:sectPr>
      </w:pPr>
    </w:p>
    <w:bookmarkStart w:id="37" w:name="page38"/>
    <w:bookmarkEnd w:id="37"/>
    <w:p>
      <w:pPr>
        <w:ind w:left="727" w:right="3219" w:hanging="363"/>
        <w:spacing w:after="0" w:line="271" w:lineRule="auto"/>
        <w:tabs>
          <w:tab w:leader="none" w:pos="72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vendor supplied contaminated vermiculite ore to the Company. Although our use of vermiculite ore from the contaminated source ended over twenty years ago, our former relationship with this supplier enhances the risk that the Company will be subjected to personal injury and product liability claims relating to the use of vermiculite in some of our products.</w:t>
      </w:r>
    </w:p>
    <w:p>
      <w:pPr>
        <w:spacing w:after="0" w:line="72" w:lineRule="exact"/>
        <w:rPr>
          <w:rFonts w:ascii="Courier New" w:cs="Courier New" w:eastAsia="Courier New" w:hAnsi="Courier New"/>
          <w:sz w:val="15"/>
          <w:szCs w:val="15"/>
          <w:color w:val="auto"/>
        </w:rPr>
      </w:pPr>
    </w:p>
    <w:p>
      <w:pPr>
        <w:ind w:left="727" w:right="3139" w:hanging="363"/>
        <w:spacing w:after="0" w:line="271" w:lineRule="auto"/>
        <w:tabs>
          <w:tab w:leader="none" w:pos="72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72" w:lineRule="exact"/>
        <w:rPr>
          <w:sz w:val="20"/>
          <w:szCs w:val="20"/>
          <w:color w:val="auto"/>
        </w:rPr>
      </w:pPr>
    </w:p>
    <w:p>
      <w:pPr>
        <w:ind w:left="7" w:right="2959" w:firstLine="364"/>
        <w:spacing w:after="0" w:line="277" w:lineRule="auto"/>
        <w:rPr>
          <w:sz w:val="20"/>
          <w:szCs w:val="20"/>
          <w:color w:val="auto"/>
        </w:rPr>
      </w:pPr>
      <w:r>
        <w:rPr>
          <w:rFonts w:ascii="Courier New" w:cs="Courier New" w:eastAsia="Courier New" w:hAnsi="Courier New"/>
          <w:sz w:val="15"/>
          <w:szCs w:val="15"/>
          <w:color w:val="auto"/>
        </w:rPr>
        <w:t>Please see Note 9 to the Condensed, Consolidated Financial Statements (unaudited) included in Part I, Item 1 of this Quarterly Report on Form 10-Q and the disclosures under Part II, Item 1 "Legal Proceedings" of this Quarterly Report Form 10-Q for information concerning certain significant lawsuits and claims involving the Company.</w:t>
      </w:r>
    </w:p>
    <w:p>
      <w:pPr>
        <w:spacing w:after="0" w:line="68" w:lineRule="exact"/>
        <w:rPr>
          <w:sz w:val="20"/>
          <w:szCs w:val="20"/>
          <w:color w:val="auto"/>
        </w:rPr>
      </w:pPr>
    </w:p>
    <w:p>
      <w:pPr>
        <w:ind w:left="367" w:right="3219" w:hanging="367"/>
        <w:spacing w:after="0" w:line="287" w:lineRule="auto"/>
        <w:tabs>
          <w:tab w:leader="none" w:pos="1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BECAUSE OF THE CONCENTRATION OF OUR SALES TO A SMALL NUMBER OF RETAIL CUSTOMERS, THE LOSS OF ONE OR MORE OF, OR SIGNIFICANT DECLINE IN ORDERS FROM, OUR TOP CUSTOMERS COULD ADVERSELY AFFECT OUR RESULTS OF OPERATIONS, FINANCIAL POSITION OR CASH FLOWS.</w:t>
      </w:r>
    </w:p>
    <w:p>
      <w:pPr>
        <w:spacing w:after="0" w:line="61" w:lineRule="exact"/>
        <w:rPr>
          <w:sz w:val="20"/>
          <w:szCs w:val="20"/>
          <w:color w:val="auto"/>
        </w:rPr>
      </w:pPr>
    </w:p>
    <w:p>
      <w:pPr>
        <w:ind w:left="7" w:right="2959" w:firstLine="364"/>
        <w:spacing w:after="0" w:line="259" w:lineRule="auto"/>
        <w:rPr>
          <w:sz w:val="20"/>
          <w:szCs w:val="20"/>
          <w:color w:val="auto"/>
        </w:rPr>
      </w:pPr>
      <w:r>
        <w:rPr>
          <w:rFonts w:ascii="Courier New" w:cs="Courier New" w:eastAsia="Courier New" w:hAnsi="Courier New"/>
          <w:sz w:val="15"/>
          <w:szCs w:val="15"/>
          <w:color w:val="auto"/>
        </w:rPr>
        <w:t>North America net sales represent approximately 74% of our worldwide net sales for fiscal 2003. Our top three North American retail customers together accounted for 69% of our North American fiscal 2003 net sales and 79% of our outstanding accounts receivable as of September 30, 2003. Home Depot, Wal-Mart and Lowe's represented approximately 37%, 19% and 13%, respectively, of our fiscal 2003 North American net sales. The loss of, or reduction in orders from, Home Depot, Wal-Mart and Lowe's or any other significant customer could have a material adverse effect on our results of operations, financial position or cash flows, as could customer disputes regarding shipments, fees, merchandise condition or related matters. Our inability to collect accounts receivable from any of these customers could also have a material adverse effect.</w:t>
      </w:r>
    </w:p>
    <w:p>
      <w:pPr>
        <w:spacing w:after="0" w:line="80" w:lineRule="exact"/>
        <w:rPr>
          <w:sz w:val="20"/>
          <w:szCs w:val="20"/>
          <w:color w:val="auto"/>
        </w:rPr>
      </w:pPr>
    </w:p>
    <w:p>
      <w:pPr>
        <w:ind w:left="7" w:right="2959" w:firstLine="364"/>
        <w:spacing w:after="0" w:line="267" w:lineRule="auto"/>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results of operations, financial position or cash flows may be increasingly sensitive to a deterioration in the financial condition of, or other adverse developments involving our relationship with, one or more customers.</w:t>
      </w:r>
    </w:p>
    <w:p>
      <w:pPr>
        <w:spacing w:after="0" w:line="75" w:lineRule="exact"/>
        <w:rPr>
          <w:sz w:val="20"/>
          <w:szCs w:val="20"/>
          <w:color w:val="auto"/>
        </w:rPr>
      </w:pPr>
    </w:p>
    <w:p>
      <w:pPr>
        <w:ind w:left="367" w:right="3319" w:hanging="367"/>
        <w:spacing w:after="0" w:line="368" w:lineRule="auto"/>
        <w:tabs>
          <w:tab w:leader="none" w:pos="18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HIGHLY COMPETITIVE NATURE OF THE COMPANY'S MARKETS COULD ADVERSELY AFFECT THE ABILITY OF THE COMPANY TO GROW OR MAINTAIN REVENUES.</w:t>
      </w:r>
    </w:p>
    <w:p>
      <w:pPr>
        <w:spacing w:after="0" w:line="3" w:lineRule="exact"/>
        <w:rPr>
          <w:sz w:val="20"/>
          <w:szCs w:val="20"/>
          <w:color w:val="auto"/>
        </w:rPr>
      </w:pPr>
    </w:p>
    <w:p>
      <w:pPr>
        <w:ind w:left="7" w:right="2959" w:firstLine="364"/>
        <w:spacing w:after="0" w:line="264" w:lineRule="auto"/>
        <w:rPr>
          <w:sz w:val="20"/>
          <w:szCs w:val="20"/>
          <w:color w:val="auto"/>
        </w:rPr>
      </w:pPr>
      <w:r>
        <w:rPr>
          <w:rFonts w:ascii="Courier New" w:cs="Courier New" w:eastAsia="Courier New" w:hAnsi="Courier New"/>
          <w:sz w:val="15"/>
          <w:szCs w:val="15"/>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effect on our results of operations, financial position or cash flows.</w:t>
      </w:r>
    </w:p>
    <w:p>
      <w:pPr>
        <w:spacing w:after="0" w:line="78" w:lineRule="exact"/>
        <w:rPr>
          <w:sz w:val="20"/>
          <w:szCs w:val="20"/>
          <w:color w:val="auto"/>
        </w:rPr>
      </w:pPr>
    </w:p>
    <w:p>
      <w:pPr>
        <w:ind w:left="367" w:right="3219" w:hanging="367"/>
        <w:spacing w:after="0" w:line="307" w:lineRule="auto"/>
        <w:tabs>
          <w:tab w:leader="none" w:pos="18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IF MONSANTO WERE TO TERMINATE THE MARKETING AGREEMENT FOR CONSUMER ROUNDUP(R) PRODUCTS WITHOUT BEING REQUIRED TO PAY ANY TERMINATION FEE, WE WOULD LOSE A SUBSTANTIAL SOURCE OF FUTURE EARNINGS.</w:t>
      </w:r>
    </w:p>
    <w:p>
      <w:pPr>
        <w:spacing w:after="0" w:line="47" w:lineRule="exact"/>
        <w:rPr>
          <w:sz w:val="20"/>
          <w:szCs w:val="20"/>
          <w:color w:val="auto"/>
        </w:rPr>
      </w:pPr>
    </w:p>
    <w:p>
      <w:pPr>
        <w:ind w:left="7" w:right="2959" w:firstLine="364"/>
        <w:spacing w:after="0" w:line="262"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78" w:lineRule="exact"/>
        <w:rPr>
          <w:sz w:val="20"/>
          <w:szCs w:val="20"/>
          <w:color w:val="auto"/>
        </w:rPr>
      </w:pPr>
    </w:p>
    <w:p>
      <w:pPr>
        <w:ind w:left="727" w:hanging="363"/>
        <w:spacing w:after="0"/>
        <w:tabs>
          <w:tab w:leader="none" w:pos="72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79"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9" w:lineRule="exact"/>
        <w:rPr>
          <w:rFonts w:ascii="Courier New" w:cs="Courier New" w:eastAsia="Courier New" w:hAnsi="Courier New"/>
          <w:sz w:val="15"/>
          <w:szCs w:val="15"/>
          <w:color w:val="auto"/>
        </w:rPr>
      </w:pPr>
    </w:p>
    <w:p>
      <w:pPr>
        <w:ind w:left="367" w:right="3039" w:hanging="367"/>
        <w:spacing w:after="0" w:line="368" w:lineRule="auto"/>
        <w:tabs>
          <w:tab w:leader="none" w:pos="18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HAGEDORN PARTNERSHIP, L.P. BENEFICIALLY OWNS APPROXIMATELY 33% OF OUR OUTSTANDING COMMON SHARES ON A FULLY DILUTED BASIS.</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6"/>
          </w:cols>
          <w:pgMar w:left="233" w:top="440" w:right="1440" w:bottom="1440" w:gutter="0" w:footer="0" w:header="0"/>
        </w:sectPr>
      </w:pPr>
    </w:p>
    <w:bookmarkStart w:id="38" w:name="page39"/>
    <w:bookmarkEnd w:id="38"/>
    <w:p>
      <w:pPr>
        <w:ind w:left="7" w:right="3039" w:firstLine="364"/>
        <w:spacing w:after="0" w:line="287" w:lineRule="auto"/>
        <w:rPr>
          <w:sz w:val="20"/>
          <w:szCs w:val="20"/>
          <w:color w:val="auto"/>
        </w:rPr>
      </w:pPr>
      <w:r>
        <w:rPr>
          <w:rFonts w:ascii="Courier New" w:cs="Courier New" w:eastAsia="Courier New" w:hAnsi="Courier New"/>
          <w:sz w:val="15"/>
          <w:szCs w:val="15"/>
          <w:color w:val="auto"/>
        </w:rPr>
        <w:t>The Hagedorn Partnership, L.P. beneficially owns approximately 33% of our outstanding common shares and has sufficient voting power to significantly influence the election of directors and the approval of other actions requiring the approval of our shareholders.</w:t>
      </w:r>
    </w:p>
    <w:p>
      <w:pPr>
        <w:spacing w:after="0" w:line="61" w:lineRule="exact"/>
        <w:rPr>
          <w:sz w:val="20"/>
          <w:szCs w:val="20"/>
          <w:color w:val="auto"/>
        </w:rPr>
      </w:pPr>
    </w:p>
    <w:p>
      <w:pPr>
        <w:ind w:left="7" w:right="3419" w:hanging="7"/>
        <w:spacing w:after="0" w:line="368" w:lineRule="auto"/>
        <w:tabs>
          <w:tab w:leader="none" w:pos="18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COMPLIANCE WITH ENVIRONMENTAL AND OTHER PUBLIC HEALTH REGULATIONS COULD INCREASE OUR COST OF DOING BUSINESS.</w:t>
      </w:r>
    </w:p>
    <w:p>
      <w:pPr>
        <w:spacing w:after="0" w:line="3" w:lineRule="exact"/>
        <w:rPr>
          <w:sz w:val="20"/>
          <w:szCs w:val="20"/>
          <w:color w:val="auto"/>
        </w:rPr>
      </w:pPr>
    </w:p>
    <w:p>
      <w:pPr>
        <w:ind w:left="7" w:right="2959" w:firstLine="364"/>
        <w:spacing w:after="0" w:line="259"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80" w:lineRule="exact"/>
        <w:rPr>
          <w:sz w:val="20"/>
          <w:szCs w:val="20"/>
          <w:color w:val="auto"/>
        </w:rPr>
      </w:pPr>
    </w:p>
    <w:p>
      <w:pPr>
        <w:ind w:left="7" w:right="2959" w:firstLine="364"/>
        <w:spacing w:after="0" w:line="254" w:lineRule="auto"/>
        <w:rPr>
          <w:sz w:val="20"/>
          <w:szCs w:val="20"/>
          <w:color w:val="auto"/>
        </w:rPr>
      </w:pPr>
      <w:r>
        <w:rPr>
          <w:rFonts w:ascii="Courier New" w:cs="Courier New" w:eastAsia="Courier New" w:hAnsi="Courier New"/>
          <w:sz w:val="15"/>
          <w:szCs w:val="15"/>
          <w:color w:val="auto"/>
        </w:rPr>
        <w:t>The Food Quality Protection Act, enacted by the U.S. Congress in August 1996, established the following standard for food-use pesticides: a reasonable certainty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that was used in certain of our lawn and garden products. In December 2000, the U.S. EPA reached agreement with various parties, including manufacturers, regarding a phased withdrawal from retailers by December 2004 of residential use products containing diazinon, an active ingredient used in certain of our lawn and garden products. We cannot predict the outcome or the severity of the effect of the U.S. EPA's continuing evaluations of active ingredients used in our products.</w:t>
      </w:r>
    </w:p>
    <w:p>
      <w:pPr>
        <w:spacing w:after="0" w:line="84" w:lineRule="exact"/>
        <w:rPr>
          <w:sz w:val="20"/>
          <w:szCs w:val="20"/>
          <w:color w:val="auto"/>
        </w:rPr>
      </w:pPr>
    </w:p>
    <w:p>
      <w:pPr>
        <w:ind w:left="7" w:right="2959" w:firstLine="364"/>
        <w:spacing w:after="0" w:line="256" w:lineRule="auto"/>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results of operations, financial position and cash flows in the past and could do so again in the future.</w:t>
      </w:r>
    </w:p>
    <w:p>
      <w:pPr>
        <w:spacing w:after="0" w:line="84" w:lineRule="exact"/>
        <w:rPr>
          <w:sz w:val="20"/>
          <w:szCs w:val="20"/>
          <w:color w:val="auto"/>
        </w:rPr>
      </w:pPr>
    </w:p>
    <w:p>
      <w:pPr>
        <w:ind w:left="7" w:right="3139" w:firstLine="364"/>
        <w:spacing w:after="0" w:line="271"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w:t>
      </w:r>
    </w:p>
    <w:p>
      <w:pPr>
        <w:spacing w:after="0" w:line="72" w:lineRule="exact"/>
        <w:rPr>
          <w:sz w:val="20"/>
          <w:szCs w:val="20"/>
          <w:color w:val="auto"/>
        </w:rPr>
      </w:pPr>
    </w:p>
    <w:p>
      <w:pPr>
        <w:ind w:left="7" w:right="3039" w:firstLine="364"/>
        <w:spacing w:after="0" w:line="259"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80" w:lineRule="exact"/>
        <w:rPr>
          <w:sz w:val="20"/>
          <w:szCs w:val="20"/>
          <w:color w:val="auto"/>
        </w:rPr>
      </w:pPr>
    </w:p>
    <w:p>
      <w:pPr>
        <w:ind w:left="7" w:right="3039" w:firstLine="364"/>
        <w:spacing w:after="0" w:line="307" w:lineRule="auto"/>
        <w:rPr>
          <w:sz w:val="20"/>
          <w:szCs w:val="20"/>
          <w:color w:val="auto"/>
        </w:rPr>
      </w:pPr>
      <w:r>
        <w:rPr>
          <w:rFonts w:ascii="Courier New" w:cs="Courier New" w:eastAsia="Courier New" w:hAnsi="Courier New"/>
          <w:sz w:val="15"/>
          <w:szCs w:val="15"/>
          <w:color w:val="auto"/>
        </w:rPr>
        <w:t>During the first six months of fiscal 2004, we have expended approximately $0.9 million related to environmental matters, compared with approximately $1.5 million in environmental expenditures for all of fiscal 2003.</w:t>
      </w:r>
    </w:p>
    <w:p>
      <w:pPr>
        <w:spacing w:after="0" w:line="47" w:lineRule="exact"/>
        <w:rPr>
          <w:sz w:val="20"/>
          <w:szCs w:val="20"/>
          <w:color w:val="auto"/>
        </w:rPr>
      </w:pPr>
    </w:p>
    <w:p>
      <w:pPr>
        <w:ind w:left="7" w:right="3319" w:firstLine="364"/>
        <w:spacing w:after="0" w:line="307" w:lineRule="auto"/>
        <w:rPr>
          <w:sz w:val="20"/>
          <w:szCs w:val="20"/>
          <w:color w:val="auto"/>
        </w:rPr>
      </w:pPr>
      <w:r>
        <w:rPr>
          <w:rFonts w:ascii="Courier New" w:cs="Courier New" w:eastAsia="Courier New" w:hAnsi="Courier New"/>
          <w:sz w:val="15"/>
          <w:szCs w:val="15"/>
          <w:color w:val="auto"/>
        </w:rPr>
        <w:t>The adequacy of these estimated future expenditures is based on our operating in substantial compliance with applicable environmental and public health laws and regulations and several significant assumptions:</w:t>
      </w:r>
    </w:p>
    <w:p>
      <w:pPr>
        <w:spacing w:after="0" w:line="47" w:lineRule="exact"/>
        <w:rPr>
          <w:sz w:val="20"/>
          <w:szCs w:val="20"/>
          <w:color w:val="auto"/>
        </w:rPr>
      </w:pPr>
    </w:p>
    <w:p>
      <w:pPr>
        <w:ind w:left="727" w:right="3599" w:hanging="363"/>
        <w:spacing w:after="0" w:line="368" w:lineRule="auto"/>
        <w:tabs>
          <w:tab w:leader="none" w:pos="7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3" w:lineRule="exact"/>
        <w:rPr>
          <w:rFonts w:ascii="Courier New" w:cs="Courier New" w:eastAsia="Courier New" w:hAnsi="Courier New"/>
          <w:sz w:val="15"/>
          <w:szCs w:val="15"/>
          <w:color w:val="auto"/>
        </w:rPr>
      </w:pPr>
    </w:p>
    <w:p>
      <w:pPr>
        <w:ind w:left="727" w:right="2959" w:hanging="363"/>
        <w:spacing w:after="0" w:line="368" w:lineRule="auto"/>
        <w:tabs>
          <w:tab w:leader="none" w:pos="7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6"/>
          </w:cols>
          <w:pgMar w:left="233" w:top="440" w:right="1440" w:bottom="459" w:gutter="0" w:footer="0" w:header="0"/>
        </w:sectPr>
      </w:pPr>
    </w:p>
    <w:bookmarkStart w:id="39" w:name="page40"/>
    <w:bookmarkEnd w:id="39"/>
    <w:p>
      <w:pPr>
        <w:ind w:left="727" w:right="3319" w:hanging="363"/>
        <w:spacing w:after="0" w:line="287" w:lineRule="auto"/>
        <w:tabs>
          <w:tab w:leader="none" w:pos="72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61" w:lineRule="exact"/>
        <w:rPr>
          <w:sz w:val="20"/>
          <w:szCs w:val="20"/>
          <w:color w:val="auto"/>
        </w:rPr>
      </w:pPr>
    </w:p>
    <w:p>
      <w:pPr>
        <w:ind w:left="7" w:right="2959" w:firstLine="364"/>
        <w:spacing w:after="0" w:line="271"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72" w:lineRule="exact"/>
        <w:rPr>
          <w:sz w:val="20"/>
          <w:szCs w:val="20"/>
          <w:color w:val="auto"/>
        </w:rPr>
      </w:pPr>
    </w:p>
    <w:p>
      <w:pPr>
        <w:ind w:left="367" w:right="2779" w:hanging="367"/>
        <w:spacing w:after="0" w:line="368" w:lineRule="auto"/>
        <w:tabs>
          <w:tab w:leader="none" w:pos="18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SIGNIFICANT INTERNATIONAL OPERATIONS MAKE US SUSCEPTIBLE TO FLUCTUATIONS IN CURRENCY EXCHANGE RATES AND TO THE COSTS OF INTERNATIONAL REGULATION.</w:t>
      </w:r>
    </w:p>
    <w:p>
      <w:pPr>
        <w:spacing w:after="0" w:line="3" w:lineRule="exact"/>
        <w:rPr>
          <w:sz w:val="20"/>
          <w:szCs w:val="20"/>
          <w:color w:val="auto"/>
        </w:rPr>
      </w:pPr>
    </w:p>
    <w:p>
      <w:pPr>
        <w:ind w:left="7" w:right="2959" w:firstLine="364"/>
        <w:spacing w:after="0" w:line="277"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France, Belgium and the Netherlands. In fiscal 2003, international sales accounted for approximately 20% of our total sales. Accordingly, we are subject to risks associated with operations in foreign countries, including:</w:t>
      </w:r>
    </w:p>
    <w:p>
      <w:pPr>
        <w:spacing w:after="0" w:line="68" w:lineRule="exact"/>
        <w:rPr>
          <w:sz w:val="20"/>
          <w:szCs w:val="20"/>
          <w:color w:val="auto"/>
        </w:rPr>
      </w:pPr>
    </w:p>
    <w:p>
      <w:pPr>
        <w:ind w:left="727" w:hanging="363"/>
        <w:spacing w:after="0"/>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9" w:lineRule="exact"/>
        <w:rPr>
          <w:rFonts w:ascii="Courier New" w:cs="Courier New" w:eastAsia="Courier New" w:hAnsi="Courier New"/>
          <w:sz w:val="15"/>
          <w:szCs w:val="15"/>
          <w:color w:val="auto"/>
        </w:rPr>
      </w:pPr>
    </w:p>
    <w:p>
      <w:pPr>
        <w:ind w:left="727" w:hanging="363"/>
        <w:spacing w:after="0"/>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9" w:lineRule="exact"/>
        <w:rPr>
          <w:rFonts w:ascii="Courier New" w:cs="Courier New" w:eastAsia="Courier New" w:hAnsi="Courier New"/>
          <w:sz w:val="15"/>
          <w:szCs w:val="15"/>
          <w:color w:val="auto"/>
        </w:rPr>
      </w:pPr>
    </w:p>
    <w:p>
      <w:pPr>
        <w:ind w:left="727" w:right="2959" w:hanging="363"/>
        <w:spacing w:after="0" w:line="368" w:lineRule="auto"/>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3" w:lineRule="exact"/>
        <w:rPr>
          <w:rFonts w:ascii="Courier New" w:cs="Courier New" w:eastAsia="Courier New" w:hAnsi="Courier New"/>
          <w:sz w:val="15"/>
          <w:szCs w:val="15"/>
          <w:color w:val="auto"/>
        </w:rPr>
      </w:pPr>
    </w:p>
    <w:p>
      <w:pPr>
        <w:ind w:left="727" w:hanging="363"/>
        <w:spacing w:after="0"/>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9" w:lineRule="exact"/>
        <w:rPr>
          <w:rFonts w:ascii="Courier New" w:cs="Courier New" w:eastAsia="Courier New" w:hAnsi="Courier New"/>
          <w:sz w:val="15"/>
          <w:szCs w:val="15"/>
          <w:color w:val="auto"/>
        </w:rPr>
      </w:pPr>
    </w:p>
    <w:p>
      <w:pPr>
        <w:ind w:left="727" w:hanging="363"/>
        <w:spacing w:after="0"/>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80" w:lineRule="exact"/>
        <w:rPr>
          <w:sz w:val="20"/>
          <w:szCs w:val="20"/>
          <w:color w:val="auto"/>
        </w:rPr>
      </w:pPr>
    </w:p>
    <w:p>
      <w:pPr>
        <w:ind w:left="7" w:right="2959" w:firstLine="364"/>
        <w:spacing w:after="0" w:line="271"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results of operations, financial position and cash flows.</w:t>
      </w:r>
    </w:p>
    <w:p>
      <w:pPr>
        <w:spacing w:after="0" w:line="72" w:lineRule="exact"/>
        <w:rPr>
          <w:sz w:val="20"/>
          <w:szCs w:val="20"/>
          <w:color w:val="auto"/>
        </w:rPr>
      </w:pPr>
    </w:p>
    <w:p>
      <w:pPr>
        <w:ind w:left="367"/>
        <w:spacing w:after="0"/>
        <w:tabs>
          <w:tab w:leader="none" w:pos="1166" w:val="left"/>
        </w:tabs>
        <w:rPr>
          <w:sz w:val="20"/>
          <w:szCs w:val="20"/>
          <w:color w:val="auto"/>
        </w:rPr>
      </w:pPr>
      <w:r>
        <w:rPr>
          <w:rFonts w:ascii="Courier New" w:cs="Courier New" w:eastAsia="Courier New" w:hAnsi="Courier New"/>
          <w:sz w:val="15"/>
          <w:szCs w:val="15"/>
          <w:color w:val="auto"/>
        </w:rPr>
        <w:t>ITEM 3.</w:t>
        <w:tab/>
        <w:t>QUANTITATIVE AND QUALITATIVE DISCLOSURES ABOUT MARKET RISK</w:t>
      </w:r>
    </w:p>
    <w:p>
      <w:pPr>
        <w:spacing w:after="0" w:line="180" w:lineRule="exact"/>
        <w:rPr>
          <w:sz w:val="20"/>
          <w:szCs w:val="20"/>
          <w:color w:val="auto"/>
        </w:rPr>
      </w:pPr>
    </w:p>
    <w:p>
      <w:pPr>
        <w:ind w:left="7" w:right="3039" w:firstLine="364"/>
        <w:spacing w:after="0" w:line="307" w:lineRule="auto"/>
        <w:rPr>
          <w:sz w:val="20"/>
          <w:szCs w:val="20"/>
          <w:color w:val="auto"/>
        </w:rPr>
      </w:pPr>
      <w:r>
        <w:rPr>
          <w:rFonts w:ascii="Courier New" w:cs="Courier New" w:eastAsia="Courier New" w:hAnsi="Courier New"/>
          <w:sz w:val="15"/>
          <w:szCs w:val="15"/>
          <w:color w:val="auto"/>
        </w:rPr>
        <w:t>Market risks have not changed significantly from those disclosed in the Registrant's Annual Report on Form 10-K for the fiscal year ended September 30, 2003.</w:t>
      </w:r>
    </w:p>
    <w:p>
      <w:pPr>
        <w:spacing w:after="0" w:line="47" w:lineRule="exact"/>
        <w:rPr>
          <w:sz w:val="20"/>
          <w:szCs w:val="20"/>
          <w:color w:val="auto"/>
        </w:rPr>
      </w:pPr>
    </w:p>
    <w:p>
      <w:pPr>
        <w:ind w:left="367"/>
        <w:spacing w:after="0"/>
        <w:tabs>
          <w:tab w:leader="none" w:pos="1166" w:val="left"/>
        </w:tabs>
        <w:rPr>
          <w:sz w:val="20"/>
          <w:szCs w:val="20"/>
          <w:color w:val="auto"/>
        </w:rPr>
      </w:pPr>
      <w:r>
        <w:rPr>
          <w:rFonts w:ascii="Courier New" w:cs="Courier New" w:eastAsia="Courier New" w:hAnsi="Courier New"/>
          <w:sz w:val="15"/>
          <w:szCs w:val="15"/>
          <w:color w:val="auto"/>
        </w:rPr>
        <w:t>ITEM 4.</w:t>
        <w:tab/>
        <w:t>CONTROLS AND PROCEDURES</w:t>
      </w:r>
    </w:p>
    <w:p>
      <w:pPr>
        <w:spacing w:after="0" w:line="180" w:lineRule="exact"/>
        <w:rPr>
          <w:sz w:val="20"/>
          <w:szCs w:val="20"/>
          <w:color w:val="auto"/>
        </w:rPr>
      </w:pPr>
    </w:p>
    <w:p>
      <w:pPr>
        <w:ind w:left="7" w:right="2959" w:firstLine="364"/>
        <w:spacing w:after="0" w:line="267" w:lineRule="auto"/>
        <w:rPr>
          <w:sz w:val="20"/>
          <w:szCs w:val="20"/>
          <w:color w:val="auto"/>
        </w:rPr>
      </w:pPr>
      <w:r>
        <w:rPr>
          <w:rFonts w:ascii="Courier New" w:cs="Courier New" w:eastAsia="Courier New" w:hAnsi="Courier New"/>
          <w:sz w:val="15"/>
          <w:szCs w:val="15"/>
          <w:color w:val="auto"/>
        </w:rPr>
        <w:t>With the participation of the Registrant's principal executive officer and principal financial officer, the Registrant's management has evaluated the effectiveness of the Registrant's disclosure controls and procedures (as defined in Rule 13a-15(e) under the Securities Exchange Act of 1934, as amended (the "Exchange Act")), as of the end of the period covered by this Quarterly Report on Form 10-Q. Based upon that evaluation, the Registrant's principal executive officer and principal financial officer have concluded that:</w:t>
      </w:r>
    </w:p>
    <w:p>
      <w:pPr>
        <w:spacing w:after="0" w:line="75" w:lineRule="exact"/>
        <w:rPr>
          <w:sz w:val="20"/>
          <w:szCs w:val="20"/>
          <w:color w:val="auto"/>
        </w:rPr>
      </w:pPr>
    </w:p>
    <w:p>
      <w:pPr>
        <w:ind w:left="727" w:right="2959" w:hanging="363"/>
        <w:spacing w:after="0" w:line="277" w:lineRule="auto"/>
        <w:tabs>
          <w:tab w:leader="none" w:pos="72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accumulated and communicated to the Registrant's management, including its principal executive and financial officers, as appropriate to allow timely decisions regarding required disclosure;</w:t>
      </w:r>
    </w:p>
    <w:p>
      <w:pPr>
        <w:spacing w:after="0" w:line="68" w:lineRule="exact"/>
        <w:rPr>
          <w:rFonts w:ascii="Courier New" w:cs="Courier New" w:eastAsia="Courier New" w:hAnsi="Courier New"/>
          <w:sz w:val="15"/>
          <w:szCs w:val="15"/>
          <w:color w:val="auto"/>
        </w:rPr>
      </w:pPr>
    </w:p>
    <w:p>
      <w:pPr>
        <w:ind w:left="727" w:right="2959" w:hanging="363"/>
        <w:spacing w:after="0" w:line="287" w:lineRule="auto"/>
        <w:tabs>
          <w:tab w:leader="none" w:pos="72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recorded, processed, summarized and reported within the time period specified in the SEC's rules and forms; and</w:t>
      </w:r>
    </w:p>
    <w:p>
      <w:pPr>
        <w:spacing w:after="0" w:line="61" w:lineRule="exact"/>
        <w:rPr>
          <w:rFonts w:ascii="Courier New" w:cs="Courier New" w:eastAsia="Courier New" w:hAnsi="Courier New"/>
          <w:sz w:val="15"/>
          <w:szCs w:val="15"/>
          <w:color w:val="auto"/>
        </w:rPr>
      </w:pPr>
    </w:p>
    <w:p>
      <w:pPr>
        <w:ind w:left="727" w:right="2959" w:hanging="363"/>
        <w:spacing w:after="0" w:line="271" w:lineRule="auto"/>
        <w:tabs>
          <w:tab w:leader="none" w:pos="72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disclosure controls and procedures are effective as of the end of the period covered by this Quarterly Report on Form 10-Q to ensure that material information relating to the Registrant and its consolidated subsidiaries is made known to them, particularly during the period in which the Registrant's periodic reports, including this Quarterly Report on Form 10-Q, are being prepared.</w:t>
      </w:r>
    </w:p>
    <w:p>
      <w:pPr>
        <w:spacing w:after="0" w:line="72" w:lineRule="exact"/>
        <w:rPr>
          <w:sz w:val="20"/>
          <w:szCs w:val="20"/>
          <w:color w:val="auto"/>
        </w:rPr>
      </w:pPr>
    </w:p>
    <w:p>
      <w:pPr>
        <w:ind w:left="7" w:right="2959" w:firstLine="364"/>
        <w:spacing w:after="0" w:line="277" w:lineRule="auto"/>
        <w:rPr>
          <w:sz w:val="20"/>
          <w:szCs w:val="20"/>
          <w:color w:val="auto"/>
        </w:rPr>
      </w:pPr>
      <w:r>
        <w:rPr>
          <w:rFonts w:ascii="Courier New" w:cs="Courier New" w:eastAsia="Courier New" w:hAnsi="Courier New"/>
          <w:sz w:val="15"/>
          <w:szCs w:val="15"/>
          <w:color w:val="auto"/>
        </w:rPr>
        <w:t>In addition, there were no changes in the Registrant's internal control over financial reporting (as defined in Rule 13a-15(f) under the Exchange Act) that occurred during the Registrant's fiscal quarter ended March 27, 2004 that have materially affected, or are reasonably likely to materially affect, the Registrant's internal control over financial reporting.</w:t>
      </w:r>
    </w:p>
    <w:p>
      <w:pPr>
        <w:spacing w:after="0" w:line="24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6"/>
          </w:cols>
          <w:pgMar w:left="233" w:top="440" w:right="1440" w:bottom="1440" w:gutter="0" w:footer="0" w:header="0"/>
        </w:sectPr>
      </w:pPr>
    </w:p>
    <w:bookmarkStart w:id="40" w:name="page41"/>
    <w:bookmarkEnd w:id="40"/>
    <w:p>
      <w:pPr>
        <w:ind w:left="2447"/>
        <w:spacing w:after="0"/>
        <w:rPr>
          <w:sz w:val="20"/>
          <w:szCs w:val="20"/>
          <w:color w:val="auto"/>
        </w:rPr>
      </w:pPr>
      <w:r>
        <w:rPr>
          <w:rFonts w:ascii="Courier New" w:cs="Courier New" w:eastAsia="Courier New" w:hAnsi="Courier New"/>
          <w:sz w:val="15"/>
          <w:szCs w:val="15"/>
          <w:color w:val="auto"/>
        </w:rPr>
        <w:t>PART II - OTHER INFORMATION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 LEGAL PROCEEDINGS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SCOTTS COMPANY V. AVENTIS S.A. AND STARLINK LOGISTICS, INC.</w:t>
      </w:r>
    </w:p>
    <w:p>
      <w:pPr>
        <w:spacing w:after="0" w:line="180" w:lineRule="exact"/>
        <w:rPr>
          <w:sz w:val="20"/>
          <w:szCs w:val="20"/>
          <w:color w:val="auto"/>
        </w:rPr>
      </w:pPr>
    </w:p>
    <w:p>
      <w:pPr>
        <w:ind w:left="7" w:right="2959" w:firstLine="364"/>
        <w:spacing w:after="0" w:line="255" w:lineRule="auto"/>
        <w:rPr>
          <w:sz w:val="20"/>
          <w:szCs w:val="20"/>
          <w:color w:val="auto"/>
        </w:rPr>
      </w:pPr>
      <w:r>
        <w:rPr>
          <w:rFonts w:ascii="Courier New" w:cs="Courier New" w:eastAsia="Courier New" w:hAnsi="Courier New"/>
          <w:sz w:val="15"/>
          <w:szCs w:val="15"/>
          <w:color w:val="auto"/>
        </w:rPr>
        <w:t>On August 9, 2002, The Scotts Company filed suit against Aventis S.A. and its wholly-owned subsidiary Starlink Logistics, Inc. in the U.S. District Court for the Southern District of Ohio. In the complaint, The Scotts Company alleges it is entitled to injunctive and monetary relief arising from Aventis' and Starlink's interference with The Scotts Company's contractual right to purchase a company called TechPac, L.L.C. from one of Aventis' former subsidiaries, Aventis CropScience. The complaint alleges that pursuant to a contract between The Scotts Company and a predecessor-in-interest to Aventis CropScience, Aventis CropScience was obligated to make a bona fide offer to sell its interest in TechPac to The Scotts Company. The complaint further alleges that Aventis directed Aventis CropScience to make a belated sham offer to The Scotts Company and that later, upon the sale of Aventis CropScience to Bayer AG, Aventis transferred ownership of TechPac to Starlink, an act which has made it impossible for Aventis CropScience's successor-in-interest to make a bona fide offer to sell TechPac to The Scotts Company.</w:t>
      </w:r>
    </w:p>
    <w:p>
      <w:pPr>
        <w:spacing w:after="0" w:line="88" w:lineRule="exact"/>
        <w:rPr>
          <w:sz w:val="20"/>
          <w:szCs w:val="20"/>
          <w:color w:val="auto"/>
        </w:rPr>
      </w:pPr>
    </w:p>
    <w:p>
      <w:pPr>
        <w:ind w:left="7" w:right="2959" w:firstLine="364"/>
        <w:spacing w:after="0" w:line="264" w:lineRule="auto"/>
        <w:rPr>
          <w:sz w:val="20"/>
          <w:szCs w:val="20"/>
          <w:color w:val="auto"/>
        </w:rPr>
      </w:pPr>
      <w:r>
        <w:rPr>
          <w:rFonts w:ascii="Courier New" w:cs="Courier New" w:eastAsia="Courier New" w:hAnsi="Courier New"/>
          <w:sz w:val="15"/>
          <w:szCs w:val="15"/>
          <w:color w:val="auto"/>
        </w:rPr>
        <w:t>In this suit, The Scotts Company seeks to ensure that it is able to exercise its right to receive a bona fide offer to acquire TechPac, and The Scotts Company seeks to recover compensatory and punitive damages in an amount as yet undetermined for Aventis' and Starlink's interference with The Scotts Company's right to receive such an offer. On October 4, 2002, Starlink filed a motion to dismiss the complaint on jurisdictional grounds. On December 17, 2002, Aventis filed a similar motion. On April 23, 2004 the court dismissed the action without prejudice.</w:t>
      </w:r>
    </w:p>
    <w:p>
      <w:pPr>
        <w:spacing w:after="0" w:line="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SCOTTS COMPANY V. UNITED INDUSTRIES, SOUTHERN DISTRICT OF FLORIDA</w:t>
      </w:r>
    </w:p>
    <w:p>
      <w:pPr>
        <w:spacing w:after="0" w:line="180" w:lineRule="exact"/>
        <w:rPr>
          <w:sz w:val="20"/>
          <w:szCs w:val="20"/>
          <w:color w:val="auto"/>
        </w:rPr>
      </w:pPr>
    </w:p>
    <w:p>
      <w:pPr>
        <w:ind w:left="7" w:right="2959" w:firstLine="364"/>
        <w:spacing w:after="0" w:line="254" w:lineRule="auto"/>
        <w:rPr>
          <w:sz w:val="20"/>
          <w:szCs w:val="20"/>
          <w:color w:val="auto"/>
        </w:rPr>
      </w:pPr>
      <w:r>
        <w:rPr>
          <w:rFonts w:ascii="Courier New" w:cs="Courier New" w:eastAsia="Courier New" w:hAnsi="Courier New"/>
          <w:sz w:val="15"/>
          <w:szCs w:val="15"/>
          <w:color w:val="auto"/>
        </w:rPr>
        <w:t>On April 15, 2002, The Scotts Company and OMS Investments, Inc., a subsidiary of The Scotts Company that holds various Scotts intellectual property assets ("OMS Investments"), filed a six count complaint against United Industries Corp. and Pursell Industries, Inc. -- now known as U.S. Fertilizer Corporation -- for acts of (1) federal trademark and trade dress infringement;</w:t>
      </w:r>
    </w:p>
    <w:p>
      <w:pPr>
        <w:spacing w:after="0" w:line="3" w:lineRule="exact"/>
        <w:rPr>
          <w:sz w:val="20"/>
          <w:szCs w:val="20"/>
          <w:color w:val="auto"/>
        </w:rPr>
      </w:pPr>
    </w:p>
    <w:p>
      <w:pPr>
        <w:ind w:left="7" w:right="2959" w:hanging="7"/>
        <w:spacing w:after="0" w:line="254" w:lineRule="auto"/>
        <w:tabs>
          <w:tab w:leader="none" w:pos="37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unfair competition; (3) federal dilution; (4) common law trademark and trade dress infringement in violation of Florida law and other applicable law; (5) common law unfair competition in violation of Florida law and other applicable law; and (6) dilution in violation of Florida law and other applicable law. The claims against U.S. Fertilizer were subsequently resolved by a Settlement Agreement and Release dated February 6, 2003. In this Settlement Agreement and Release, U.S. Fertilizer acknowledged and agreed "that Scotts' trade dress as well the overall color designs and design layout that are utilized on the packaging of Scotts' Turf Builder(R) line as identified in the Civil Action (the "Turf Builder Trade Dress") are valid, protectable, and non-functional trade dress." U.S. Fertilizer is no longer a party to this action.</w:t>
      </w:r>
    </w:p>
    <w:p>
      <w:pPr>
        <w:spacing w:after="0" w:line="266" w:lineRule="exact"/>
        <w:rPr>
          <w:sz w:val="20"/>
          <w:szCs w:val="20"/>
          <w:color w:val="auto"/>
        </w:rPr>
      </w:pPr>
    </w:p>
    <w:p>
      <w:pPr>
        <w:ind w:left="7" w:right="2959" w:firstLine="364"/>
        <w:spacing w:after="0" w:line="257" w:lineRule="auto"/>
        <w:rPr>
          <w:sz w:val="20"/>
          <w:szCs w:val="20"/>
          <w:color w:val="auto"/>
        </w:rPr>
      </w:pPr>
      <w:r>
        <w:rPr>
          <w:rFonts w:ascii="Courier New" w:cs="Courier New" w:eastAsia="Courier New" w:hAnsi="Courier New"/>
          <w:sz w:val="15"/>
          <w:szCs w:val="15"/>
          <w:color w:val="auto"/>
        </w:rPr>
        <w:t>Shortly after filing the original complaint in this matter, The Scotts Company filed its motion for preliminary injunction, which motion sought an injunction enjoining United Industries, pending trial, from manufacturing, producing, shipping, distributing, advertising, promoting, displaying, selling or offering for sale products in the then current packaging for its Spectracide(R) No Odor Fire Ant Killer Ready-to-Use Dust product and from otherwise using any trademarks, trade dress, packaging, promotional materials or other items which incorporated or were confusingly similar to the trademarks and trade dress featured in Scotts' Ortho(R) Orthene(R) Fire Ant Killer product packaging. Despite finding that United Industries had intentionally copied The Scotts Company's trade dress, the trial court denied the motion for preliminary injunction. The Scotts Company appealed, but the United States Court of Appeals for the Eleventh Circuit affirmed.</w:t>
      </w:r>
    </w:p>
    <w:p>
      <w:pPr>
        <w:spacing w:after="0" w:line="81" w:lineRule="exact"/>
        <w:rPr>
          <w:sz w:val="20"/>
          <w:szCs w:val="20"/>
          <w:color w:val="auto"/>
        </w:rPr>
      </w:pPr>
    </w:p>
    <w:p>
      <w:pPr>
        <w:ind w:left="7" w:right="2959" w:firstLine="364"/>
        <w:spacing w:after="0" w:line="271" w:lineRule="auto"/>
        <w:rPr>
          <w:sz w:val="20"/>
          <w:szCs w:val="20"/>
          <w:color w:val="auto"/>
        </w:rPr>
      </w:pPr>
      <w:r>
        <w:rPr>
          <w:rFonts w:ascii="Courier New" w:cs="Courier New" w:eastAsia="Courier New" w:hAnsi="Courier New"/>
          <w:sz w:val="15"/>
          <w:szCs w:val="15"/>
          <w:color w:val="auto"/>
        </w:rPr>
        <w:t>On December 13, 2002, The Scotts Company filed an amended complaint. The amended complaint contains the same causes of action as the original complaint, but asserts additional grounds in support of plaintiffs' claim that United Industries has infringed and diluted plaintiffs' Miracle-Gro(R) trade dress. The amended complaint also revises certain of the allegations in the original complaint to conform to facts recently learned.</w:t>
      </w:r>
    </w:p>
    <w:p>
      <w:pPr>
        <w:spacing w:after="0" w:line="72" w:lineRule="exact"/>
        <w:rPr>
          <w:sz w:val="20"/>
          <w:szCs w:val="20"/>
          <w:color w:val="auto"/>
        </w:rPr>
      </w:pPr>
    </w:p>
    <w:p>
      <w:pPr>
        <w:ind w:left="7" w:right="3139" w:firstLine="364"/>
        <w:spacing w:after="0" w:line="267" w:lineRule="auto"/>
        <w:rPr>
          <w:sz w:val="20"/>
          <w:szCs w:val="20"/>
          <w:color w:val="auto"/>
        </w:rPr>
      </w:pPr>
      <w:r>
        <w:rPr>
          <w:rFonts w:ascii="Courier New" w:cs="Courier New" w:eastAsia="Courier New" w:hAnsi="Courier New"/>
          <w:sz w:val="15"/>
          <w:szCs w:val="15"/>
          <w:color w:val="auto"/>
        </w:rPr>
        <w:t>United Industries subsequently filed its answer and counterclaim to the amended complaint. This answer and counterclaim is virtually identical to its original answer and counterclaim in that it seeks to cancel a specific Scotts' Miracle-Gro(R) and Design trademark registration (Reg. No. 2,139,929) and Scotts' pending Ortho(R) Orthene(R) Fire Ant Killer and Design trademark application (Serial No. 76/126,545). We believe that this counterclaim is without merit.</w:t>
      </w:r>
    </w:p>
    <w:p>
      <w:pPr>
        <w:spacing w:after="0" w:line="75" w:lineRule="exact"/>
        <w:rPr>
          <w:sz w:val="20"/>
          <w:szCs w:val="20"/>
          <w:color w:val="auto"/>
        </w:rPr>
      </w:pPr>
    </w:p>
    <w:p>
      <w:pPr>
        <w:ind w:left="7" w:right="2959" w:firstLine="364"/>
        <w:spacing w:after="0" w:line="287" w:lineRule="auto"/>
        <w:rPr>
          <w:sz w:val="20"/>
          <w:szCs w:val="20"/>
          <w:color w:val="auto"/>
        </w:rPr>
      </w:pPr>
      <w:r>
        <w:rPr>
          <w:rFonts w:ascii="Courier New" w:cs="Courier New" w:eastAsia="Courier New" w:hAnsi="Courier New"/>
          <w:sz w:val="15"/>
          <w:szCs w:val="15"/>
          <w:color w:val="auto"/>
        </w:rPr>
        <w:t>On April 21, 2003, the parties mediated the matters. While several points of tentative agreement were reached, no settlement agreement has been reached or entered into. Since then, the parties have exchanged drafts of a proposed settlement agreement.</w:t>
      </w:r>
    </w:p>
    <w:p>
      <w:pPr>
        <w:spacing w:after="0" w:line="23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6"/>
          </w:cols>
          <w:pgMar w:left="233" w:top="440" w:right="1440" w:bottom="634" w:gutter="0" w:footer="0" w:header="0"/>
        </w:sectPr>
      </w:pPr>
    </w:p>
    <w:bookmarkStart w:id="41" w:name="page42"/>
    <w:bookmarkEnd w:id="41"/>
    <w:p>
      <w:pPr>
        <w:ind w:left="360"/>
        <w:spacing w:after="0"/>
        <w:rPr>
          <w:sz w:val="20"/>
          <w:szCs w:val="20"/>
          <w:color w:val="auto"/>
        </w:rPr>
      </w:pPr>
      <w:r>
        <w:rPr>
          <w:rFonts w:ascii="Courier New" w:cs="Courier New" w:eastAsia="Courier New" w:hAnsi="Courier New"/>
          <w:sz w:val="15"/>
          <w:szCs w:val="15"/>
          <w:color w:val="auto"/>
        </w:rPr>
        <w:t>We do not anticipate incurring any damages relating to this 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V. BAYER CROPSCIENCE, LP, SOUTHERN DISTRICT OF OHIO</w:t>
      </w:r>
    </w:p>
    <w:p>
      <w:pPr>
        <w:spacing w:after="0" w:line="180" w:lineRule="exact"/>
        <w:rPr>
          <w:sz w:val="20"/>
          <w:szCs w:val="20"/>
          <w:color w:val="auto"/>
        </w:rPr>
      </w:pPr>
    </w:p>
    <w:p>
      <w:pPr>
        <w:ind w:right="2959" w:firstLine="364"/>
        <w:spacing w:after="0" w:line="264" w:lineRule="auto"/>
        <w:rPr>
          <w:sz w:val="20"/>
          <w:szCs w:val="20"/>
          <w:color w:val="auto"/>
        </w:rPr>
      </w:pPr>
      <w:r>
        <w:rPr>
          <w:rFonts w:ascii="Courier New" w:cs="Courier New" w:eastAsia="Courier New" w:hAnsi="Courier New"/>
          <w:sz w:val="15"/>
          <w:szCs w:val="15"/>
          <w:color w:val="auto"/>
        </w:rPr>
        <w:t>On May 29, 2003, The Scotts Company and OMS Investments, filed a four count complaint against Bayer CropScience, LP ("Bayer") for acts of (1) federal unfair competition; (2) federal dilution; (3) common law trade dress infringement and unfair competition; and (4) copyright infringement. The complaint alleges that Bayer's line of lawn fertilizer products infringes and dilutes The Scotts Company's proprietary rights in the packaging of its Turf Builder(R) and LawnPro(R) Super Turf Builder(R) line of products. The complaint seeks both injunctive and monetary relief.</w:t>
      </w:r>
    </w:p>
    <w:p>
      <w:pPr>
        <w:spacing w:after="0" w:line="78" w:lineRule="exact"/>
        <w:rPr>
          <w:sz w:val="20"/>
          <w:szCs w:val="20"/>
          <w:color w:val="auto"/>
        </w:rPr>
      </w:pPr>
    </w:p>
    <w:p>
      <w:pPr>
        <w:ind w:right="3039" w:firstLine="364"/>
        <w:spacing w:after="0" w:line="277" w:lineRule="auto"/>
        <w:rPr>
          <w:sz w:val="20"/>
          <w:szCs w:val="20"/>
          <w:color w:val="auto"/>
        </w:rPr>
      </w:pPr>
      <w:r>
        <w:rPr>
          <w:rFonts w:ascii="Courier New" w:cs="Courier New" w:eastAsia="Courier New" w:hAnsi="Courier New"/>
          <w:sz w:val="15"/>
          <w:szCs w:val="15"/>
          <w:color w:val="auto"/>
        </w:rPr>
        <w:t>Bayer filed its answer and affirmative defenses on June 19, 2003. Bayer asserted no counterclaims. The parties have exchanged discovery requests, but have agreed to postpone the production of documents given that alternative resolutions have been discussed and given that the parties have participated in the Court's mediation process.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do not anticipate incurring any damages relating to this 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0" w:lineRule="exact"/>
        <w:rPr>
          <w:sz w:val="20"/>
          <w:szCs w:val="20"/>
          <w:color w:val="auto"/>
        </w:rPr>
      </w:pPr>
    </w:p>
    <w:p>
      <w:pPr>
        <w:ind w:right="3319" w:firstLine="357"/>
        <w:spacing w:after="0" w:line="368" w:lineRule="auto"/>
        <w:tabs>
          <w:tab w:leader="none" w:pos="7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42 for a list of the exhibits included herewith.</w:t>
      </w:r>
    </w:p>
    <w:p>
      <w:pPr>
        <w:spacing w:after="0" w:line="3" w:lineRule="exact"/>
        <w:rPr>
          <w:rFonts w:ascii="Courier New" w:cs="Courier New" w:eastAsia="Courier New" w:hAnsi="Courier New"/>
          <w:sz w:val="15"/>
          <w:szCs w:val="15"/>
          <w:color w:val="auto"/>
        </w:rPr>
      </w:pPr>
    </w:p>
    <w:p>
      <w:pPr>
        <w:ind w:right="3039" w:firstLine="357"/>
        <w:spacing w:after="0" w:line="257" w:lineRule="auto"/>
        <w:tabs>
          <w:tab w:leader="none" w:pos="7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a Current Report on Form 8-K dated January 8, 2004 reporting under "Item 5. Other Events" an update to Note 24, "Financial Information for Subsidiary Guarantors and Non-Guarantors" from the Registrant's Consolidated Financial Statements included in the Registrant's Annual Report on Form 10-K for the fiscal year ended September 30, 2003 which displayed the aggregation of subsidiary guarantors and non-guarantors as delineated under the indenture governing the 8 5/8% Senior Subordinated Notes which was in effect at September 30, 2003. The revised Note 24 "Financial Information for Subsidiary Guarantors and Non-Guarantors" displayed the aggregation of subsidiary guarantors and non-guarantors as delineated under the indenture governing the new 6 5/8% Senior Subordinated Notes which came into effect subsequent to September 30, 2003.</w:t>
      </w:r>
    </w:p>
    <w:p>
      <w:pPr>
        <w:spacing w:after="0" w:line="89" w:lineRule="exact"/>
        <w:rPr>
          <w:sz w:val="20"/>
          <w:szCs w:val="20"/>
          <w:color w:val="auto"/>
        </w:rPr>
      </w:pPr>
    </w:p>
    <w:p>
      <w:pPr>
        <w:ind w:right="2959" w:firstLine="909"/>
        <w:spacing w:after="0" w:line="271" w:lineRule="auto"/>
        <w:rPr>
          <w:sz w:val="20"/>
          <w:szCs w:val="20"/>
          <w:color w:val="auto"/>
        </w:rPr>
      </w:pPr>
      <w:r>
        <w:rPr>
          <w:rFonts w:ascii="Courier New" w:cs="Courier New" w:eastAsia="Courier New" w:hAnsi="Courier New"/>
          <w:sz w:val="15"/>
          <w:szCs w:val="15"/>
          <w:color w:val="auto"/>
        </w:rPr>
        <w:t>The Registrant filed a Current Report on Form 8-K dated April 16, 2004 reporting under "Item 5. Other Events" a change in its reportable segments previously reported in the Registrant's Annual Report on Form 10-K for the fiscal year ended September 30, 2003. These new segments differ from those used in the previous fiscal year due to the absorption of the Global Professional group into the North America and International segments based on geography.</w:t>
      </w:r>
    </w:p>
    <w:p>
      <w:pPr>
        <w:spacing w:after="0" w:line="2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40" w:right="1440" w:bottom="1440" w:gutter="0" w:footer="0" w:header="0"/>
        </w:sectPr>
      </w:pPr>
    </w:p>
    <w:bookmarkStart w:id="42" w:name="page43"/>
    <w:bookmarkEnd w:id="42"/>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319" w:firstLine="364"/>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4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SCOTTS COMPANY</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Christopher L. Nagel</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Christopher L. Nagel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 May 10, 2004</w:t>
      </w:r>
    </w:p>
    <w:p>
      <w:pPr>
        <w:spacing w:after="0" w:line="5" w:lineRule="exact"/>
        <w:rPr>
          <w:sz w:val="20"/>
          <w:szCs w:val="20"/>
          <w:color w:val="auto"/>
        </w:rPr>
      </w:pPr>
    </w:p>
    <w:p>
      <w:pPr>
        <w:ind w:left="360"/>
        <w:spacing w:after="0"/>
        <w:tabs>
          <w:tab w:leader="none" w:pos="1800" w:val="left"/>
          <w:tab w:leader="none" w:pos="3700" w:val="left"/>
        </w:tabs>
        <w:rPr>
          <w:sz w:val="20"/>
          <w:szCs w:val="20"/>
          <w:color w:val="auto"/>
        </w:rPr>
      </w:pPr>
      <w:r>
        <w:rPr>
          <w:rFonts w:ascii="Courier New" w:cs="Courier New" w:eastAsia="Courier New" w:hAnsi="Courier New"/>
          <w:sz w:val="15"/>
          <w:szCs w:val="15"/>
          <w:color w:val="auto"/>
        </w:rPr>
        <w:t>Executive Vice</w:t>
        <w:tab/>
        <w:t>President and Chief</w:t>
        <w:tab/>
        <w:t>Financial Officer,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Financial and Principal Accounting Officer)</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40" w:right="1440" w:bottom="1440" w:gutter="0" w:footer="0" w:header="0"/>
        </w:sectPr>
      </w:pPr>
    </w:p>
    <w:bookmarkStart w:id="43" w:name="page44"/>
    <w:bookmarkEnd w:id="43"/>
    <w:p>
      <w:pPr>
        <w:ind w:left="2820"/>
        <w:spacing w:after="0"/>
        <w:rPr>
          <w:sz w:val="20"/>
          <w:szCs w:val="20"/>
          <w:color w:val="auto"/>
        </w:rPr>
      </w:pPr>
      <w:r>
        <w:rPr>
          <w:rFonts w:ascii="Courier New" w:cs="Courier New" w:eastAsia="Courier New" w:hAnsi="Courier New"/>
          <w:sz w:val="15"/>
          <w:szCs w:val="15"/>
          <w:color w:val="auto"/>
        </w:rPr>
        <w:t>THE SCOTTS COMPANY</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QUARTERLY REPORT ON FORM 10-Q</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FOR THE FISCAL QUARTER ENDED MARCH 27, 2004</w:t>
      </w:r>
    </w:p>
    <w:p>
      <w:pPr>
        <w:spacing w:after="0" w:line="15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900" w:type="dxa"/>
            <w:vAlign w:val="bottom"/>
          </w:tcPr>
          <w:p>
            <w:pPr>
              <w:ind w:left="2140"/>
              <w:spacing w:after="0"/>
              <w:rPr>
                <w:sz w:val="20"/>
                <w:szCs w:val="20"/>
                <w:color w:val="auto"/>
              </w:rPr>
            </w:pPr>
            <w:r>
              <w:rPr>
                <w:rFonts w:ascii="Courier New" w:cs="Courier New" w:eastAsia="Courier New" w:hAnsi="Courier New"/>
                <w:sz w:val="15"/>
                <w:szCs w:val="15"/>
                <w:color w:val="auto"/>
              </w:rPr>
              <w:t>DESCRIPTION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LOCATION</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900" w:type="dxa"/>
            <w:vAlign w:val="bottom"/>
          </w:tcPr>
          <w:p>
            <w:pPr>
              <w:ind w:left="23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31(a)</w:t>
            </w:r>
          </w:p>
        </w:tc>
        <w:tc>
          <w:tcPr>
            <w:tcW w:w="4900" w:type="dxa"/>
            <w:vAlign w:val="bottom"/>
          </w:tcPr>
          <w:p>
            <w:pPr>
              <w:ind w:left="220"/>
              <w:spacing w:after="0"/>
              <w:rPr>
                <w:sz w:val="20"/>
                <w:szCs w:val="20"/>
                <w:color w:val="auto"/>
              </w:rPr>
            </w:pPr>
            <w:r>
              <w:rPr>
                <w:rFonts w:ascii="Courier New" w:cs="Courier New" w:eastAsia="Courier New" w:hAnsi="Courier New"/>
                <w:sz w:val="15"/>
                <w:szCs w:val="15"/>
                <w:color w:val="auto"/>
              </w:rPr>
              <w:t>Rule 13a-14(a)/15d-14(a) Certification (Principal</w:t>
            </w: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4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31(b)</w:t>
            </w:r>
          </w:p>
        </w:tc>
        <w:tc>
          <w:tcPr>
            <w:tcW w:w="4900" w:type="dxa"/>
            <w:vAlign w:val="bottom"/>
          </w:tcPr>
          <w:p>
            <w:pPr>
              <w:ind w:left="220"/>
              <w:spacing w:after="0"/>
              <w:rPr>
                <w:sz w:val="20"/>
                <w:szCs w:val="20"/>
                <w:color w:val="auto"/>
              </w:rPr>
            </w:pPr>
            <w:r>
              <w:rPr>
                <w:rFonts w:ascii="Courier New" w:cs="Courier New" w:eastAsia="Courier New" w:hAnsi="Courier New"/>
                <w:sz w:val="15"/>
                <w:szCs w:val="15"/>
                <w:color w:val="auto"/>
              </w:rPr>
              <w:t>Executive Officer)</w:t>
            </w:r>
          </w:p>
        </w:tc>
        <w:tc>
          <w:tcPr>
            <w:tcW w:w="11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400" w:type="dxa"/>
            <w:vAlign w:val="bottom"/>
            <w:vMerge w:val="continue"/>
          </w:tcPr>
          <w:p>
            <w:pPr>
              <w:spacing w:after="0"/>
              <w:rPr>
                <w:sz w:val="15"/>
                <w:szCs w:val="15"/>
                <w:color w:val="auto"/>
              </w:rPr>
            </w:pPr>
          </w:p>
        </w:tc>
        <w:tc>
          <w:tcPr>
            <w:tcW w:w="4900" w:type="dxa"/>
            <w:vAlign w:val="bottom"/>
          </w:tcPr>
          <w:p>
            <w:pPr>
              <w:ind w:left="220"/>
              <w:spacing w:after="0"/>
              <w:rPr>
                <w:sz w:val="20"/>
                <w:szCs w:val="20"/>
                <w:color w:val="auto"/>
              </w:rPr>
            </w:pPr>
            <w:r>
              <w:rPr>
                <w:rFonts w:ascii="Courier New" w:cs="Courier New" w:eastAsia="Courier New" w:hAnsi="Courier New"/>
                <w:sz w:val="15"/>
                <w:szCs w:val="15"/>
                <w:color w:val="auto"/>
              </w:rPr>
              <w:t>Rule 13a-14(a)/15d-14(a) Certification (Principal</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32</w:t>
            </w:r>
          </w:p>
        </w:tc>
        <w:tc>
          <w:tcPr>
            <w:tcW w:w="4900" w:type="dxa"/>
            <w:vAlign w:val="bottom"/>
          </w:tcPr>
          <w:p>
            <w:pPr>
              <w:ind w:left="220"/>
              <w:spacing w:after="0"/>
              <w:rPr>
                <w:sz w:val="20"/>
                <w:szCs w:val="20"/>
                <w:color w:val="auto"/>
              </w:rPr>
            </w:pPr>
            <w:r>
              <w:rPr>
                <w:rFonts w:ascii="Courier New" w:cs="Courier New" w:eastAsia="Courier New" w:hAnsi="Courier New"/>
                <w:sz w:val="15"/>
                <w:szCs w:val="15"/>
                <w:color w:val="auto"/>
              </w:rPr>
              <w:t>Financial Officer)</w:t>
            </w:r>
          </w:p>
        </w:tc>
        <w:tc>
          <w:tcPr>
            <w:tcW w:w="11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400" w:type="dxa"/>
            <w:vAlign w:val="bottom"/>
            <w:vMerge w:val="continue"/>
          </w:tcPr>
          <w:p>
            <w:pPr>
              <w:spacing w:after="0"/>
              <w:rPr>
                <w:sz w:val="15"/>
                <w:szCs w:val="15"/>
                <w:color w:val="auto"/>
              </w:rPr>
            </w:pPr>
          </w:p>
        </w:tc>
        <w:tc>
          <w:tcPr>
            <w:tcW w:w="4900" w:type="dxa"/>
            <w:vAlign w:val="bottom"/>
          </w:tcPr>
          <w:p>
            <w:pPr>
              <w:ind w:left="220"/>
              <w:spacing w:after="0"/>
              <w:rPr>
                <w:sz w:val="20"/>
                <w:szCs w:val="20"/>
                <w:color w:val="auto"/>
              </w:rPr>
            </w:pPr>
            <w:r>
              <w:rPr>
                <w:rFonts w:ascii="Courier New" w:cs="Courier New" w:eastAsia="Courier New" w:hAnsi="Courier New"/>
                <w:sz w:val="15"/>
                <w:szCs w:val="15"/>
                <w:color w:val="auto"/>
              </w:rPr>
              <w:t>Section 1350 Certification (Principal Executive</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2"/>
                <w:szCs w:val="22"/>
                <w:color w:val="auto"/>
              </w:rPr>
            </w:pPr>
          </w:p>
        </w:tc>
        <w:tc>
          <w:tcPr>
            <w:tcW w:w="4900" w:type="dxa"/>
            <w:vAlign w:val="bottom"/>
          </w:tcPr>
          <w:p>
            <w:pPr>
              <w:ind w:left="220"/>
              <w:spacing w:after="0"/>
              <w:rPr>
                <w:sz w:val="20"/>
                <w:szCs w:val="20"/>
                <w:color w:val="auto"/>
              </w:rPr>
            </w:pPr>
            <w:r>
              <w:rPr>
                <w:rFonts w:ascii="Courier New" w:cs="Courier New" w:eastAsia="Courier New" w:hAnsi="Courier New"/>
                <w:sz w:val="15"/>
                <w:szCs w:val="15"/>
                <w:color w:val="auto"/>
              </w:rPr>
              <w:t>Officer and Principal Financial Officer)</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40" w:right="1440" w:bottom="1440" w:gutter="0" w:footer="0" w:header="0"/>
        </w:sectPr>
      </w:pPr>
    </w:p>
    <w:bookmarkStart w:id="44" w:name="page45"/>
    <w:bookmarkEnd w:id="44"/>
    <w:p>
      <w:pPr>
        <w:jc w:val="right"/>
        <w:ind w:right="2959"/>
        <w:spacing w:after="0"/>
        <w:rPr>
          <w:sz w:val="20"/>
          <w:szCs w:val="20"/>
          <w:color w:val="auto"/>
        </w:rPr>
      </w:pPr>
      <w:r>
        <w:rPr>
          <w:rFonts w:ascii="Courier New" w:cs="Courier New" w:eastAsia="Courier New" w:hAnsi="Courier New"/>
          <w:sz w:val="15"/>
          <w:szCs w:val="15"/>
          <w:color w:val="auto"/>
        </w:rPr>
        <w:t>Exhibit 31(a)</w:t>
      </w:r>
    </w:p>
    <w:p>
      <w:pPr>
        <w:spacing w:after="0" w:line="354"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RULE 13a-14(a)/15d-14(a) CERTIFICATION</w:t>
      </w:r>
    </w:p>
    <w:p>
      <w:pPr>
        <w:spacing w:after="0" w:line="33"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(PRINCIPAL EXECUTIVE OFFICER)</w:t>
      </w: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 James Hagedorn, certify that:</w:t>
      </w:r>
    </w:p>
    <w:p>
      <w:pPr>
        <w:spacing w:after="0" w:line="180" w:lineRule="exact"/>
        <w:rPr>
          <w:sz w:val="20"/>
          <w:szCs w:val="20"/>
          <w:color w:val="auto"/>
        </w:rPr>
      </w:pPr>
    </w:p>
    <w:p>
      <w:pPr>
        <w:ind w:left="627" w:hanging="263"/>
        <w:spacing w:after="0"/>
        <w:tabs>
          <w:tab w:leader="none" w:pos="6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Scotts Company;</w:t>
      </w:r>
    </w:p>
    <w:p>
      <w:pPr>
        <w:spacing w:after="0" w:line="179" w:lineRule="exact"/>
        <w:rPr>
          <w:rFonts w:ascii="Courier New" w:cs="Courier New" w:eastAsia="Courier New" w:hAnsi="Courier New"/>
          <w:sz w:val="15"/>
          <w:szCs w:val="15"/>
          <w:color w:val="auto"/>
        </w:rPr>
      </w:pPr>
    </w:p>
    <w:p>
      <w:pPr>
        <w:ind w:left="627" w:right="2959" w:hanging="263"/>
        <w:spacing w:after="0" w:line="277" w:lineRule="auto"/>
        <w:tabs>
          <w:tab w:leader="none" w:pos="6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ourier New" w:cs="Courier New" w:eastAsia="Courier New" w:hAnsi="Courier New"/>
          <w:sz w:val="15"/>
          <w:szCs w:val="15"/>
          <w:color w:val="auto"/>
        </w:rPr>
      </w:pPr>
    </w:p>
    <w:p>
      <w:pPr>
        <w:ind w:left="627" w:right="2959" w:hanging="263"/>
        <w:spacing w:after="0" w:line="287" w:lineRule="auto"/>
        <w:tabs>
          <w:tab w:leader="none" w:pos="6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Courier New" w:cs="Courier New" w:eastAsia="Courier New" w:hAnsi="Courier New"/>
          <w:sz w:val="15"/>
          <w:szCs w:val="15"/>
          <w:color w:val="auto"/>
        </w:rPr>
      </w:pPr>
    </w:p>
    <w:p>
      <w:pPr>
        <w:ind w:left="627" w:right="2959" w:hanging="263"/>
        <w:spacing w:after="0" w:line="287" w:lineRule="auto"/>
        <w:tabs>
          <w:tab w:leader="none" w:pos="6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Courier New" w:cs="Courier New" w:eastAsia="Courier New" w:hAnsi="Courier New"/>
          <w:sz w:val="15"/>
          <w:szCs w:val="15"/>
          <w:color w:val="auto"/>
        </w:rPr>
      </w:pPr>
    </w:p>
    <w:p>
      <w:pPr>
        <w:ind w:left="367" w:right="3039" w:firstLine="360"/>
        <w:spacing w:after="0" w:line="271" w:lineRule="auto"/>
        <w:tabs>
          <w:tab w:leader="none" w:pos="109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Courier New" w:cs="Courier New" w:eastAsia="Courier New" w:hAnsi="Courier New"/>
          <w:sz w:val="15"/>
          <w:szCs w:val="15"/>
          <w:color w:val="auto"/>
        </w:rPr>
      </w:pPr>
    </w:p>
    <w:p>
      <w:pPr>
        <w:ind w:left="367" w:right="3039" w:firstLine="360"/>
        <w:spacing w:after="0" w:line="287" w:lineRule="auto"/>
        <w:tabs>
          <w:tab w:leader="none" w:pos="109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Courier New" w:cs="Courier New" w:eastAsia="Courier New" w:hAnsi="Courier New"/>
          <w:sz w:val="15"/>
          <w:szCs w:val="15"/>
          <w:color w:val="auto"/>
        </w:rPr>
      </w:pPr>
    </w:p>
    <w:p>
      <w:pPr>
        <w:ind w:left="367" w:right="3039" w:firstLine="360"/>
        <w:spacing w:after="0" w:line="277" w:lineRule="auto"/>
        <w:tabs>
          <w:tab w:leader="none" w:pos="109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Courier New" w:cs="Courier New" w:eastAsia="Courier New" w:hAnsi="Courier New"/>
          <w:sz w:val="15"/>
          <w:szCs w:val="15"/>
          <w:color w:val="auto"/>
        </w:rPr>
      </w:pPr>
    </w:p>
    <w:p>
      <w:pPr>
        <w:jc w:val="both"/>
        <w:ind w:left="627" w:right="3039" w:hanging="263"/>
        <w:spacing w:after="0" w:line="287" w:lineRule="auto"/>
        <w:tabs>
          <w:tab w:leader="none" w:pos="6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Courier New" w:cs="Courier New" w:eastAsia="Courier New" w:hAnsi="Courier New"/>
          <w:sz w:val="15"/>
          <w:szCs w:val="15"/>
          <w:color w:val="auto"/>
        </w:rPr>
      </w:pPr>
    </w:p>
    <w:p>
      <w:pPr>
        <w:ind w:left="367" w:right="3139" w:firstLine="360"/>
        <w:spacing w:after="0" w:line="287" w:lineRule="auto"/>
        <w:tabs>
          <w:tab w:leader="none" w:pos="109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Courier New" w:cs="Courier New" w:eastAsia="Courier New" w:hAnsi="Courier New"/>
          <w:sz w:val="15"/>
          <w:szCs w:val="15"/>
          <w:color w:val="auto"/>
        </w:rPr>
      </w:pPr>
    </w:p>
    <w:p>
      <w:pPr>
        <w:ind w:left="367" w:right="3319" w:firstLine="360"/>
        <w:spacing w:after="0" w:line="307" w:lineRule="auto"/>
        <w:tabs>
          <w:tab w:leader="none" w:pos="109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May 10, 2004</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James Hagedorn</w:t>
      </w:r>
    </w:p>
    <w:p>
      <w:pPr>
        <w:spacing w:after="0" w:line="33" w:lineRule="exact"/>
        <w:rPr>
          <w:sz w:val="20"/>
          <w:szCs w:val="20"/>
          <w:color w:val="auto"/>
        </w:rPr>
      </w:pPr>
    </w:p>
    <w:p>
      <w:pPr>
        <w:ind w:left="187" w:hanging="187"/>
        <w:spacing w:after="0"/>
        <w:tabs>
          <w:tab w:leader="none" w:pos="1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James Hagedorn</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Chief Executive Officer and Chairman of the Board</w:t>
      </w:r>
    </w:p>
    <w:p>
      <w:pPr>
        <w:spacing w:after="0" w:line="32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6"/>
          </w:cols>
          <w:pgMar w:left="233" w:top="288" w:right="1440" w:bottom="1440" w:gutter="0" w:footer="0" w:header="0"/>
        </w:sectPr>
      </w:pPr>
    </w:p>
    <w:bookmarkStart w:id="45" w:name="page46"/>
    <w:bookmarkEnd w:id="45"/>
    <w:p>
      <w:pPr>
        <w:jc w:val="right"/>
        <w:ind w:right="2959"/>
        <w:spacing w:after="0"/>
        <w:rPr>
          <w:sz w:val="20"/>
          <w:szCs w:val="20"/>
          <w:color w:val="auto"/>
        </w:rPr>
      </w:pPr>
      <w:r>
        <w:rPr>
          <w:rFonts w:ascii="Courier New" w:cs="Courier New" w:eastAsia="Courier New" w:hAnsi="Courier New"/>
          <w:sz w:val="15"/>
          <w:szCs w:val="15"/>
          <w:color w:val="auto"/>
        </w:rPr>
        <w:t>Exhibit 31(b)</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RULE 13a-14(a)/15d-14(a) CERTIFICATION</w:t>
      </w:r>
    </w:p>
    <w:p>
      <w:pPr>
        <w:spacing w:after="0" w:line="3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(PRINCIPAL FINANCIAL OFFICER)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Christopher L. Nagel, certify that:</w:t>
      </w:r>
    </w:p>
    <w:p>
      <w:pPr>
        <w:spacing w:after="0" w:line="180" w:lineRule="exact"/>
        <w:rPr>
          <w:sz w:val="20"/>
          <w:szCs w:val="20"/>
          <w:color w:val="auto"/>
        </w:rPr>
      </w:pPr>
    </w:p>
    <w:p>
      <w:pPr>
        <w:ind w:left="620" w:hanging="263"/>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Scotts Company;</w:t>
      </w:r>
    </w:p>
    <w:p>
      <w:pPr>
        <w:spacing w:after="0" w:line="179" w:lineRule="exact"/>
        <w:rPr>
          <w:rFonts w:ascii="Courier New" w:cs="Courier New" w:eastAsia="Courier New" w:hAnsi="Courier New"/>
          <w:sz w:val="15"/>
          <w:szCs w:val="15"/>
          <w:color w:val="auto"/>
        </w:rPr>
      </w:pPr>
    </w:p>
    <w:p>
      <w:pPr>
        <w:ind w:left="620" w:right="2959" w:hanging="263"/>
        <w:spacing w:after="0" w:line="277"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ourier New" w:cs="Courier New" w:eastAsia="Courier New" w:hAnsi="Courier New"/>
          <w:sz w:val="15"/>
          <w:szCs w:val="15"/>
          <w:color w:val="auto"/>
        </w:rPr>
      </w:pPr>
    </w:p>
    <w:p>
      <w:pPr>
        <w:ind w:left="620" w:right="2959" w:hanging="263"/>
        <w:spacing w:after="0" w:line="287"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Courier New" w:cs="Courier New" w:eastAsia="Courier New" w:hAnsi="Courier New"/>
          <w:sz w:val="15"/>
          <w:szCs w:val="15"/>
          <w:color w:val="auto"/>
        </w:rPr>
      </w:pPr>
    </w:p>
    <w:p>
      <w:pPr>
        <w:ind w:left="620" w:right="2959" w:hanging="263"/>
        <w:spacing w:after="0" w:line="287"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Courier New" w:cs="Courier New" w:eastAsia="Courier New" w:hAnsi="Courier New"/>
          <w:sz w:val="15"/>
          <w:szCs w:val="15"/>
          <w:color w:val="auto"/>
        </w:rPr>
      </w:pPr>
    </w:p>
    <w:p>
      <w:pPr>
        <w:ind w:left="360" w:right="3039" w:firstLine="360"/>
        <w:spacing w:after="0" w:line="271" w:lineRule="auto"/>
        <w:tabs>
          <w:tab w:leader="none" w:pos="108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Courier New" w:cs="Courier New" w:eastAsia="Courier New" w:hAnsi="Courier New"/>
          <w:sz w:val="15"/>
          <w:szCs w:val="15"/>
          <w:color w:val="auto"/>
        </w:rPr>
      </w:pPr>
    </w:p>
    <w:p>
      <w:pPr>
        <w:ind w:left="360" w:right="3039" w:firstLine="360"/>
        <w:spacing w:after="0" w:line="287" w:lineRule="auto"/>
        <w:tabs>
          <w:tab w:leader="none" w:pos="108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Courier New" w:cs="Courier New" w:eastAsia="Courier New" w:hAnsi="Courier New"/>
          <w:sz w:val="15"/>
          <w:szCs w:val="15"/>
          <w:color w:val="auto"/>
        </w:rPr>
      </w:pPr>
    </w:p>
    <w:p>
      <w:pPr>
        <w:ind w:left="360" w:right="3039" w:firstLine="360"/>
        <w:spacing w:after="0" w:line="277" w:lineRule="auto"/>
        <w:tabs>
          <w:tab w:leader="none" w:pos="108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Courier New" w:cs="Courier New" w:eastAsia="Courier New" w:hAnsi="Courier New"/>
          <w:sz w:val="15"/>
          <w:szCs w:val="15"/>
          <w:color w:val="auto"/>
        </w:rPr>
      </w:pPr>
    </w:p>
    <w:p>
      <w:pPr>
        <w:jc w:val="both"/>
        <w:ind w:left="620" w:right="3039" w:hanging="263"/>
        <w:spacing w:after="0" w:line="287"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Courier New" w:cs="Courier New" w:eastAsia="Courier New" w:hAnsi="Courier New"/>
          <w:sz w:val="15"/>
          <w:szCs w:val="15"/>
          <w:color w:val="auto"/>
        </w:rPr>
      </w:pPr>
    </w:p>
    <w:p>
      <w:pPr>
        <w:ind w:left="360" w:right="3139" w:firstLine="360"/>
        <w:spacing w:after="0" w:line="287" w:lineRule="auto"/>
        <w:tabs>
          <w:tab w:leader="none" w:pos="108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Courier New" w:cs="Courier New" w:eastAsia="Courier New" w:hAnsi="Courier New"/>
          <w:sz w:val="15"/>
          <w:szCs w:val="15"/>
          <w:color w:val="auto"/>
        </w:rPr>
      </w:pPr>
    </w:p>
    <w:p>
      <w:pPr>
        <w:ind w:left="360" w:right="3319" w:firstLine="360"/>
        <w:spacing w:after="0" w:line="307" w:lineRule="auto"/>
        <w:tabs>
          <w:tab w:leader="none" w:pos="108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4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 May 10, 2004</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Christopher L. Nagel</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tabs>
          <w:tab w:leader="none" w:pos="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Christopher L. Nagel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Executive Vice President and Chief Financial Officer</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8" w:right="1440" w:bottom="1440" w:gutter="0" w:footer="0" w:header="0"/>
        </w:sectPr>
      </w:pPr>
    </w:p>
    <w:bookmarkStart w:id="46" w:name="page47"/>
    <w:bookmarkEnd w:id="46"/>
    <w:p>
      <w:pPr>
        <w:jc w:val="right"/>
        <w:ind w:right="2959"/>
        <w:spacing w:after="0"/>
        <w:rPr>
          <w:sz w:val="20"/>
          <w:szCs w:val="20"/>
          <w:color w:val="auto"/>
        </w:rPr>
      </w:pPr>
      <w:r>
        <w:rPr>
          <w:rFonts w:ascii="Courier New" w:cs="Courier New" w:eastAsia="Courier New" w:hAnsi="Courier New"/>
          <w:sz w:val="15"/>
          <w:szCs w:val="15"/>
          <w:color w:val="auto"/>
        </w:rPr>
        <w:t>Exhibit 32</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SECTION 1350 CERTIFICATION*</w:t>
      </w:r>
    </w:p>
    <w:p>
      <w:pPr>
        <w:spacing w:after="0" w:line="180" w:lineRule="exact"/>
        <w:rPr>
          <w:sz w:val="20"/>
          <w:szCs w:val="20"/>
          <w:color w:val="auto"/>
        </w:rPr>
      </w:pPr>
    </w:p>
    <w:p>
      <w:pPr>
        <w:ind w:left="7" w:right="2959" w:firstLine="364"/>
        <w:spacing w:after="0" w:line="252" w:lineRule="auto"/>
        <w:rPr>
          <w:sz w:val="20"/>
          <w:szCs w:val="20"/>
          <w:color w:val="auto"/>
        </w:rPr>
      </w:pPr>
      <w:r>
        <w:rPr>
          <w:rFonts w:ascii="Courier New" w:cs="Courier New" w:eastAsia="Courier New" w:hAnsi="Courier New"/>
          <w:sz w:val="15"/>
          <w:szCs w:val="15"/>
          <w:color w:val="auto"/>
        </w:rPr>
        <w:t>In connection with the Quarterly Report of The Scotts Company (the "Company") on Form 10-Q for the quarterly period ended March 27, 2004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906 of the Sarbanes-Oxley Act of 2002, that, to the best of their knowledge:</w:t>
      </w:r>
    </w:p>
    <w:p>
      <w:pPr>
        <w:spacing w:after="0" w:line="152" w:lineRule="exact"/>
        <w:rPr>
          <w:sz w:val="20"/>
          <w:szCs w:val="20"/>
          <w:color w:val="auto"/>
        </w:rPr>
      </w:pPr>
    </w:p>
    <w:p>
      <w:pPr>
        <w:ind w:left="727" w:right="3039" w:hanging="363"/>
        <w:spacing w:after="0" w:line="368" w:lineRule="auto"/>
        <w:tabs>
          <w:tab w:leader="none" w:pos="72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3" w:lineRule="exact"/>
        <w:rPr>
          <w:rFonts w:ascii="Courier New" w:cs="Courier New" w:eastAsia="Courier New" w:hAnsi="Courier New"/>
          <w:sz w:val="15"/>
          <w:szCs w:val="15"/>
          <w:color w:val="auto"/>
        </w:rPr>
      </w:pPr>
    </w:p>
    <w:p>
      <w:pPr>
        <w:ind w:left="727" w:right="2959" w:hanging="363"/>
        <w:spacing w:after="0" w:line="307" w:lineRule="auto"/>
        <w:tabs>
          <w:tab w:leader="none" w:pos="72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47" w:lineRule="exact"/>
        <w:rPr>
          <w:sz w:val="20"/>
          <w:szCs w:val="20"/>
          <w:color w:val="auto"/>
        </w:rPr>
      </w:pPr>
    </w:p>
    <w:tbl>
      <w:tblPr>
        <w:tblLayout w:type="fixed"/>
        <w:tblInd w:w="367" w:type="dxa"/>
        <w:tblCellMar>
          <w:top w:w="0" w:type="dxa"/>
          <w:left w:w="0" w:type="dxa"/>
          <w:bottom w:w="0" w:type="dxa"/>
          <w:right w:w="0" w:type="dxa"/>
        </w:tblCellMar>
      </w:tblP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 James Hagedorn</w:t>
            </w:r>
          </w:p>
        </w:tc>
        <w:tc>
          <w:tcPr>
            <w:tcW w:w="3180" w:type="dxa"/>
            <w:vAlign w:val="bottom"/>
          </w:tcPr>
          <w:p>
            <w:pPr>
              <w:ind w:left="640"/>
              <w:spacing w:after="0"/>
              <w:rPr>
                <w:sz w:val="20"/>
                <w:szCs w:val="20"/>
                <w:color w:val="auto"/>
              </w:rPr>
            </w:pPr>
            <w:r>
              <w:rPr>
                <w:rFonts w:ascii="Courier New" w:cs="Courier New" w:eastAsia="Courier New" w:hAnsi="Courier New"/>
                <w:sz w:val="15"/>
                <w:szCs w:val="15"/>
                <w:color w:val="auto"/>
              </w:rPr>
              <w:t>/s/ Christopher L. Nagel</w:t>
            </w:r>
          </w:p>
        </w:tc>
        <w:tc>
          <w:tcPr>
            <w:tcW w:w="0" w:type="dxa"/>
            <w:vAlign w:val="bottom"/>
          </w:tcPr>
          <w:p>
            <w:pPr>
              <w:spacing w:after="0"/>
              <w:rPr>
                <w:sz w:val="1"/>
                <w:szCs w:val="1"/>
                <w:color w:val="auto"/>
              </w:rPr>
            </w:pPr>
          </w:p>
        </w:tc>
      </w:tr>
      <w:tr>
        <w:trPr>
          <w:trHeight w:val="175"/>
        </w:trPr>
        <w:tc>
          <w:tcPr>
            <w:tcW w:w="3720" w:type="dxa"/>
            <w:vAlign w:val="bottom"/>
            <w:vMerge w:val="restart"/>
          </w:tcPr>
          <w:p>
            <w:pPr>
              <w:spacing w:after="0"/>
              <w:rPr>
                <w:sz w:val="20"/>
                <w:szCs w:val="20"/>
                <w:color w:val="auto"/>
              </w:rPr>
            </w:pPr>
            <w:r>
              <w:rPr>
                <w:rFonts w:ascii="Courier New" w:cs="Courier New" w:eastAsia="Courier New" w:hAnsi="Courier New"/>
                <w:sz w:val="30"/>
                <w:szCs w:val="30"/>
                <w:color w:val="auto"/>
                <w:w w:val="80"/>
                <w:vertAlign w:val="subscript"/>
              </w:rPr>
              <w:t>James</w:t>
            </w:r>
            <w:r>
              <w:rPr>
                <w:rFonts w:ascii="Courier New" w:cs="Courier New" w:eastAsia="Courier New" w:hAnsi="Courier New"/>
                <w:sz w:val="15"/>
                <w:szCs w:val="15"/>
                <w:color w:val="auto"/>
                <w:w w:val="80"/>
              </w:rPr>
              <w:t>----------------------------------</w:t>
            </w:r>
            <w:r>
              <w:rPr>
                <w:rFonts w:ascii="Courier New" w:cs="Courier New" w:eastAsia="Courier New" w:hAnsi="Courier New"/>
                <w:sz w:val="30"/>
                <w:szCs w:val="30"/>
                <w:color w:val="auto"/>
                <w:w w:val="80"/>
                <w:vertAlign w:val="subscript"/>
              </w:rPr>
              <w:t>Hagedorn</w:t>
            </w:r>
          </w:p>
        </w:tc>
        <w:tc>
          <w:tcPr>
            <w:tcW w:w="3180" w:type="dxa"/>
            <w:vAlign w:val="bottom"/>
          </w:tcPr>
          <w:p>
            <w:pPr>
              <w:ind w:left="64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3720" w:type="dxa"/>
            <w:vAlign w:val="bottom"/>
            <w:vMerge w:val="continue"/>
          </w:tcPr>
          <w:p>
            <w:pPr>
              <w:spacing w:after="0"/>
              <w:rPr>
                <w:sz w:val="15"/>
                <w:szCs w:val="15"/>
                <w:color w:val="auto"/>
              </w:rPr>
            </w:pPr>
          </w:p>
        </w:tc>
        <w:tc>
          <w:tcPr>
            <w:tcW w:w="3180" w:type="dxa"/>
            <w:vAlign w:val="bottom"/>
          </w:tcPr>
          <w:p>
            <w:pPr>
              <w:ind w:left="640"/>
              <w:spacing w:after="0"/>
              <w:rPr>
                <w:sz w:val="20"/>
                <w:szCs w:val="20"/>
                <w:color w:val="auto"/>
              </w:rPr>
            </w:pPr>
            <w:r>
              <w:rPr>
                <w:rFonts w:ascii="Courier New" w:cs="Courier New" w:eastAsia="Courier New" w:hAnsi="Courier New"/>
                <w:sz w:val="15"/>
                <w:szCs w:val="15"/>
                <w:color w:val="auto"/>
              </w:rPr>
              <w:t>Christopher L. Nagel</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President, Chief Executive Officer</w:t>
            </w:r>
          </w:p>
        </w:tc>
        <w:tc>
          <w:tcPr>
            <w:tcW w:w="3180" w:type="dxa"/>
            <w:vAlign w:val="bottom"/>
          </w:tcPr>
          <w:p>
            <w:pPr>
              <w:ind w:left="640"/>
              <w:spacing w:after="0"/>
              <w:rPr>
                <w:sz w:val="20"/>
                <w:szCs w:val="20"/>
                <w:color w:val="auto"/>
              </w:rPr>
            </w:pPr>
            <w:r>
              <w:rPr>
                <w:rFonts w:ascii="Courier New" w:cs="Courier New" w:eastAsia="Courier New" w:hAnsi="Courier New"/>
                <w:sz w:val="15"/>
                <w:szCs w:val="15"/>
                <w:color w:val="auto"/>
              </w:rPr>
              <w:t>Executive Vice President</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0"/>
                <w:szCs w:val="20"/>
                <w:color w:val="auto"/>
              </w:rPr>
            </w:pPr>
            <w:r>
              <w:rPr>
                <w:rFonts w:ascii="Courier New" w:cs="Courier New" w:eastAsia="Courier New" w:hAnsi="Courier New"/>
                <w:sz w:val="15"/>
                <w:szCs w:val="15"/>
                <w:color w:val="auto"/>
              </w:rPr>
              <w:t>and Chairman of the Board</w:t>
            </w:r>
          </w:p>
        </w:tc>
        <w:tc>
          <w:tcPr>
            <w:tcW w:w="3180" w:type="dxa"/>
            <w:vAlign w:val="bottom"/>
          </w:tcPr>
          <w:p>
            <w:pPr>
              <w:ind w:left="640"/>
              <w:spacing w:after="0"/>
              <w:rPr>
                <w:sz w:val="20"/>
                <w:szCs w:val="20"/>
                <w:color w:val="auto"/>
              </w:rPr>
            </w:pPr>
            <w:r>
              <w:rPr>
                <w:rFonts w:ascii="Courier New" w:cs="Courier New" w:eastAsia="Courier New" w:hAnsi="Courier New"/>
                <w:sz w:val="15"/>
                <w:szCs w:val="15"/>
                <w:color w:val="auto"/>
              </w:rPr>
              <w:t>and Chief Financial Officer</w:t>
            </w:r>
          </w:p>
        </w:tc>
        <w:tc>
          <w:tcPr>
            <w:tcW w:w="0" w:type="dxa"/>
            <w:vAlign w:val="bottom"/>
          </w:tcPr>
          <w:p>
            <w:pPr>
              <w:spacing w:after="0"/>
              <w:rPr>
                <w:sz w:val="1"/>
                <w:szCs w:val="1"/>
                <w:color w:val="auto"/>
              </w:rPr>
            </w:pP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May 10, 2004</w:t>
            </w:r>
          </w:p>
        </w:tc>
        <w:tc>
          <w:tcPr>
            <w:tcW w:w="3180" w:type="dxa"/>
            <w:vAlign w:val="bottom"/>
          </w:tcPr>
          <w:p>
            <w:pPr>
              <w:ind w:left="640"/>
              <w:spacing w:after="0"/>
              <w:rPr>
                <w:sz w:val="20"/>
                <w:szCs w:val="20"/>
                <w:color w:val="auto"/>
              </w:rPr>
            </w:pPr>
            <w:r>
              <w:rPr>
                <w:rFonts w:ascii="Courier New" w:cs="Courier New" w:eastAsia="Courier New" w:hAnsi="Courier New"/>
                <w:sz w:val="15"/>
                <w:szCs w:val="15"/>
                <w:color w:val="auto"/>
              </w:rPr>
              <w:t>May 10, 2004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7" w:right="2959" w:hanging="447"/>
        <w:spacing w:after="0" w:line="267" w:lineRule="auto"/>
        <w:tabs>
          <w:tab w:leader="none" w:pos="44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25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45</w:t>
      </w:r>
    </w:p>
    <w:sectPr>
      <w:pgSz w:w="11900" w:h="16838" w:orient="portrait"/>
      <w:cols w:equalWidth="0" w:num="1">
        <w:col w:w="10226"/>
      </w:cols>
      <w:pgMar w:left="233" w:top="2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24"/>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5"/>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6"/>
    </w:lvl>
  </w:abstractNum>
  <w:abstractNum w:abstractNumId="10">
    <w:nsid w:val="6CEAF087"/>
    <w:multiLevelType w:val="hybridMultilevel"/>
    <w:lvl w:ilvl="0">
      <w:lvlJc w:val="left"/>
      <w:lvlText w:val="%1."/>
      <w:numFmt w:val="decimal"/>
      <w:start w:val="7"/>
    </w:lvl>
  </w:abstractNum>
  <w:abstractNum w:abstractNumId="11">
    <w:nsid w:val="22221A70"/>
    <w:multiLevelType w:val="hybridMultilevel"/>
    <w:lvl w:ilvl="0">
      <w:lvlJc w:val="left"/>
      <w:lvlText w:val="%1."/>
      <w:numFmt w:val="decimal"/>
      <w:start w:val="8"/>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0"/>
    </w:lvl>
  </w:abstractNum>
  <w:abstractNum w:abstractNumId="14">
    <w:nsid w:val="614FD4A1"/>
    <w:multiLevelType w:val="hybridMultilevel"/>
    <w:lvl w:ilvl="0">
      <w:lvlJc w:val="left"/>
      <w:lvlText w:val="%1."/>
      <w:numFmt w:val="decimal"/>
      <w:start w:val="11"/>
    </w:lvl>
  </w:abstractNum>
  <w:abstractNum w:abstractNumId="15">
    <w:nsid w:val="419AC241"/>
    <w:multiLevelType w:val="hybridMultilevel"/>
    <w:lvl w:ilvl="0">
      <w:lvlJc w:val="left"/>
      <w:lvlText w:val="%1."/>
      <w:numFmt w:val="decimal"/>
      <w:start w:val="13"/>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lvl w:ilvl="1">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upperLetter"/>
      <w:start w:val="1"/>
    </w:lvl>
  </w:abstractNum>
  <w:abstractNum w:abstractNumId="46">
    <w:nsid w:val="749ABB43"/>
    <w:multiLevelType w:val="hybridMultilevel"/>
    <w:lvl w:ilvl="0">
      <w:lvlJc w:val="left"/>
      <w:lvlText w:val="(%1)"/>
      <w:numFmt w:val="decimal"/>
      <w:start w:val="2"/>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2019-12-20T06:35:01Z</dcterms:created>
  <dcterms:modified xsi:type="dcterms:W3CDTF">2019-12-20T06:35:01Z</dcterms:modified>
</cp:coreProperties>
</file>