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440" w:right="3020" w:hanging="405"/>
        <w:spacing w:after="0" w:line="308" w:lineRule="auto"/>
        <w:tabs>
          <w:tab w:leader="none" w:pos="4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2012</w:t>
      </w: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280" w:type="dxa"/>
            <w:vAlign w:val="bottom"/>
            <w:gridSpan w:val="2"/>
          </w:tcPr>
          <w:p>
            <w:pPr>
              <w:ind w:left="100"/>
              <w:spacing w:after="0"/>
              <w:rPr>
                <w:sz w:val="20"/>
                <w:szCs w:val="20"/>
                <w:color w:val="auto"/>
              </w:rPr>
            </w:pPr>
            <w:r>
              <w:rPr>
                <w:rFonts w:ascii="Arial" w:cs="Arial" w:eastAsia="Arial" w:hAnsi="Arial"/>
                <w:sz w:val="16"/>
                <w:szCs w:val="16"/>
                <w:b w:val="1"/>
                <w:bCs w:val="1"/>
                <w:color w:val="auto"/>
                <w:w w:val="96"/>
              </w:rPr>
              <w:t>For the transition period from</w:t>
            </w:r>
          </w:p>
        </w:tc>
        <w:tc>
          <w:tcPr>
            <w:tcW w:w="1740" w:type="dxa"/>
            <w:vAlign w:val="bottom"/>
            <w:gridSpan w:val="2"/>
          </w:tcPr>
          <w:p>
            <w:pPr>
              <w:ind w:left="800"/>
              <w:spacing w:after="0"/>
              <w:rPr>
                <w:sz w:val="20"/>
                <w:szCs w:val="20"/>
                <w:color w:val="auto"/>
              </w:rPr>
            </w:pPr>
            <w:r>
              <w:rPr>
                <w:rFonts w:ascii="Arial" w:cs="Arial" w:eastAsia="Arial" w:hAnsi="Arial"/>
                <w:sz w:val="16"/>
                <w:szCs w:val="16"/>
                <w:b w:val="1"/>
                <w:bCs w:val="1"/>
                <w:color w:val="auto"/>
              </w:rPr>
              <w:t>to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3"/>
        </w:trPr>
        <w:tc>
          <w:tcPr>
            <w:tcW w:w="1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91"/>
              </w:rPr>
              <w:t>Commission file number 1-11593</w:t>
            </w: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65"/>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00" w:type="dxa"/>
            <w:vAlign w:val="bottom"/>
            <w:gridSpan w:val="5"/>
          </w:tcPr>
          <w:p>
            <w:pPr>
              <w:jc w:val="right"/>
              <w:ind w:right="461"/>
              <w:spacing w:after="0" w:line="165" w:lineRule="exact"/>
              <w:rPr>
                <w:sz w:val="20"/>
                <w:szCs w:val="20"/>
                <w:color w:val="auto"/>
              </w:rPr>
            </w:pPr>
            <w:r>
              <w:rPr>
                <w:rFonts w:ascii="Arial" w:cs="Arial" w:eastAsia="Arial" w:hAnsi="Arial"/>
                <w:sz w:val="16"/>
                <w:szCs w:val="16"/>
                <w:color w:val="auto"/>
              </w:rPr>
              <w:t>______________________________________________________________</w:t>
            </w:r>
          </w:p>
        </w:tc>
        <w:tc>
          <w:tcPr>
            <w:tcW w:w="1260" w:type="dxa"/>
            <w:vAlign w:val="bottom"/>
          </w:tcPr>
          <w:p>
            <w:pPr>
              <w:spacing w:after="0"/>
              <w:rPr>
                <w:sz w:val="14"/>
                <w:szCs w:val="14"/>
                <w:color w:val="auto"/>
              </w:rPr>
            </w:pPr>
          </w:p>
        </w:tc>
      </w:tr>
      <w:tr>
        <w:trPr>
          <w:trHeight w:val="493"/>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5"/>
          </w:tcPr>
          <w:p>
            <w:pPr>
              <w:jc w:val="center"/>
              <w:spacing w:after="0"/>
              <w:rPr>
                <w:sz w:val="20"/>
                <w:szCs w:val="20"/>
                <w:color w:val="auto"/>
              </w:rPr>
            </w:pPr>
            <w:r>
              <w:rPr>
                <w:rFonts w:ascii="Arial" w:cs="Arial" w:eastAsia="Arial" w:hAnsi="Arial"/>
                <w:sz w:val="40"/>
                <w:szCs w:val="40"/>
                <w:b w:val="1"/>
                <w:bCs w:val="1"/>
                <w:color w:val="auto"/>
                <w:w w:val="90"/>
              </w:rPr>
              <w:t>The Scotts Miracle-Gro Company</w:t>
            </w:r>
          </w:p>
        </w:tc>
        <w:tc>
          <w:tcPr>
            <w:tcW w:w="1260" w:type="dxa"/>
            <w:vAlign w:val="bottom"/>
          </w:tcPr>
          <w:p>
            <w:pPr>
              <w:spacing w:after="0"/>
              <w:rPr>
                <w:sz w:val="24"/>
                <w:szCs w:val="24"/>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4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1"/>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right="1159"/>
              <w:spacing w:after="0"/>
              <w:rPr>
                <w:sz w:val="20"/>
                <w:szCs w:val="20"/>
                <w:color w:val="auto"/>
              </w:rPr>
            </w:pPr>
            <w:r>
              <w:rPr>
                <w:rFonts w:ascii="Arial" w:cs="Arial" w:eastAsia="Arial" w:hAnsi="Arial"/>
                <w:sz w:val="16"/>
                <w:szCs w:val="16"/>
                <w:b w:val="1"/>
                <w:bCs w:val="1"/>
                <w:color w:val="auto"/>
                <w:w w:val="93"/>
              </w:rPr>
              <w:t>Ohio</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w w:val="98"/>
              </w:rPr>
              <w:t>31-1414921</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49"/>
        </w:trPr>
        <w:tc>
          <w:tcPr>
            <w:tcW w:w="4020" w:type="dxa"/>
            <w:vAlign w:val="bottom"/>
            <w:gridSpan w:val="4"/>
          </w:tcPr>
          <w:p>
            <w:pPr>
              <w:jc w:val="center"/>
              <w:ind w:left="961"/>
              <w:spacing w:after="0"/>
              <w:rPr>
                <w:sz w:val="20"/>
                <w:szCs w:val="20"/>
                <w:color w:val="auto"/>
              </w:rPr>
            </w:pPr>
            <w:r>
              <w:rPr>
                <w:rFonts w:ascii="Arial" w:cs="Arial" w:eastAsia="Arial" w:hAnsi="Arial"/>
                <w:sz w:val="16"/>
                <w:szCs w:val="16"/>
                <w:b w:val="1"/>
                <w:bCs w:val="1"/>
                <w:color w:val="auto"/>
                <w:w w:val="88"/>
              </w:rPr>
              <w:t>14111 Scottslawn Road,</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0"/>
        </w:trPr>
        <w:tc>
          <w:tcPr>
            <w:tcW w:w="4020" w:type="dxa"/>
            <w:vAlign w:val="bottom"/>
            <w:gridSpan w:val="4"/>
          </w:tcPr>
          <w:p>
            <w:pPr>
              <w:jc w:val="center"/>
              <w:ind w:left="941"/>
              <w:spacing w:after="0"/>
              <w:rPr>
                <w:sz w:val="20"/>
                <w:szCs w:val="20"/>
                <w:color w:val="auto"/>
              </w:rPr>
            </w:pPr>
            <w:r>
              <w:rPr>
                <w:rFonts w:ascii="Arial" w:cs="Arial" w:eastAsia="Arial" w:hAnsi="Arial"/>
                <w:sz w:val="16"/>
                <w:szCs w:val="16"/>
                <w:b w:val="1"/>
                <w:bCs w:val="1"/>
                <w:color w:val="auto"/>
                <w:w w:val="94"/>
              </w:rPr>
              <w:t>Marysville, Ohio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gridSpan w:val="2"/>
          </w:tcPr>
          <w:p>
            <w:pPr>
              <w:jc w:val="right"/>
              <w:ind w:right="1119"/>
              <w:spacing w:after="0"/>
              <w:rPr>
                <w:sz w:val="20"/>
                <w:szCs w:val="20"/>
                <w:color w:val="auto"/>
              </w:rPr>
            </w:pPr>
            <w:r>
              <w:rPr>
                <w:rFonts w:ascii="Arial" w:cs="Arial" w:eastAsia="Arial" w:hAnsi="Arial"/>
                <w:sz w:val="16"/>
                <w:szCs w:val="16"/>
                <w:b w:val="1"/>
                <w:bCs w:val="1"/>
                <w:color w:val="auto"/>
              </w:rPr>
              <w:t>43041</w:t>
            </w:r>
          </w:p>
        </w:tc>
      </w:tr>
      <w:tr>
        <w:trPr>
          <w:trHeight w:val="222"/>
        </w:trPr>
        <w:tc>
          <w:tcPr>
            <w:tcW w:w="4020" w:type="dxa"/>
            <w:vAlign w:val="bottom"/>
            <w:gridSpan w:val="4"/>
          </w:tcPr>
          <w:p>
            <w:pPr>
              <w:jc w:val="center"/>
              <w:ind w:left="9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2"/>
          </w:tcPr>
          <w:p>
            <w:pPr>
              <w:jc w:val="center"/>
              <w:ind w:right="859"/>
              <w:spacing w:after="0"/>
              <w:rPr>
                <w:sz w:val="20"/>
                <w:szCs w:val="20"/>
                <w:color w:val="auto"/>
              </w:rPr>
            </w:pPr>
            <w:r>
              <w:rPr>
                <w:rFonts w:ascii="Arial" w:cs="Arial" w:eastAsia="Arial" w:hAnsi="Arial"/>
                <w:sz w:val="14"/>
                <w:szCs w:val="14"/>
                <w:b w:val="1"/>
                <w:bCs w:val="1"/>
                <w:color w:val="auto"/>
                <w:w w:val="95"/>
              </w:rPr>
              <w:t>(Zip Code)</w:t>
            </w: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937-644-0011</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0"/>
        </w:trPr>
        <w:tc>
          <w:tcPr>
            <w:tcW w:w="1940" w:type="dxa"/>
            <w:vAlign w:val="bottom"/>
          </w:tcPr>
          <w:p>
            <w:pPr>
              <w:spacing w:after="0"/>
              <w:rPr>
                <w:sz w:val="24"/>
                <w:szCs w:val="24"/>
                <w:color w:val="auto"/>
              </w:rPr>
            </w:pPr>
          </w:p>
        </w:tc>
        <w:tc>
          <w:tcPr>
            <w:tcW w:w="2080" w:type="dxa"/>
            <w:vAlign w:val="bottom"/>
            <w:gridSpan w:val="3"/>
          </w:tcPr>
          <w:p>
            <w:pPr>
              <w:jc w:val="center"/>
              <w:ind w:right="839"/>
              <w:spacing w:after="0"/>
              <w:rPr>
                <w:sz w:val="20"/>
                <w:szCs w:val="20"/>
                <w:color w:val="auto"/>
              </w:rPr>
            </w:pPr>
            <w:r>
              <w:rPr>
                <w:rFonts w:ascii="Arial" w:cs="Arial" w:eastAsia="Arial" w:hAnsi="Arial"/>
                <w:sz w:val="14"/>
                <w:szCs w:val="14"/>
                <w:b w:val="1"/>
                <w:bCs w:val="1"/>
                <w:color w:val="auto"/>
                <w:w w:val="93"/>
              </w:rPr>
              <w:t>Title of Each Class</w:t>
            </w:r>
          </w:p>
        </w:tc>
        <w:tc>
          <w:tcPr>
            <w:tcW w:w="280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264"/>
        </w:trPr>
        <w:tc>
          <w:tcPr>
            <w:tcW w:w="4020" w:type="dxa"/>
            <w:vAlign w:val="bottom"/>
            <w:gridSpan w:val="4"/>
          </w:tcPr>
          <w:p>
            <w:pPr>
              <w:jc w:val="center"/>
              <w:ind w:left="961"/>
              <w:spacing w:after="0"/>
              <w:rPr>
                <w:sz w:val="20"/>
                <w:szCs w:val="20"/>
                <w:color w:val="auto"/>
              </w:rPr>
            </w:pPr>
            <w:r>
              <w:rPr>
                <w:rFonts w:ascii="Arial" w:cs="Arial" w:eastAsia="Arial" w:hAnsi="Arial"/>
                <w:sz w:val="18"/>
                <w:szCs w:val="18"/>
                <w:color w:val="auto"/>
                <w:w w:val="90"/>
              </w:rPr>
              <w:t>Common Shares, without par value</w:t>
            </w:r>
          </w:p>
        </w:tc>
        <w:tc>
          <w:tcPr>
            <w:tcW w:w="2800" w:type="dxa"/>
            <w:vAlign w:val="bottom"/>
          </w:tcPr>
          <w:p>
            <w:pPr>
              <w:spacing w:after="0"/>
              <w:rPr>
                <w:sz w:val="22"/>
                <w:szCs w:val="22"/>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2"/>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3"/>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89"/>
              </w:rPr>
              <w:t>None</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6"/>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00" w:type="dxa"/>
            <w:vAlign w:val="bottom"/>
            <w:gridSpan w:val="5"/>
          </w:tcPr>
          <w:p>
            <w:pPr>
              <w:jc w:val="center"/>
              <w:spacing w:after="0"/>
              <w:rPr>
                <w:sz w:val="20"/>
                <w:szCs w:val="20"/>
                <w:color w:val="auto"/>
              </w:rPr>
            </w:pPr>
            <w:r>
              <w:rPr>
                <w:rFonts w:ascii="Arial" w:cs="Arial" w:eastAsia="Arial" w:hAnsi="Arial"/>
                <w:sz w:val="16"/>
                <w:szCs w:val="16"/>
                <w:color w:val="auto"/>
                <w:w w:val="91"/>
              </w:rPr>
              <w:t>______________________________________________________________</w:t>
            </w:r>
          </w:p>
        </w:tc>
        <w:tc>
          <w:tcPr>
            <w:tcW w:w="1260" w:type="dxa"/>
            <w:vAlign w:val="bottom"/>
          </w:tcPr>
          <w:p>
            <w:pPr>
              <w:spacing w:after="0"/>
              <w:rPr>
                <w:sz w:val="17"/>
                <w:szCs w:val="17"/>
                <w:color w:val="auto"/>
              </w:rPr>
            </w:pPr>
          </w:p>
        </w:tc>
      </w:tr>
      <w:tr>
        <w:trPr>
          <w:trHeight w:val="315"/>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jc w:val="right"/>
              <w:ind w:right="81"/>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26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7"/>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26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180" w:space="720"/>
            <w:col w:w="3960" w:space="720"/>
            <w:col w:w="2940" w:space="720"/>
            <w:col w:w="180"/>
          </w:cols>
          <w:pgMar w:left="240" w:top="229"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2180" w:space="720"/>
            <w:col w:w="140" w:space="120"/>
            <w:col w:w="3700" w:space="720"/>
            <w:col w:w="2940" w:space="720"/>
            <w:col w:w="180"/>
          </w:cols>
          <w:pgMar w:left="240" w:top="229"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7" w:lineRule="exact"/>
        <w:rPr>
          <w:sz w:val="24"/>
          <w:szCs w:val="24"/>
          <w:color w:val="auto"/>
        </w:rPr>
      </w:pPr>
    </w:p>
    <w:p>
      <w:pPr>
        <w:sectPr>
          <w:pgSz w:w="11900" w:h="16838" w:orient="portrait"/>
          <w:cols w:equalWidth="0" w:num="5">
            <w:col w:w="7020" w:space="160"/>
            <w:col w:w="220" w:space="80"/>
            <w:col w:w="160" w:space="160"/>
            <w:col w:w="200" w:space="80"/>
            <w:col w:w="3340"/>
          </w:cols>
          <w:pgMar w:left="240" w:top="229" w:right="239" w:bottom="1440" w:gutter="0" w:footer="0" w:header="0"/>
          <w:type w:val="continuous"/>
        </w:sectPr>
      </w:pPr>
    </w:p>
    <w:p>
      <w:pPr>
        <w:ind w:right="20" w:firstLine="324"/>
        <w:spacing w:after="0" w:line="275" w:lineRule="auto"/>
        <w:rPr>
          <w:sz w:val="20"/>
          <w:szCs w:val="20"/>
          <w:color w:val="auto"/>
        </w:rPr>
      </w:pPr>
      <w:r>
        <w:rPr>
          <w:rFonts w:ascii="Arial" w:cs="Arial" w:eastAsia="Arial" w:hAnsi="Arial"/>
          <w:sz w:val="16"/>
          <w:szCs w:val="16"/>
          <w:color w:val="auto"/>
        </w:rPr>
        <w:t>The aggregate market value of Common Shares (the only common equity of the registrant) held by non-affiliates as of March 31, 2012 (the last business day of the most recently completed second quarter) was approximately $2,271,305,320.</w:t>
      </w:r>
    </w:p>
    <w:p>
      <w:pPr>
        <w:spacing w:after="0" w:line="6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61,357,418 Common Shares of the registrant outstanding as of November 13, 2012.</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Portions of the definitive Proxy Statement for the registrant’s 2013 Annual Meeting of Shareholders are incorporated by reference into Part III of this Annual Report on Form 10-K.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2012 (“fiscal 2012”). For additional information on recent business developments, see “ITEM 7. MANAGEMENT’S DISCUSSION AND ANALYSIS OF FINANCIAL CONDITION AND RESULTS OF OPERATIONS” of this Annual Report on Form 10-K.</w:t>
      </w:r>
    </w:p>
    <w:p>
      <w:pPr>
        <w:spacing w:after="0" w:line="133"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6"/>
          <w:szCs w:val="16"/>
          <w:color w:val="auto"/>
        </w:rPr>
        <w:t>We are a leading manufacturer and marketer of branded consumer lawn and garden products. Our products are marketed under some of the most recognized brand names in the industry, including, in North America,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and grass seed products, including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Annual 4 Step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Program;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Liquafeed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gardening and landscape products; Ortho</w:t>
      </w:r>
      <w:r>
        <w:rPr>
          <w:rFonts w:ascii="Arial" w:cs="Arial" w:eastAsia="Arial" w:hAnsi="Arial"/>
          <w:sz w:val="22"/>
          <w:szCs w:val="22"/>
          <w:color w:val="auto"/>
          <w:vertAlign w:val="superscript"/>
        </w:rPr>
        <w:t>®</w:t>
      </w:r>
      <w:r>
        <w:rPr>
          <w:rFonts w:ascii="Arial" w:cs="Arial" w:eastAsia="Arial" w:hAnsi="Arial"/>
          <w:sz w:val="16"/>
          <w:szCs w:val="16"/>
          <w:color w:val="auto"/>
        </w:rPr>
        <w:t>, Roundup</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and Home Defense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branded insect control, weed control and rodenticide products; and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Morning Song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wild bird food products. In the United Kingdom, key brands include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plant fertilizers; Weedol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Pathclear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herbicides; EverGreen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fertilizers; and Levington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gardening and landscape products. Other significant brands in Europe include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Fertiligène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France; Celaflor</w:t>
      </w:r>
      <w:r>
        <w:rPr>
          <w:rFonts w:ascii="Arial" w:cs="Arial" w:eastAsia="Arial" w:hAnsi="Arial"/>
          <w:sz w:val="22"/>
          <w:szCs w:val="22"/>
          <w:color w:val="auto"/>
          <w:vertAlign w:val="superscript"/>
        </w:rPr>
        <w:t>®</w:t>
      </w:r>
      <w:r>
        <w:rPr>
          <w:rFonts w:ascii="Arial" w:cs="Arial" w:eastAsia="Arial" w:hAnsi="Arial"/>
          <w:sz w:val="16"/>
          <w:szCs w:val="16"/>
          <w:color w:val="auto"/>
        </w:rPr>
        <w:t>, Nexa Lotte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Germany and Austria; and ASEF</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Belgium, the Netherlands and Luxembourg. We also operate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heritage is tied to the 1995 merger of The Scotts Company, which traces its roots to a company founded by O.M. Scott in Marysville, Ohio in 1868, and Stern’s Miracle-Gro Products, Inc., which was formed on Long Island, New York by Horace Hagedorn and Otto Stern in 1951. Scotts Miracle-Gro is an Ohio corporation.</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consumers’ outdoor lawn and garden environments. During fiscal 2012, we focused on taking the steps we believe were critical to driving growth of the overall lawn and garden industry while also improving the market share of the Company's brands. We were specifically focused on the following:</w:t>
      </w:r>
    </w:p>
    <w:p>
      <w:pPr>
        <w:spacing w:after="0" w:line="349" w:lineRule="exact"/>
        <w:rPr>
          <w:sz w:val="20"/>
          <w:szCs w:val="20"/>
          <w:color w:val="auto"/>
        </w:rPr>
      </w:pPr>
    </w:p>
    <w:p>
      <w:pPr>
        <w:jc w:val="both"/>
        <w:ind w:left="1140" w:hanging="646"/>
        <w:spacing w:after="0" w:line="23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Increasing our advertising investment and introducing new marketing messages to consumers</w:t>
      </w:r>
      <w:r>
        <w:rPr>
          <w:rFonts w:ascii="Arial" w:cs="Arial" w:eastAsia="Arial" w:hAnsi="Arial"/>
          <w:sz w:val="18"/>
          <w:szCs w:val="18"/>
          <w:i w:val="1"/>
          <w:iCs w:val="1"/>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planned for a significant increase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paid media in the United States in order to support a more aggressive marketing effort. The changes we implemented included new advertising campaigns to support both the Scotts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Miracle-Gro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We also focused on significantly improving our digital advertising and marketing efforts. The analysis conducted throughout the season indicates the campaigns had a high level of consumer awareness and strong persuasion scores. Additionally, we made significant improvements in the amount of traffic driven to our web site and other digital content.</w:t>
      </w:r>
    </w:p>
    <w:p>
      <w:pPr>
        <w:spacing w:after="0" w:line="152" w:lineRule="exact"/>
        <w:rPr>
          <w:rFonts w:ascii="Arial" w:cs="Arial" w:eastAsia="Arial" w:hAnsi="Arial"/>
          <w:sz w:val="18"/>
          <w:szCs w:val="18"/>
          <w:color w:val="auto"/>
        </w:rPr>
      </w:pPr>
    </w:p>
    <w:p>
      <w:pPr>
        <w:jc w:val="both"/>
        <w:ind w:left="1140" w:right="20" w:hanging="646"/>
        <w:spacing w:after="0" w:line="311"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Continuing to support consumer-focused innovation with global growth potential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History has repeatedly demonstrated that consumer-focused innovation is a key to growth in the lawn and garden industry. Consumers are seeking products that are easier to use, require them to devote less time to lawn and garden activities but still deliver the desired outcome. To that end, we focused on two specific programs in 2012:</w:t>
      </w:r>
    </w:p>
    <w:p>
      <w:pPr>
        <w:jc w:val="both"/>
        <w:ind w:left="1960" w:hanging="655"/>
        <w:spacing w:after="0" w:line="206"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Introduction of Snap</w:t>
      </w:r>
      <w:r>
        <w:rPr>
          <w:rFonts w:ascii="Arial" w:cs="Arial" w:eastAsia="Arial" w:hAnsi="Arial"/>
          <w:sz w:val="25"/>
          <w:szCs w:val="25"/>
          <w:color w:val="auto"/>
          <w:vertAlign w:val="superscript"/>
        </w:rPr>
        <w:t>®</w:t>
      </w:r>
      <w:r>
        <w:rPr>
          <w:rFonts w:ascii="Arial" w:cs="Arial" w:eastAsia="Arial" w:hAnsi="Arial"/>
          <w:sz w:val="18"/>
          <w:szCs w:val="18"/>
          <w:color w:val="auto"/>
        </w:rPr>
        <w:t>, a fully integrated fertilizer and spreader system. This product was successfully test marketed in fiscal 2010 and 2011 in select markets in the U.S. and introduced nationally in 2012. It will be introduced in select European markets in 2013. Snap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allows consumers to feed their grass without having to open bags, determine appropriate spreader settings or deal with unused or unwanted product at the end of the feeding process. Because the fertilizer packaging and Snap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spreader use a proprietary interface, we believe consumers who use the system are making a long-term commitment to our brand. We supported the introduction of Snap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extensive television, radio, print and online advertising as well as impactful point-of-purchase displays.</w:t>
      </w:r>
    </w:p>
    <w:p>
      <w:pPr>
        <w:spacing w:after="0" w:line="60" w:lineRule="exact"/>
        <w:rPr>
          <w:rFonts w:ascii="Arial" w:cs="Arial" w:eastAsia="Arial" w:hAnsi="Arial"/>
          <w:sz w:val="18"/>
          <w:szCs w:val="18"/>
          <w:color w:val="auto"/>
        </w:rPr>
      </w:pPr>
    </w:p>
    <w:p>
      <w:pPr>
        <w:jc w:val="both"/>
        <w:ind w:left="1960" w:hanging="655"/>
        <w:spacing w:after="0" w:line="226"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introduction of a battery operated application device in certain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liquid pest control products. The sprayer system was introduced throughout the U.S. in 2012 and will be extended to other products and geographies in 2013 and beyond. The application device allows for easy and on-target consumer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96" w:lineRule="auto"/>
        <w:rPr>
          <w:sz w:val="20"/>
          <w:szCs w:val="20"/>
          <w:color w:val="auto"/>
        </w:rPr>
      </w:pPr>
      <w:r>
        <w:rPr>
          <w:rFonts w:ascii="Arial" w:cs="Arial" w:eastAsia="Arial" w:hAnsi="Arial"/>
          <w:sz w:val="18"/>
          <w:szCs w:val="18"/>
          <w:color w:val="auto"/>
        </w:rPr>
        <w:t>1 Osmocote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Everris International B.V., a subsidiary of Israel Chemicals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Monsanto Technology LLC, a company affiliated with Monsanto Company ("Monsanto")</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4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use. The product was supported by a national advertising campaign and strong in-store merchandising and sales support.</w:t>
      </w:r>
    </w:p>
    <w:p>
      <w:pPr>
        <w:spacing w:after="0" w:line="196" w:lineRule="exact"/>
        <w:rPr>
          <w:sz w:val="20"/>
          <w:szCs w:val="20"/>
          <w:color w:val="auto"/>
        </w:rPr>
      </w:pPr>
    </w:p>
    <w:p>
      <w:pPr>
        <w:jc w:val="both"/>
        <w:ind w:left="1140" w:hanging="646"/>
        <w:spacing w:after="0" w:line="264" w:lineRule="auto"/>
        <w:tabs>
          <w:tab w:leader="none" w:pos="11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Continuing to refine our regional operating model in order to get closer to the consumer and accelerate category growth and market share gains</w:t>
      </w:r>
      <w:r>
        <w:rPr>
          <w:rFonts w:ascii="Arial" w:cs="Arial" w:eastAsia="Arial" w:hAnsi="Arial"/>
          <w:sz w:val="18"/>
          <w:szCs w:val="18"/>
          <w:color w:val="auto"/>
        </w:rPr>
        <w:t>. During fiscal 2012 we continued to make adjustments to the regional sales, marketing, manufacturing and distribution initiatives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launched during the fiscal year ended September 30, 2009 (“fiscal 2009”):</w:t>
      </w:r>
    </w:p>
    <w:p>
      <w:pPr>
        <w:spacing w:after="0" w:line="32" w:lineRule="exact"/>
        <w:rPr>
          <w:rFonts w:ascii="Arial" w:cs="Arial" w:eastAsia="Arial" w:hAnsi="Arial"/>
          <w:sz w:val="18"/>
          <w:szCs w:val="18"/>
          <w:b w:val="1"/>
          <w:bCs w:val="1"/>
          <w:i w:val="1"/>
          <w:iCs w:val="1"/>
          <w:color w:val="auto"/>
        </w:rPr>
      </w:pPr>
    </w:p>
    <w:p>
      <w:pPr>
        <w:jc w:val="both"/>
        <w:ind w:left="1960" w:hanging="655"/>
        <w:spacing w:after="0" w:line="255"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consolidated the regional sales and marketing offices from five to three. The regions are now divided as North, South, and West with offices located in Port Washington, NY, West Palm Beach, FL, and Houston, TX, respectively. The regional offices are focused on better understanding and meeting the needs of consumers at the local level, thereby increasing both the overall participation rate in lawn and garden activities and our market share. Our headquarters in Marysville, Ohio continues to support the regional offices with programs and services designed to attract more consumers, enhance support to retailers, and drive innovation in our products, services, programs and operations in order to keep consumers engaged in lawn and garden activities and accelerate category growth.</w:t>
      </w:r>
    </w:p>
    <w:p>
      <w:pPr>
        <w:spacing w:after="0" w:line="40"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developed plans to improve the operations at regional manufacturing sites, especially those where mulch is produced. Through these efforts we anticipate driving gross margin improvement through a combination of lower manufacturing costs, reduced freight and inventory investments. We also completed our second full year of operations at our second U.S. liquids manufacturing facility, enabling us to better serve southern U.S. markets.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17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p>
      <w:pPr>
        <w:spacing w:after="0" w:line="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This division of reportable segments is consistent with how the segments report to and are managed by our Chief Executive Officer (the chief operating decision maker of the Company). Financial information about these segments for each of the three years ended September 30 is presented in “NOTE 22. SEGMENT INFORMATION” of the Notes to Consolidated Financial Statements included in this Annual Report on Form 10-K. The reportable segments have been revised from prior periods to reflect the wind down of our professional seed business, which is now reported in discontinued operations. See “NOTE 2. DISCONTINUED OPERATIONS” of the Notes to Consolidated Financial Statements included in this Annual Report on Form 10-K for additional information regarding the wind down of the professional seed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Global Consumer segment, we manufacture and market consumer lawn and garden products in the following categories:</w:t>
      </w:r>
    </w:p>
    <w:p>
      <w:pPr>
        <w:spacing w:after="0" w:line="90" w:lineRule="exact"/>
        <w:rPr>
          <w:sz w:val="20"/>
          <w:szCs w:val="20"/>
          <w:color w:val="auto"/>
        </w:rPr>
      </w:pPr>
    </w:p>
    <w:p>
      <w:pPr>
        <w:jc w:val="both"/>
        <w:ind w:firstLine="878"/>
        <w:spacing w:after="0" w:line="230" w:lineRule="auto"/>
        <w:rPr>
          <w:sz w:val="20"/>
          <w:szCs w:val="20"/>
          <w:color w:val="auto"/>
        </w:rPr>
      </w:pPr>
      <w:r>
        <w:rPr>
          <w:rFonts w:ascii="Arial" w:cs="Arial" w:eastAsia="Arial" w:hAnsi="Arial"/>
          <w:sz w:val="16"/>
          <w:szCs w:val="16"/>
          <w:i w:val="1"/>
          <w:iCs w:val="1"/>
          <w:color w:val="auto"/>
        </w:rPr>
        <w:t xml:space="preserve">Lawn Care: </w:t>
      </w:r>
      <w:r>
        <w:rPr>
          <w:rFonts w:ascii="Arial" w:cs="Arial" w:eastAsia="Arial" w:hAnsi="Arial"/>
          <w:sz w:val="16"/>
          <w:szCs w:val="16"/>
          <w:color w:val="auto"/>
        </w:rPr>
        <w:t>The lawn care category is designed to help consumers obtain and enjoy the lawn they want. In the United States, products within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include fertilizer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grass seed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Turf Builder</w:t>
      </w:r>
      <w:r>
        <w:rPr>
          <w:rFonts w:ascii="Arial" w:cs="Arial" w:eastAsia="Arial" w:hAnsi="Arial"/>
          <w:sz w:val="22"/>
          <w:szCs w:val="22"/>
          <w:color w:val="auto"/>
          <w:vertAlign w:val="superscript"/>
        </w:rPr>
        <w:t>®</w:t>
      </w:r>
      <w:r>
        <w:rPr>
          <w:rFonts w:ascii="Arial" w:cs="Arial" w:eastAsia="Arial" w:hAnsi="Arial"/>
          <w:sz w:val="16"/>
          <w:szCs w:val="16"/>
          <w:color w:val="auto"/>
        </w:rPr>
        <w:t>, EZ Seed</w:t>
      </w:r>
      <w:r>
        <w:rPr>
          <w:rFonts w:ascii="Arial" w:cs="Arial" w:eastAsia="Arial" w:hAnsi="Arial"/>
          <w:sz w:val="22"/>
          <w:szCs w:val="22"/>
          <w:color w:val="auto"/>
          <w:vertAlign w:val="superscript"/>
        </w:rPr>
        <w:t>®</w:t>
      </w:r>
      <w:r>
        <w:rPr>
          <w:rFonts w:ascii="Arial" w:cs="Arial" w:eastAsia="Arial" w:hAnsi="Arial"/>
          <w:sz w:val="16"/>
          <w:szCs w:val="16"/>
          <w:color w:val="auto"/>
        </w:rPr>
        <w:t>, Water Smart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PatchMaster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lawn-related weed, pest and disease control products primarily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Lawn 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including sub-brands such as GrubEx</w:t>
      </w:r>
      <w:r>
        <w:rPr>
          <w:rFonts w:ascii="Arial" w:cs="Arial" w:eastAsia="Arial" w:hAnsi="Arial"/>
          <w:sz w:val="22"/>
          <w:szCs w:val="22"/>
          <w:color w:val="auto"/>
          <w:vertAlign w:val="superscript"/>
        </w:rPr>
        <w:t>®</w:t>
      </w:r>
      <w:r>
        <w:rPr>
          <w:rFonts w:ascii="Arial" w:cs="Arial" w:eastAsia="Arial" w:hAnsi="Arial"/>
          <w:sz w:val="16"/>
          <w:szCs w:val="16"/>
          <w:color w:val="auto"/>
        </w:rPr>
        <w:t>. A similar range of products is marketed in Europe under a variety of brands such as EverGreen</w:t>
      </w:r>
      <w:r>
        <w:rPr>
          <w:rFonts w:ascii="Arial" w:cs="Arial" w:eastAsia="Arial" w:hAnsi="Arial"/>
          <w:sz w:val="22"/>
          <w:szCs w:val="22"/>
          <w:color w:val="auto"/>
          <w:vertAlign w:val="superscript"/>
        </w:rPr>
        <w:t>®</w:t>
      </w:r>
      <w:r>
        <w:rPr>
          <w:rFonts w:ascii="Arial" w:cs="Arial" w:eastAsia="Arial" w:hAnsi="Arial"/>
          <w:sz w:val="16"/>
          <w:szCs w:val="16"/>
          <w:color w:val="auto"/>
        </w:rPr>
        <w:t>, Fertiligène</w:t>
      </w:r>
      <w:r>
        <w:rPr>
          <w:rFonts w:ascii="Arial" w:cs="Arial" w:eastAsia="Arial" w:hAnsi="Arial"/>
          <w:sz w:val="22"/>
          <w:szCs w:val="22"/>
          <w:color w:val="auto"/>
          <w:vertAlign w:val="superscript"/>
        </w:rPr>
        <w:t>®</w:t>
      </w:r>
      <w:r>
        <w:rPr>
          <w:rFonts w:ascii="Arial" w:cs="Arial" w:eastAsia="Arial" w:hAnsi="Arial"/>
          <w:sz w:val="16"/>
          <w:szCs w:val="16"/>
          <w:color w:val="auto"/>
        </w:rPr>
        <w:t>, Substral</w:t>
      </w:r>
      <w:r>
        <w:rPr>
          <w:rFonts w:ascii="Arial" w:cs="Arial" w:eastAsia="Arial" w:hAnsi="Arial"/>
          <w:sz w:val="22"/>
          <w:szCs w:val="22"/>
          <w:color w:val="auto"/>
          <w:vertAlign w:val="superscript"/>
        </w:rPr>
        <w:t>®</w:t>
      </w:r>
      <w:r>
        <w:rPr>
          <w:rFonts w:ascii="Arial" w:cs="Arial" w:eastAsia="Arial" w:hAnsi="Arial"/>
          <w:sz w:val="16"/>
          <w:szCs w:val="16"/>
          <w:color w:val="auto"/>
        </w:rPr>
        <w:t>, Miracle-Gro Patch Magic</w:t>
      </w:r>
      <w:r>
        <w:rPr>
          <w:rFonts w:ascii="Arial" w:cs="Arial" w:eastAsia="Arial" w:hAnsi="Arial"/>
          <w:sz w:val="22"/>
          <w:szCs w:val="22"/>
          <w:color w:val="auto"/>
          <w:vertAlign w:val="superscript"/>
        </w:rPr>
        <w:t>®</w:t>
      </w:r>
      <w:r>
        <w:rPr>
          <w:rFonts w:ascii="Arial" w:cs="Arial" w:eastAsia="Arial" w:hAnsi="Arial"/>
          <w:sz w:val="16"/>
          <w:szCs w:val="16"/>
          <w:color w:val="auto"/>
        </w:rPr>
        <w:t>, Weedol</w:t>
      </w:r>
      <w:r>
        <w:rPr>
          <w:rFonts w:ascii="Arial" w:cs="Arial" w:eastAsia="Arial" w:hAnsi="Arial"/>
          <w:sz w:val="22"/>
          <w:szCs w:val="22"/>
          <w:color w:val="auto"/>
          <w:vertAlign w:val="superscript"/>
        </w:rPr>
        <w:t>®</w:t>
      </w:r>
      <w:r>
        <w:rPr>
          <w:rFonts w:ascii="Arial" w:cs="Arial" w:eastAsia="Arial" w:hAnsi="Arial"/>
          <w:sz w:val="16"/>
          <w:szCs w:val="16"/>
          <w:color w:val="auto"/>
        </w:rPr>
        <w:t>, Pathclear</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Celaflor</w:t>
      </w:r>
      <w:r>
        <w:rPr>
          <w:rFonts w:ascii="Arial" w:cs="Arial" w:eastAsia="Arial" w:hAnsi="Arial"/>
          <w:sz w:val="22"/>
          <w:szCs w:val="22"/>
          <w:color w:val="auto"/>
          <w:vertAlign w:val="superscript"/>
        </w:rPr>
        <w:t>®</w:t>
      </w:r>
      <w:r>
        <w:rPr>
          <w:rFonts w:ascii="Arial" w:cs="Arial" w:eastAsia="Arial" w:hAnsi="Arial"/>
          <w:sz w:val="16"/>
          <w:szCs w:val="16"/>
          <w:color w:val="auto"/>
        </w:rPr>
        <w:t>. The lawn care category also includes spreaders and other durables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EdgeGuard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spreaders, Snap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spreaders, AccuGreen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drop spreaders and Handy Green</w:t>
      </w:r>
      <w:r>
        <w:rPr>
          <w:rFonts w:ascii="Arial" w:cs="Arial" w:eastAsia="Arial" w:hAnsi="Arial"/>
          <w:sz w:val="22"/>
          <w:szCs w:val="22"/>
          <w:color w:val="auto"/>
          <w:vertAlign w:val="superscript"/>
        </w:rPr>
        <w:t>®</w:t>
      </w:r>
      <w:r>
        <w:rPr>
          <w:rFonts w:ascii="Arial" w:cs="Arial" w:eastAsia="Arial" w:hAnsi="Arial"/>
          <w:sz w:val="16"/>
          <w:szCs w:val="16"/>
          <w:color w:val="auto"/>
        </w:rPr>
        <w:t>II handheld spreaders.</w:t>
      </w:r>
    </w:p>
    <w:p>
      <w:pPr>
        <w:spacing w:after="0" w:line="5" w:lineRule="exact"/>
        <w:rPr>
          <w:sz w:val="20"/>
          <w:szCs w:val="20"/>
          <w:color w:val="auto"/>
        </w:rPr>
      </w:pPr>
    </w:p>
    <w:p>
      <w:pPr>
        <w:jc w:val="both"/>
        <w:ind w:firstLine="878"/>
        <w:spacing w:after="0" w:line="214" w:lineRule="auto"/>
        <w:rPr>
          <w:sz w:val="20"/>
          <w:szCs w:val="20"/>
          <w:color w:val="auto"/>
        </w:rPr>
      </w:pPr>
      <w:r>
        <w:rPr>
          <w:rFonts w:ascii="Arial" w:cs="Arial" w:eastAsia="Arial" w:hAnsi="Arial"/>
          <w:sz w:val="17"/>
          <w:szCs w:val="17"/>
          <w:i w:val="1"/>
          <w:iCs w:val="1"/>
          <w:color w:val="auto"/>
        </w:rPr>
        <w:t xml:space="preserve">Gardening and Landscape: </w:t>
      </w:r>
      <w:r>
        <w:rPr>
          <w:rFonts w:ascii="Arial" w:cs="Arial" w:eastAsia="Arial" w:hAnsi="Arial"/>
          <w:sz w:val="17"/>
          <w:szCs w:val="17"/>
          <w:color w:val="auto"/>
        </w:rPr>
        <w:t>The gardening and landscape category is designed to help consumers grow and enjoy flower and vegetable gardens</w:t>
      </w:r>
      <w:r>
        <w:rPr>
          <w:rFonts w:ascii="Arial" w:cs="Arial" w:eastAsia="Arial" w:hAnsi="Arial"/>
          <w:sz w:val="17"/>
          <w:szCs w:val="17"/>
          <w:i w:val="1"/>
          <w:iCs w:val="1"/>
          <w:color w:val="auto"/>
        </w:rPr>
        <w:t xml:space="preserve"> </w:t>
      </w:r>
      <w:r>
        <w:rPr>
          <w:rFonts w:ascii="Arial" w:cs="Arial" w:eastAsia="Arial" w:hAnsi="Arial"/>
          <w:sz w:val="17"/>
          <w:szCs w:val="17"/>
          <w:color w:val="auto"/>
        </w:rPr>
        <w:t>and beautify landscaped areas. In the United States, products within this category include a complete line of water soluble plant foods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such as LiquaFeed</w:t>
      </w:r>
      <w:r>
        <w:rPr>
          <w:rFonts w:ascii="Arial" w:cs="Arial" w:eastAsia="Arial" w:hAnsi="Arial"/>
          <w:sz w:val="24"/>
          <w:szCs w:val="24"/>
          <w:color w:val="auto"/>
          <w:vertAlign w:val="superscript"/>
        </w:rPr>
        <w:t>®</w:t>
      </w:r>
      <w:r>
        <w:rPr>
          <w:rFonts w:ascii="Arial" w:cs="Arial" w:eastAsia="Arial" w:hAnsi="Arial"/>
          <w:sz w:val="17"/>
          <w:szCs w:val="17"/>
          <w:color w:val="auto"/>
        </w:rPr>
        <w:t>, continuous-release plant foods under the Osmocote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Shake ‘N Feed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potting mixes and garden soils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Hyponex</w:t>
      </w:r>
      <w:r>
        <w:rPr>
          <w:rFonts w:ascii="Arial" w:cs="Arial" w:eastAsia="Arial" w:hAnsi="Arial"/>
          <w:sz w:val="24"/>
          <w:szCs w:val="24"/>
          <w:color w:val="auto"/>
          <w:vertAlign w:val="superscript"/>
        </w:rPr>
        <w:t>®</w:t>
      </w:r>
      <w:r>
        <w:rPr>
          <w:rFonts w:ascii="Arial" w:cs="Arial" w:eastAsia="Arial" w:hAnsi="Arial"/>
          <w:sz w:val="17"/>
          <w:szCs w:val="17"/>
          <w:color w:val="auto"/>
        </w:rPr>
        <w:t>, Earthgro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SuperSoil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mulch and decorative groundcover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including the Nature Scapes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sub-brand, landscape weed prevention products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plant-related pest and disease control products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wild bird food and bird feeder products under the Scotts Songbird Selections</w:t>
      </w:r>
      <w:r>
        <w:rPr>
          <w:rFonts w:ascii="Arial" w:cs="Arial" w:eastAsia="Arial" w:hAnsi="Arial"/>
          <w:sz w:val="24"/>
          <w:szCs w:val="24"/>
          <w:color w:val="auto"/>
          <w:vertAlign w:val="superscript"/>
        </w:rPr>
        <w:t>®</w:t>
      </w:r>
      <w:r>
        <w:rPr>
          <w:rFonts w:ascii="Arial" w:cs="Arial" w:eastAsia="Arial" w:hAnsi="Arial"/>
          <w:sz w:val="17"/>
          <w:szCs w:val="17"/>
          <w:color w:val="auto"/>
        </w:rPr>
        <w:t>, Morning Song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Country Pride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and organic garden products under the Miracle-Gro Organic Choice</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Whitney Farms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Internationally, similar products are marketed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Substral</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Celaflor</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right="20"/>
        <w:spacing w:after="0" w:line="220" w:lineRule="auto"/>
        <w:rPr>
          <w:sz w:val="20"/>
          <w:szCs w:val="20"/>
          <w:color w:val="auto"/>
        </w:rPr>
      </w:pPr>
      <w:r>
        <w:rPr>
          <w:rFonts w:ascii="Arial" w:cs="Arial" w:eastAsia="Arial" w:hAnsi="Arial"/>
          <w:sz w:val="18"/>
          <w:szCs w:val="18"/>
          <w:color w:val="auto"/>
        </w:rPr>
        <w:t>ASEF</w:t>
      </w:r>
      <w:r>
        <w:rPr>
          <w:rFonts w:ascii="Arial" w:cs="Arial" w:eastAsia="Arial" w:hAnsi="Arial"/>
          <w:sz w:val="25"/>
          <w:szCs w:val="25"/>
          <w:color w:val="auto"/>
          <w:vertAlign w:val="superscript"/>
        </w:rPr>
        <w:t>®</w:t>
      </w:r>
      <w:r>
        <w:rPr>
          <w:rFonts w:ascii="Arial" w:cs="Arial" w:eastAsia="Arial" w:hAnsi="Arial"/>
          <w:sz w:val="18"/>
          <w:szCs w:val="18"/>
          <w:color w:val="auto"/>
        </w:rPr>
        <w:t>, Scotts</w:t>
      </w:r>
      <w:r>
        <w:rPr>
          <w:rFonts w:ascii="Arial" w:cs="Arial" w:eastAsia="Arial" w:hAnsi="Arial"/>
          <w:sz w:val="25"/>
          <w:szCs w:val="25"/>
          <w:color w:val="auto"/>
          <w:vertAlign w:val="superscript"/>
        </w:rPr>
        <w:t>®</w:t>
      </w:r>
      <w:r>
        <w:rPr>
          <w:rFonts w:ascii="Arial" w:cs="Arial" w:eastAsia="Arial" w:hAnsi="Arial"/>
          <w:sz w:val="18"/>
          <w:szCs w:val="18"/>
          <w:color w:val="auto"/>
        </w:rPr>
        <w:t>, Morning Melodies</w:t>
      </w:r>
      <w:r>
        <w:rPr>
          <w:rFonts w:ascii="Arial" w:cs="Arial" w:eastAsia="Arial" w:hAnsi="Arial"/>
          <w:sz w:val="25"/>
          <w:szCs w:val="25"/>
          <w:color w:val="auto"/>
          <w:vertAlign w:val="superscript"/>
        </w:rPr>
        <w:t>®</w:t>
      </w:r>
      <w:r>
        <w:rPr>
          <w:rFonts w:ascii="Arial" w:cs="Arial" w:eastAsia="Arial" w:hAnsi="Arial"/>
          <w:sz w:val="18"/>
          <w:szCs w:val="18"/>
          <w:color w:val="auto"/>
        </w:rPr>
        <w:t>, Scotts EcoSense</w:t>
      </w:r>
      <w:r>
        <w:rPr>
          <w:rFonts w:ascii="Arial" w:cs="Arial" w:eastAsia="Arial" w:hAnsi="Arial"/>
          <w:sz w:val="25"/>
          <w:szCs w:val="25"/>
          <w:color w:val="auto"/>
          <w:vertAlign w:val="superscript"/>
        </w:rPr>
        <w:t>®</w:t>
      </w:r>
      <w:r>
        <w:rPr>
          <w:rFonts w:ascii="Arial" w:cs="Arial" w:eastAsia="Arial" w:hAnsi="Arial"/>
          <w:sz w:val="18"/>
          <w:szCs w:val="18"/>
          <w:color w:val="auto"/>
        </w:rPr>
        <w:t>, Fertiligène Naturen</w:t>
      </w:r>
      <w:r>
        <w:rPr>
          <w:rFonts w:ascii="Arial" w:cs="Arial" w:eastAsia="Arial" w:hAnsi="Arial"/>
          <w:sz w:val="25"/>
          <w:szCs w:val="25"/>
          <w:color w:val="auto"/>
          <w:vertAlign w:val="superscript"/>
        </w:rPr>
        <w:t>®</w:t>
      </w:r>
      <w:r>
        <w:rPr>
          <w:rFonts w:ascii="Arial" w:cs="Arial" w:eastAsia="Arial" w:hAnsi="Arial"/>
          <w:sz w:val="18"/>
          <w:szCs w:val="18"/>
          <w:color w:val="auto"/>
        </w:rPr>
        <w:t>, Substral Naturen</w:t>
      </w:r>
      <w:r>
        <w:rPr>
          <w:rFonts w:ascii="Arial" w:cs="Arial" w:eastAsia="Arial" w:hAnsi="Arial"/>
          <w:sz w:val="25"/>
          <w:szCs w:val="25"/>
          <w:color w:val="auto"/>
          <w:vertAlign w:val="superscript"/>
        </w:rPr>
        <w:t>®</w:t>
      </w:r>
      <w:r>
        <w:rPr>
          <w:rFonts w:ascii="Arial" w:cs="Arial" w:eastAsia="Arial" w:hAnsi="Arial"/>
          <w:sz w:val="18"/>
          <w:szCs w:val="18"/>
          <w:color w:val="auto"/>
        </w:rPr>
        <w:t>, KB Naturen</w:t>
      </w:r>
      <w:r>
        <w:rPr>
          <w:rFonts w:ascii="Arial" w:cs="Arial" w:eastAsia="Arial" w:hAnsi="Arial"/>
          <w:sz w:val="25"/>
          <w:szCs w:val="25"/>
          <w:color w:val="auto"/>
          <w:vertAlign w:val="superscript"/>
        </w:rPr>
        <w:t>®</w:t>
      </w:r>
      <w:r>
        <w:rPr>
          <w:rFonts w:ascii="Arial" w:cs="Arial" w:eastAsia="Arial" w:hAnsi="Arial"/>
          <w:sz w:val="18"/>
          <w:szCs w:val="18"/>
          <w:color w:val="auto"/>
        </w:rPr>
        <w:t>, Carre Vert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Miracle-Gro Organic Choice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w:t>
      </w:r>
    </w:p>
    <w:p>
      <w:pPr>
        <w:spacing w:after="0" w:line="2" w:lineRule="exact"/>
        <w:rPr>
          <w:sz w:val="20"/>
          <w:szCs w:val="20"/>
          <w:color w:val="auto"/>
        </w:rPr>
      </w:pPr>
    </w:p>
    <w:p>
      <w:pPr>
        <w:jc w:val="both"/>
        <w:ind w:firstLine="878"/>
        <w:spacing w:after="0" w:line="217" w:lineRule="auto"/>
        <w:rPr>
          <w:sz w:val="20"/>
          <w:szCs w:val="20"/>
          <w:color w:val="auto"/>
        </w:rPr>
      </w:pPr>
      <w:r>
        <w:rPr>
          <w:rFonts w:ascii="Arial" w:cs="Arial" w:eastAsia="Arial" w:hAnsi="Arial"/>
          <w:sz w:val="17"/>
          <w:szCs w:val="17"/>
          <w:i w:val="1"/>
          <w:iCs w:val="1"/>
          <w:color w:val="auto"/>
        </w:rPr>
        <w:t xml:space="preserve">Home Protection: </w:t>
      </w:r>
      <w:r>
        <w:rPr>
          <w:rFonts w:ascii="Arial" w:cs="Arial" w:eastAsia="Arial" w:hAnsi="Arial"/>
          <w:sz w:val="17"/>
          <w:szCs w:val="17"/>
          <w:color w:val="auto"/>
        </w:rPr>
        <w:t>The home protection category is designed to help consumers protect their homes from pests and maintain external home areas.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insect control and rodenticide products are marketed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Ortho Max</w:t>
      </w:r>
      <w:r>
        <w:rPr>
          <w:rFonts w:ascii="Arial" w:cs="Arial" w:eastAsia="Arial" w:hAnsi="Arial"/>
          <w:sz w:val="24"/>
          <w:szCs w:val="24"/>
          <w:color w:val="auto"/>
          <w:vertAlign w:val="superscript"/>
        </w:rPr>
        <w:t>®</w:t>
      </w:r>
      <w:r>
        <w:rPr>
          <w:rFonts w:ascii="Arial" w:cs="Arial" w:eastAsia="Arial" w:hAnsi="Arial"/>
          <w:sz w:val="17"/>
          <w:szCs w:val="17"/>
          <w:color w:val="auto"/>
        </w:rPr>
        <w:t>, Home Defense Max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Bug B Gon Max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sub-brands, selective weed control products are marketed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Weed B Gon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sub-brand, while non-selective weed control products are marketed under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Groundclear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Internationally, products within this category are marketed under the Nexa Lotte</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Home Defence</w:t>
      </w:r>
      <w:r>
        <w:rPr>
          <w:rFonts w:ascii="Arial" w:cs="Arial" w:eastAsia="Arial" w:hAnsi="Arial"/>
          <w:sz w:val="24"/>
          <w:szCs w:val="24"/>
          <w:color w:val="auto"/>
          <w:vertAlign w:val="superscript"/>
        </w:rPr>
        <w:t>®</w:t>
      </w:r>
      <w:r>
        <w:rPr>
          <w:rFonts w:ascii="Arial" w:cs="Arial" w:eastAsia="Arial" w:hAnsi="Arial"/>
          <w:sz w:val="17"/>
          <w:szCs w:val="17"/>
          <w:color w:val="auto"/>
        </w:rPr>
        <w:t>, Weedol</w:t>
      </w:r>
      <w:r>
        <w:rPr>
          <w:rFonts w:ascii="Arial" w:cs="Arial" w:eastAsia="Arial" w:hAnsi="Arial"/>
          <w:sz w:val="24"/>
          <w:szCs w:val="24"/>
          <w:color w:val="auto"/>
          <w:vertAlign w:val="superscript"/>
        </w:rPr>
        <w:t>®</w:t>
      </w:r>
      <w:r>
        <w:rPr>
          <w:rFonts w:ascii="Arial" w:cs="Arial" w:eastAsia="Arial" w:hAnsi="Arial"/>
          <w:sz w:val="17"/>
          <w:szCs w:val="17"/>
          <w:color w:val="auto"/>
        </w:rPr>
        <w:t>, Pathclear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w:t>
      </w:r>
    </w:p>
    <w:p>
      <w:pPr>
        <w:spacing w:after="0" w:line="52"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7"/>
          <w:szCs w:val="17"/>
          <w:color w:val="auto"/>
        </w:rPr>
        <w:t>Since 1999, we have served as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the Company and Monsanto, we are jointly responsible with Monsanto for developing global consumer and trade marketing programs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We have responsibility for manufacturing conversion, distribution and logistics, and selling and marketing support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Monsanto continues to own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and provides significant oversight of the brand. In addition, Monsanto continues to own and operate the agricultural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 additional details regarding the Marketing Agreement, see “NOTE 7. MARKETING AGREEMENT” of the Notes to Consolidated Financial Statements included in this Annual Report on Form 10-K.</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p>
    <w:p>
      <w:pPr>
        <w:jc w:val="both"/>
        <w:ind w:firstLine="432"/>
        <w:spacing w:after="0" w:line="200"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provides residential and commercial lawn care, tree and shrub care and limited pest control services in the United States through periodic applications of fertilizer and control products. As of September 30, 2012,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had 84 Company-operated locations as well as 90 locations operated by independent franchisees.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fourth quarter of fiscal 2012, we completed the wind down of our professional seed business. As a result, effective in our fourth quarter of fiscal 2012, we classified our results of operations for all periods presented to reflect the professional seed business as a discontinued operation. See “NOTE 2. DISCONTINUED OPERATIONS” of the Notes to Consolidated Financial Statements included in this Annual Report on Form 10-K for additional information regarding the wind down of the professional seed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sell our consumer products primarily to home centers, mass merchandisers, warehouse clubs, large hardware chains, independent hardware stores, nurseries, garden centers and food and drug stores through both a direct sales force and our network of brokers and distributors. In addition, during fiscal 2012, we employed approximately 2,800 full-time and seasonal in-store associates within the U.S. to help our retail partners merchandise their lawn and garden departments directly to consumers of our products.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majority of shipments to customers are made via common carriers or through distributors in the United States and through a network of public warehouses and distributors in Europe. We primarily utilize third parties to manage the key distribution centers for our Global Consumer business in North America, which are strategically placed across the United States and Canada. The primary distribution centers for our Global Consumer business internationally are located in the United Kingdom, France, Germany, Austria and Australia and are also managed by third-party logistics providers. Growing media products are generally shipped direct-to-store without passing through a distribution center. Fiscal 2012 marked year four of our multi-year plan to co-distribute lawn fertilizer and growing media products directly to our retail customers, which to date has helped eliminate the need for approximately 25% of our third-party warehouse space.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raw materials for our products from various sources. We are subject to market risk as a result of the fluctuating prices of raw materials such as urea and other fertilizer inputs, resins, diesel, gasoline, sphagnum peat, bark, grass seed and wild bird food grains. Our objectives surrounding the procurement of these materials are to ensure continuous supply, to minimize costs and to improve predictability. We seek to achieve these objectives through negotiation of contracts with favorable terms directly with vendors. When appropriate, we commit to purchase a certain percentage of our needs in advance of the season to secure pre-determined prices. We also hedge certain commodities, particularly diesel, gasoline and urea, to improve predictability and control costs. Sufficient raw materials were available during fiscal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4" w:lineRule="exact"/>
        <w:rPr>
          <w:sz w:val="20"/>
          <w:szCs w:val="20"/>
          <w:color w:val="auto"/>
        </w:rPr>
      </w:pPr>
    </w:p>
    <w:p>
      <w:pPr>
        <w:jc w:val="both"/>
        <w:ind w:firstLine="432"/>
        <w:spacing w:after="0" w:line="205" w:lineRule="auto"/>
        <w:rPr>
          <w:sz w:val="20"/>
          <w:szCs w:val="20"/>
          <w:color w:val="auto"/>
        </w:rPr>
      </w:pPr>
      <w:r>
        <w:rPr>
          <w:rFonts w:ascii="Arial" w:cs="Arial" w:eastAsia="Arial" w:hAnsi="Arial"/>
          <w:sz w:val="18"/>
          <w:szCs w:val="18"/>
          <w:color w:val="auto"/>
        </w:rPr>
        <w:t>We consider our trademarks, patents and licenses to be key competitive advantages. We pursue a vigorous trademark protection strategy consisting of registration and maintenance of key trademarks and proactive monitoring and enforcement activities to protect against infringement. The Scotts</w:t>
      </w:r>
      <w:r>
        <w:rPr>
          <w:rFonts w:ascii="Arial" w:cs="Arial" w:eastAsia="Arial" w:hAnsi="Arial"/>
          <w:sz w:val="25"/>
          <w:szCs w:val="25"/>
          <w:color w:val="auto"/>
          <w:vertAlign w:val="superscript"/>
        </w:rPr>
        <w:t>®</w:t>
      </w:r>
      <w:r>
        <w:rPr>
          <w:rFonts w:ascii="Arial" w:cs="Arial" w:eastAsia="Arial" w:hAnsi="Arial"/>
          <w:sz w:val="18"/>
          <w:szCs w:val="18"/>
          <w:color w:val="auto"/>
        </w:rPr>
        <w:t>, Miracle-Gro</w:t>
      </w:r>
      <w:r>
        <w:rPr>
          <w:rFonts w:ascii="Arial" w:cs="Arial" w:eastAsia="Arial" w:hAnsi="Arial"/>
          <w:sz w:val="25"/>
          <w:szCs w:val="25"/>
          <w:color w:val="auto"/>
          <w:vertAlign w:val="superscript"/>
        </w:rPr>
        <w:t>®</w:t>
      </w:r>
      <w:r>
        <w:rPr>
          <w:rFonts w:ascii="Arial" w:cs="Arial" w:eastAsia="Arial" w:hAnsi="Arial"/>
          <w:sz w:val="18"/>
          <w:szCs w:val="18"/>
          <w:color w:val="auto"/>
        </w:rPr>
        <w:t>, Ortho</w:t>
      </w:r>
      <w:r>
        <w:rPr>
          <w:rFonts w:ascii="Arial" w:cs="Arial" w:eastAsia="Arial" w:hAnsi="Arial"/>
          <w:sz w:val="25"/>
          <w:szCs w:val="25"/>
          <w:color w:val="auto"/>
          <w:vertAlign w:val="superscript"/>
        </w:rPr>
        <w:t>®</w:t>
      </w:r>
      <w:r>
        <w:rPr>
          <w:rFonts w:ascii="Arial" w:cs="Arial" w:eastAsia="Arial" w:hAnsi="Arial"/>
          <w:sz w:val="18"/>
          <w:szCs w:val="18"/>
          <w:color w:val="auto"/>
        </w:rPr>
        <w:t>,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Hyponex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Earthgro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25"/>
          <w:szCs w:val="25"/>
          <w:color w:val="auto"/>
          <w:vertAlign w:val="superscript"/>
        </w:rPr>
        <w:t>®</w:t>
      </w:r>
      <w:r>
        <w:rPr>
          <w:rFonts w:ascii="Arial" w:cs="Arial" w:eastAsia="Arial" w:hAnsi="Arial"/>
          <w:sz w:val="18"/>
          <w:szCs w:val="18"/>
          <w:color w:val="auto"/>
        </w:rPr>
        <w:t>, EZ Seed</w:t>
      </w:r>
      <w:r>
        <w:rPr>
          <w:rFonts w:ascii="Arial" w:cs="Arial" w:eastAsia="Arial" w:hAnsi="Arial"/>
          <w:sz w:val="25"/>
          <w:szCs w:val="25"/>
          <w:color w:val="auto"/>
          <w:vertAlign w:val="superscript"/>
        </w:rPr>
        <w:t>®</w:t>
      </w:r>
      <w:r>
        <w:rPr>
          <w:rFonts w:ascii="Arial" w:cs="Arial" w:eastAsia="Arial" w:hAnsi="Arial"/>
          <w:sz w:val="18"/>
          <w:szCs w:val="18"/>
          <w:color w:val="auto"/>
        </w:rPr>
        <w:t>, Snap</w:t>
      </w:r>
      <w:r>
        <w:rPr>
          <w:rFonts w:ascii="Arial" w:cs="Arial" w:eastAsia="Arial" w:hAnsi="Arial"/>
          <w:sz w:val="25"/>
          <w:szCs w:val="25"/>
          <w:color w:val="auto"/>
          <w:vertAlign w:val="superscript"/>
        </w:rPr>
        <w:t>®</w:t>
      </w:r>
      <w:r>
        <w:rPr>
          <w:rFonts w:ascii="Arial" w:cs="Arial" w:eastAsia="Arial" w:hAnsi="Arial"/>
          <w:sz w:val="18"/>
          <w:szCs w:val="18"/>
          <w:color w:val="auto"/>
        </w:rPr>
        <w:t>, Organic Choice</w:t>
      </w:r>
      <w:r>
        <w:rPr>
          <w:rFonts w:ascii="Arial" w:cs="Arial" w:eastAsia="Arial" w:hAnsi="Arial"/>
          <w:sz w:val="25"/>
          <w:szCs w:val="25"/>
          <w:color w:val="auto"/>
          <w:vertAlign w:val="superscript"/>
        </w:rPr>
        <w:t>®</w:t>
      </w:r>
      <w:r>
        <w:rPr>
          <w:rFonts w:ascii="Arial" w:cs="Arial" w:eastAsia="Arial" w:hAnsi="Arial"/>
          <w:sz w:val="18"/>
          <w:szCs w:val="18"/>
          <w:color w:val="auto"/>
        </w:rPr>
        <w:t>, Home Defense Max</w:t>
      </w:r>
      <w:r>
        <w:rPr>
          <w:rFonts w:ascii="Arial" w:cs="Arial" w:eastAsia="Arial" w:hAnsi="Arial"/>
          <w:sz w:val="25"/>
          <w:szCs w:val="25"/>
          <w:color w:val="auto"/>
          <w:vertAlign w:val="superscript"/>
        </w:rPr>
        <w:t>®</w:t>
      </w:r>
      <w:r>
        <w:rPr>
          <w:rFonts w:ascii="Arial" w:cs="Arial" w:eastAsia="Arial" w:hAnsi="Arial"/>
          <w:sz w:val="18"/>
          <w:szCs w:val="18"/>
          <w:color w:val="auto"/>
        </w:rPr>
        <w:t>, Nature Scapes</w:t>
      </w:r>
      <w:r>
        <w:rPr>
          <w:rFonts w:ascii="Arial" w:cs="Arial" w:eastAsia="Arial" w:hAnsi="Arial"/>
          <w:sz w:val="25"/>
          <w:szCs w:val="25"/>
          <w:color w:val="auto"/>
          <w:vertAlign w:val="superscript"/>
        </w:rPr>
        <w:t>®</w:t>
      </w:r>
      <w:r>
        <w:rPr>
          <w:rFonts w:ascii="Arial" w:cs="Arial" w:eastAsia="Arial" w:hAnsi="Arial"/>
          <w:sz w:val="18"/>
          <w:szCs w:val="18"/>
          <w:color w:val="auto"/>
        </w:rPr>
        <w:t>and Weed B Gon Max</w:t>
      </w:r>
      <w:r>
        <w:rPr>
          <w:rFonts w:ascii="Arial" w:cs="Arial" w:eastAsia="Arial" w:hAnsi="Arial"/>
          <w:sz w:val="25"/>
          <w:szCs w:val="25"/>
          <w:color w:val="auto"/>
          <w:vertAlign w:val="superscript"/>
        </w:rPr>
        <w:t>®</w:t>
      </w:r>
      <w:r>
        <w:rPr>
          <w:rFonts w:ascii="Arial" w:cs="Arial" w:eastAsia="Arial" w:hAnsi="Arial"/>
          <w:sz w:val="18"/>
          <w:szCs w:val="18"/>
          <w:color w:val="auto"/>
        </w:rPr>
        <w:t>, are registered in the United States and/or internationally and are considered material to our business.</w:t>
      </w:r>
    </w:p>
    <w:p>
      <w:pPr>
        <w:spacing w:after="0" w:line="1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actively develop and maintain a vast portfolio of utility and design patents covering subject matter such as fertilizer,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any of our business segments or the business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business is highly seasonal, with approximately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anticipate significant orders for the upcoming spring season will start to be received late in the winter and continue through the spring season.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substantially all orders are received and shipped within the same fiscal year with minimal carryover of open orders at the end of the fiscal year.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Approximately 89.8% of our worldwide net sales in fiscal 2012 were made by our Global Consumer segment. Our three largest customers are reported within the Global Consumer segment and are the only customers that individually represent more than 10% of reported consolidated net sales. Approximately 32.2% of our net sales in fiscal 2012 were made to Home Depot, 18.4% to Lowe’s and 14.7% to Walmart. We face strong competition for the business of these significant customers. The loss of any of these customers or a substantial decrease in the volume or profitability of our business with any of these customers could have a material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markets in which we sell our products are highly competitive. In the United States lawn and garden and pest control markets, our products compete against private-label as well as branded products. Primary competitors include Spectrum Brands, Bayer AG, Central Garden &amp; Pet Company, Enforcer Products, Inc., Kellogg Garden Products, Old Castle Retail, Inc., Infinity Lawn and Garden Inc. and Lebanon Seaboard Corporation. In addition, we face competition from regional competitors who compete primarily on the basis of price for commodity growing media products.</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Internationally, we face strong competition in the lawn and garden market, particularly in Europe. Our competitors in the European Union include Bayer AG, Compo GmbH, Westland Horticulture and a variety of local companies.</w:t>
      </w:r>
    </w:p>
    <w:p>
      <w:pPr>
        <w:spacing w:after="0" w:line="116" w:lineRule="exact"/>
        <w:rPr>
          <w:sz w:val="20"/>
          <w:szCs w:val="20"/>
          <w:color w:val="auto"/>
        </w:rPr>
      </w:pPr>
    </w:p>
    <w:p>
      <w:pPr>
        <w:jc w:val="both"/>
        <w:ind w:firstLine="432"/>
        <w:spacing w:after="0" w:line="203" w:lineRule="auto"/>
        <w:rPr>
          <w:sz w:val="20"/>
          <w:szCs w:val="20"/>
          <w:color w:val="auto"/>
        </w:rPr>
      </w:pPr>
      <w:r>
        <w:rPr>
          <w:rFonts w:ascii="Arial" w:cs="Arial" w:eastAsia="Arial" w:hAnsi="Arial"/>
          <w:sz w:val="18"/>
          <w:szCs w:val="18"/>
          <w:color w:val="auto"/>
        </w:rPr>
        <w:t>We have the second largest market share position in the fragmented U.S. lawn care service market. We compete against TruGreen</w:t>
      </w:r>
      <w:r>
        <w:rPr>
          <w:rFonts w:ascii="Arial" w:cs="Arial" w:eastAsia="Arial" w:hAnsi="Arial"/>
          <w:sz w:val="25"/>
          <w:szCs w:val="25"/>
          <w:color w:val="auto"/>
          <w:vertAlign w:val="superscript"/>
        </w:rPr>
        <w:t>®</w:t>
      </w:r>
      <w:r>
        <w:rPr>
          <w:rFonts w:ascii="Arial" w:cs="Arial" w:eastAsia="Arial" w:hAnsi="Arial"/>
          <w:sz w:val="18"/>
          <w:szCs w:val="18"/>
          <w:color w:val="auto"/>
        </w:rPr>
        <w:t>, a division of ServiceMaster</w:t>
      </w:r>
      <w:r>
        <w:rPr>
          <w:rFonts w:ascii="Arial" w:cs="Arial" w:eastAsia="Arial" w:hAnsi="Arial"/>
          <w:sz w:val="25"/>
          <w:szCs w:val="25"/>
          <w:color w:val="auto"/>
          <w:vertAlign w:val="superscript"/>
        </w:rPr>
        <w:t>®</w:t>
      </w:r>
      <w:r>
        <w:rPr>
          <w:rFonts w:ascii="Arial" w:cs="Arial" w:eastAsia="Arial" w:hAnsi="Arial"/>
          <w:sz w:val="18"/>
          <w:szCs w:val="18"/>
          <w:color w:val="auto"/>
        </w:rPr>
        <w:t>, which has a substantially larger share of this market than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as well as numerous regional and local lawn care service operations and national and regional franchisors.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$50.8 million, $50.9 million and $47.3 million in fiscal 2012, fiscal 2011 and fiscal 2010, respectively, including product registration costs of $14.0 million, $14.6 million and $12.1 million, respectively. In addition to the benefits of our own research and development, we actively seek ways to leverage the research and development activities of our suppliers and other business partners.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Local, state, federal and foreign laws and regulations affect the manufacture, sale and application of our products in several ways. For example, in the United States, products containing pesticides must comply with the Federal Insecticide, Fungicide, and Rodenticide Act of 1947, as amended (“FIFRA”), and be registered with the U.S. Environmental Protection Agency (the “U.S. EPA”) and similar state agencies before they can be sold or distributed. Fertilizer and growing media products are subject to state and foreign labeling regulations. Our manufacturing operations are subject to waste, water and air quality permitting and other regulatory requirements of federal, state and foreign agencies. Our wild bird food business is subject to regulation by the U.S. Food and Drug Administration and various state regulations. Our grass seed products are regulated by the Federal Seed Act and various state regulations. Most states require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locations and/or technicians to comply with strict licensing requirements prior to applying many of our products. The failure to comply with any of these laws or regulations could have an adverse effect on our business.</w:t>
      </w:r>
    </w:p>
    <w:p>
      <w:pPr>
        <w:spacing w:after="0" w:line="1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more information regarding how compliance with federal, state, local and foreign laws and regulations may affect us, see “ITEM 1A. RISK FACTORS — Compliance with environmental and other public health regulations could increase our costs of doing business or limit our ability to market all of our products” of this Annual Report on Form 10-K.</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FIFRA Compliance, the Corresponding Governmental Investigations and Similar Matters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April 2008, we became aware that a former associate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Department of Justice (the “U.S. DOJ”) in related civil and criminal investigations into our pesticide product registration issues as well as a state civil investigation into related allegations arising under state pesticide registration laws and regulations.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In late April 2008, in connection with the U.S. EPA’s investigation, we conducted a consumer-level recall of certain consumer lawn and garden products and 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complete, and the results of the QAI review process did not materially affect our fiscal 2010, fiscal 2011 or fiscal 2012 sales.</w:t>
      </w:r>
    </w:p>
    <w:p>
      <w:pPr>
        <w:spacing w:after="0" w:line="13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2010, fiscal 2011 or fiscal 2012 financial condition, results of operations or cash flows.</w:t>
      </w:r>
    </w:p>
    <w:p>
      <w:pPr>
        <w:spacing w:after="0" w:line="10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Settlement discussions relating to potential fines and/or penalties are a frequent outgrowth of governmental investigations. In that regard, on or about June 30, 2011, we received a Notice of Intent to File Administrative Complaint (“Notice”) from the U.S. EPA Region 5 with respect to the alleged FIFRA violations. The Notice, which did not set forth a proposed penalty amount,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offered us an opportunity to present any information we believed the U.S. EPA should consider prior to filing the complaint and indicated that the U.S. EPA was prepared to meet with us to discuss the alleged violations. We made a timely response to the Notice and engaged in settlement meetings culminating in the signing of a Consent Agreement and Final Order ("CAFO"), in September, 2012 in which the Company neither admitted nor denied the allegations in the CAFO. The government's transmittal letter stated that the CAFO concluded the government civil investigation and enforcement action. Pursuant to the CAFO, we were required to pay a civil penalty in the amount of $6.05 million and agreed to pay an additional $2.0 million for a Supplemental Environmental Project (“SEP”), paid to the Black Swamp Conservancy, for conservation efforts on three separate parcels of land. The Scotts Miracle-Gro Company undertook these projects as part of a settlement of the United States Environmental Protection Agency's enforcement action against it for alleged violations of Sections 12(a)(1)(A),(B),(C) and (E) of FIFRA, 7 U.S.C. § 136j(a)(1)(A),(B), (C) and (E). As part of the CAFO, the Company must monitor the conservation efforts of the Black Swamp Conservancy and submit a completion report to the U.S. EPA by February 28, 2014, designating the conclusion of all agreed to conservation efforts. Our accrual as of September 30, 2012 includes the full amount of the civil penalty and other amounts payable under the CAFO.</w:t>
      </w:r>
    </w:p>
    <w:p>
      <w:pPr>
        <w:spacing w:after="0" w:line="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previously disclosed, we engaged in settlement discussions with the U.S. DOJ regarding its criminal investigation. On January 25, 2012, a Plea Agreement, executed by us and the U.S. DOJ, was filed with the United States District Court for the Southern District of Ohio. Under the terms of the Plea Agreement, we agreed to plead guilty to ten misdemeanor FIFRA counts in connection with the former employee's conduct and one misdemeanor FIFRA count in connection with the misapplication of insecticide to wild bird food products. As part of the agreement, Scotts Miracle-Gro was required to pay a $4.0 million penalty to the United States and to provide $0.1 million to each of five programs designed to enhance and protect the natural environment, particularly habitats for the bird populations that the U.S. EPA’s regulation of pesticides is designed to protect. As part of the Plea Agreement, the U.S. DOJ agreed not to criminally prosecute us for any other federal crimes relating to any potential FIFRA violations known to the government as of the date of the Plea Agreement. The United States District Court for the Southern District of Ohio accepted the plea on March 13, 2012, and the sentence was imposed on September 7, 2012, resolving the U.S. DOJ investigation into pesticide product registration issues. Our accrual as of September 30, 2012 includes the full amount of the criminal penalty and other amounts payable under the Plea Agreement.</w:t>
      </w:r>
    </w:p>
    <w:p>
      <w:pPr>
        <w:spacing w:after="0" w:line="20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Additionally, in connection with the sale of wild bird food products that were the subject of the recall discussed above,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The plaintiffs seek on behalf of themselves and various purported class members monetary damages, restitution, injunctive relief, declaratory relief, attorney's fees, interest and costs. The Company intends to vigorously defend the consolidated action. Given the early stages of the action, the Company cannot make a determination as to whether it could have a material effect on the Company's financial condition, results of operations or cash flows and has not created any accruals or accounting reserves with respect thereto.</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or about October 28, 2011, the Pennsylvania Department of Environmental Protection (the “Department”) sent a letter to EG Systems, Inc., d/b/a Scotts LawnService (“SLS”), a wholly-owned, indirect subsidiary of Scotts Miracle-Gro, alleging that on June 30 and July 1, 2010, an SLS employee discharged industrial waste into the waters of the Commonwealth in violation of the Clean Streams Law and the Solid Waste Management Act. The letter indicated that the Department was willing to accept a civil penalty of $200,000 to resolve the matter in lieu of a civil penalty action. SLS made a timely response, and on February 22, 2012, SLS and the Department entered into a Consent Assessment of Civil Penalty pursuant to which SLS agreed to pay a civil penalty of $160,000 to resolve the matter.</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2012, $4.9 million was accrued for non-FIFRA compliance-related environmental actions, the majority of which is for site remediation. During fiscal 2012, fiscal 2011 and fiscal 2010, we expensed $0.8 million, $2.4 million and $0.5 million, respectively, for non-FIFRA compliance-related environmental matters. We had no material capital expenditures during the last three fiscal years related to environmental or regulatory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2012, we employed approximately 6,100 employees. During peak sales and production periods, we employ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9,000 employees, including seasonal and temporary labor.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international revenues and long-lived assets, see “NOTE 22. SEGMENT INFORMATION”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2012 Annual Report to Shareholders (our “2012 Annual Report”),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Annual Report on Form 10-K and our 2012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2012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continuing evaluations.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Most states require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locations and/or technicians to comply with strict licensing requirements prior to applying many of our products.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regulation.</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certain environmental laws, we may be liable for the costs of investigation regarding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our retail customers and consumers, which may materially and adversely affect our business operations, decrease sales and increase costs.</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certain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in order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costs could adversely affect our results of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particularly urea, can be affected by numerous forces beyond our control, including political instability, trade restrictions and other government regulations, duties and tariffs, price controls, changes in currency exchange rates and weather.</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as a means to hedge our variable interest rate exposure on debt instruments as well as foreign currency swap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or cash flows. Our inability to continue to develop and grow brands with leading market positions, maintain our relationships with key retailers and deliver products on a reliable basis at competitive prices could have a material adverse effect on us.</w:t>
      </w:r>
    </w:p>
    <w:p>
      <w:pPr>
        <w:spacing w:after="0" w:line="20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products or improve existing products or maintain our effectiveness in reaching consumers through rapidly evolving communication vehicles.</w:t>
      </w:r>
    </w:p>
    <w:p>
      <w:pPr>
        <w:spacing w:after="0" w:line="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future success depends, in part, upon our ability to improve our existing products and to develop, manufacture and market new, innovative products to meet evolving consumer needs, as well as our ability to leverage new mediums such as digital media and social networks to reach existing and potential consumers. We cannot be certain that we will be successful in the development, manufacturing and marketing of new products or product innovations which satisfy consumer needs or achieve market acceptance, or that we will develop and market new products or product innovations in a timely manner. If we fail to successfully develop, manufacture and market new or enhanced products or develop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new products and product innovations require substantial research, development and marketing expenditures, which we may be unable to recoup if such new products or innovations do not achieve market acceptance.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innovations, further exacerbating the risks to our business.</w:t>
      </w:r>
    </w:p>
    <w:p>
      <w:pPr>
        <w:spacing w:after="0" w:line="208"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significant reduction in orders from, our top customers could adversely affect our financial results.</w:t>
      </w:r>
    </w:p>
    <w:p>
      <w:pPr>
        <w:spacing w:after="0" w:line="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Global Consumer net sales represented approximately 89.8% of our worldwide net sales in fiscal 2012. Our top three retail customers together accounted for 65.3% of our fiscal 2012 net sales and 50.9% of our outstanding accounts receivable as of September 30, 2012. Home Depot, Lowe’s and Walmart represented approximately 32.2%, 18.4% and 14.7%, respectively, of our fiscal 2012 net sales. The loss of, or reduction in orders from, Home Depot, Lowe’s, Walmart or any other significant customer could have a material adverse effect on our business, financial condition, results of operations or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or cash flows.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key retailers whose bargaining strength is strong. To the extent such concentration continues to occur, our net sales and income from operations may be increasingly sensitive to deterioration in the financial condition of, or other adverse developments involving our relationship with, one or more of our customers. In addition, our business may be negatively affected by changes in the policies of our retailers, such as inventory destocking, limitations on access to shelf space, price demands and other conditions.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service delays to our customers.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experiences other financial distress, we could experience disruptions in production, which could have a material adverse effect on our financial results.</w:t>
      </w:r>
    </w:p>
    <w:p>
      <w:pPr>
        <w:spacing w:after="0" w:line="19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and work stoppages. A significant interruption in the operation of our or our suppliers’ facilities could significantly impact our capacity to produce products and service our retail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Adverse weather conditions could adversely impact financial results.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abnormally dry periods or droughts, and other severe weather conditions or events could adversely affect fertilizer, pesticide and insecticide sales and, therefore, our financial results.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2012, we had $782.6 million of debt. Our inability to meet restrictive financial and non-financial covenants associated with that debt could adversely affect our financial condition.</w:t>
      </w:r>
    </w:p>
    <w:p>
      <w:pPr>
        <w:spacing w:after="0" w:line="1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ability to make payments on our indebtedness, fund planned capital expenditures and acquisitions, pay dividends and make share repurchases depends on our ability to generate cash in the future. This, to some extent, is subject to general economic, financial, competitive, legislative, regulatory and other factors that are beyond our control. We cannot assure you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credit facility, the indenture governing our 7.25% Senior Notes due 2018 (the “7.25% Senior Notes”) and the indenture governing our 6.625% Senior Notes due 2020 (the “6.625% Senior Notes” and, collectively with the 7.25% Senior Notes, the “Senior Notes”) contain restrictive covenants and cross-default provisions. In addition, our credit facility requires us to maintain specified financial ratios. Our ability to comply with those covenants and satisfy those financial ratios can be affected by events beyond our control. A breach of any of those financial ratio covenants or other covenants could result in a default. Upon the occurrence of such an event of default, the lenders could elect to declare all of the outstanding indebtedness immediately due and payable and terminate all commitments to extend further credit. We cannot assure you that our lenders would waive a default or that we could pay the indebtedness in full if it were accelerated.</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our Senior Notes, we may incur additional debt in the future. If we incur additional debt, the risks described above could intensify.</w:t>
      </w:r>
    </w:p>
    <w:p>
      <w:pPr>
        <w:spacing w:after="0" w:line="19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1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2012, international net sales, including Canada, accounted for approximately 17.2% of our total net sales. Accordingly, we are subject to risks associated with operating in foreign countries, including:</w:t>
      </w:r>
    </w:p>
    <w:p>
      <w:pPr>
        <w:spacing w:after="0" w:line="127" w:lineRule="exact"/>
        <w:rPr>
          <w:sz w:val="20"/>
          <w:szCs w:val="20"/>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or cash flows in the future.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Failure of our key information technology systems could adversely impact our ability to conduct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 names and other intellectual property rights we own or license, particularly our registered brand names and issued patents. We have not sought to register every one of our marks either in the United States or in every country in which they are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or results of operations.</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under our recognized brand names, which could have a material adverse effect on our business, financial condition or results of operations.</w:t>
      </w:r>
    </w:p>
    <w:p>
      <w:pPr>
        <w:spacing w:after="0" w:line="200" w:lineRule="exact"/>
        <w:rPr>
          <w:sz w:val="20"/>
          <w:szCs w:val="20"/>
          <w:color w:val="auto"/>
        </w:rPr>
      </w:pPr>
    </w:p>
    <w:p>
      <w:pPr>
        <w:jc w:val="both"/>
        <w:ind w:firstLine="216"/>
        <w:spacing w:after="0" w:line="216" w:lineRule="auto"/>
        <w:rPr>
          <w:sz w:val="20"/>
          <w:szCs w:val="20"/>
          <w:color w:val="auto"/>
        </w:rPr>
      </w:pPr>
      <w:r>
        <w:rPr>
          <w:rFonts w:ascii="Arial" w:cs="Arial" w:eastAsia="Arial" w:hAnsi="Arial"/>
          <w:sz w:val="18"/>
          <w:szCs w:val="18"/>
          <w:b w:val="1"/>
          <w:bCs w:val="1"/>
          <w:i w:val="1"/>
          <w:iCs w:val="1"/>
          <w:color w:val="auto"/>
        </w:rPr>
        <w:t>If Monsanto were to terminate the Marketing Agreement for consumer Roundup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products, we would lose a substantial source of future earnings and overhead expense absorption.</w:t>
      </w:r>
    </w:p>
    <w:p>
      <w:pPr>
        <w:spacing w:after="0" w:line="68"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If we were to commit a serious default under the Marketing Agreement with Monsanto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Monsanto may have the right to terminate the Marketing Agreement. If Monsanto were to terminate the Marketing Agreement for cause, we would not be entitled to any termination fee. Monsanto may also be able to terminate the Marketing Agreement within a given region, including North America, without paying us a termination fee if unit volume sales to consumers in that region decline: (i) over a cumulative three-fiscal-year period; or (ii) by more than 5% for each of two consecutive years. If the Marketing Agreement was terminated for any reason, we would also lose all, or a substantial portion, of the significant source of earnings and overhead expense absorption the Marketing Agreement provides.</w:t>
      </w:r>
    </w:p>
    <w:p>
      <w:pPr>
        <w:spacing w:after="0" w:line="23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30% of our common shares and can significantly influence decisions that require the approval of shareholders.</w:t>
      </w:r>
    </w:p>
    <w:p>
      <w:pPr>
        <w:spacing w:after="0" w:line="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Hagedorn Partnership, L.P. beneficially owned approximately 30% of our outstanding common shares on a fully diluted basis as of November 13, 2012.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shares and voting control presently lies with Hagedorn Partnership, L.P. As such, it would be difficult for shareholders to propose and have approved proposals not supported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Hagedorn Partnership, L.P. Hagedorn Partnership, L.P. may have an interest in our pursuing transactions that it believes may enhance the value of its equity investment in us, even though such transactions may involve certain risks.</w:t>
      </w:r>
    </w:p>
    <w:p>
      <w:pPr>
        <w:spacing w:after="0" w:line="19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pursue acquisitions, dispositions, investments, dividends, share repurchases and/or other corporate transactions that we believe will maximize equity returns of our shareholders but may involve risks.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we consider opportunities for acquisitions of businesses, product lines or other assets, potential dispositions and other strategic transactions. These types of transactions may involve risks, such as risks of integration of acquired businesses and loss of cash flows and market positions of disposed businesses, the possibility that anticipated synergies from strategic acquisitions may not materialize, and the risk that sales of acquired products may not meet expectations.</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if our business performs according to our financial plan, subject to the discretion of our Board of Directors and to market and other conditions we may, over time, significantly increase the rate of dividends on, and the amount of repurchases of, our common shares. For example, in the fourth quarter of fiscal 2010 we doubled the amount of our quarterly cash dividend, and our Board of Directors authorized the repurchase of up to $500 million of Scotts Miracle-Gro common shares. In fiscal 2011 we increased the amount of our dividend by an additional 20% and our Board of Directors authorized the repurchase of up to an additional $200 million of our common shares. We increased the amount of our dividend again in fiscal 2012, and we may further increase the rate of dividends on, and the amount of repurchases of, our common shares in the future.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can be no assurance that we will effect any of these transactions or activities, but, if we do, certain risks may be increased, possibly materially.</w:t>
      </w:r>
    </w:p>
    <w:p>
      <w:pPr>
        <w:spacing w:after="0" w:line="3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own or lease numerous facilities throughout the world to support our business operations:</w:t>
      </w:r>
    </w:p>
    <w:p>
      <w:pPr>
        <w:spacing w:after="0" w:line="171" w:lineRule="exact"/>
        <w:rPr>
          <w:sz w:val="20"/>
          <w:szCs w:val="20"/>
          <w:color w:val="auto"/>
        </w:rPr>
      </w:pPr>
    </w:p>
    <w:p>
      <w:pPr>
        <w:jc w:val="both"/>
        <w:ind w:left="1140" w:hanging="646"/>
        <w:spacing w:after="0" w:line="272"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Global Consumer</w:t>
      </w:r>
      <w:r>
        <w:rPr>
          <w:rFonts w:ascii="Arial" w:cs="Arial" w:eastAsia="Arial" w:hAnsi="Arial"/>
          <w:sz w:val="17"/>
          <w:szCs w:val="17"/>
          <w:i w:val="1"/>
          <w:iCs w:val="1"/>
          <w:color w:val="auto"/>
        </w:rPr>
        <w:t xml:space="preserve"> — </w:t>
      </w:r>
      <w:r>
        <w:rPr>
          <w:rFonts w:ascii="Arial" w:cs="Arial" w:eastAsia="Arial" w:hAnsi="Arial"/>
          <w:sz w:val="17"/>
          <w:szCs w:val="17"/>
          <w:color w:val="auto"/>
        </w:rPr>
        <w:t>We own manufacturing, distribution, research and development and office facilities in Marysville, Ohio;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in Apopka, Florida and Gervais, Oregon; and manufacturing facilities in Pearl, Mississippi, Fort Madison, Iowa and Honea Path, South Carolina. We lease a spreader and other durable components manufacturing facility in Temecula, California. In addition, we operate 29 stand-alone growing media facilities in North America—24 of which are owned by the Company and five of which are leased. Most of these facilities include production lines, warehouses, offices and field processing areas. We also lease a fertilizer and growing media manufacturing facility and distribution center in Orrville, Ohio. We own three manufacturing facilities for our wild bird food operations in Indiana, South Dakota and Texas. We own a grass seed blending and bagging facility in Albany, Oregon.</w:t>
      </w:r>
    </w:p>
    <w:p>
      <w:pPr>
        <w:spacing w:after="0" w:line="42" w:lineRule="exact"/>
        <w:rPr>
          <w:rFonts w:ascii="Arial" w:cs="Arial" w:eastAsia="Arial" w:hAnsi="Arial"/>
          <w:sz w:val="17"/>
          <w:szCs w:val="17"/>
          <w:color w:val="auto"/>
        </w:rPr>
      </w:pPr>
    </w:p>
    <w:p>
      <w:pPr>
        <w:jc w:val="both"/>
        <w:ind w:left="1140"/>
        <w:spacing w:after="0" w:line="255" w:lineRule="auto"/>
        <w:rPr>
          <w:rFonts w:ascii="Arial" w:cs="Arial" w:eastAsia="Arial" w:hAnsi="Arial"/>
          <w:sz w:val="17"/>
          <w:szCs w:val="17"/>
          <w:color w:val="auto"/>
        </w:rPr>
      </w:pPr>
      <w:r>
        <w:rPr>
          <w:rFonts w:ascii="Arial" w:cs="Arial" w:eastAsia="Arial" w:hAnsi="Arial"/>
          <w:sz w:val="18"/>
          <w:szCs w:val="18"/>
          <w:color w:val="auto"/>
        </w:rPr>
        <w:t>We lease facilities for the headquarters of our international business (which also serves as our local French operations office) in Ecully (Lyon), France. We own a blending and bagging facility for growing media in Hautmont, France and a plant in Bourth, France that we use for formulating, blending and packaging plant protection products. We own manufacturing facilities in Howden (East Yorkshire), Hatfield (South Yorkshire), Gretna Green (Gretna) and Sutton Bridge (Spalding), all in the United Kingdom. We own three peat extraction facilities in Scotland and we lease land for peat extraction at two additional locations across the United Kingdom. We lease research and development facilities in Morance (Rhone), France and Cobbitty (NSW), Australia, and we own a research and development facility in Levington (Ipswich), United Kingdom.</w:t>
      </w:r>
    </w:p>
    <w:p>
      <w:pPr>
        <w:spacing w:after="0" w:line="135" w:lineRule="exact"/>
        <w:rPr>
          <w:rFonts w:ascii="Arial" w:cs="Arial" w:eastAsia="Arial" w:hAnsi="Arial"/>
          <w:sz w:val="17"/>
          <w:szCs w:val="17"/>
          <w:color w:val="auto"/>
        </w:rPr>
      </w:pPr>
    </w:p>
    <w:p>
      <w:pPr>
        <w:ind w:left="1140" w:hanging="646"/>
        <w:spacing w:after="0" w:line="216"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Scotts LawnService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We lease facilities for each of our 84 Company-operated Scotts LawnService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The facilities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industrial parks.</w:t>
      </w:r>
    </w:p>
    <w:p>
      <w:pPr>
        <w:spacing w:after="0" w:line="14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corporate headquarters are located in Marysville, Ohio, where we own or lease approximately 730 acres. We also lease office space for sales, marketing and general operating activities as well as distribution center and warehouse space throughout North America and continental Europe as needed. We believe that our facilities are adequate to serve their intended purposes and that our property leasing arrangements are satisfactory.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noted in the discussion in “ITEM 1. BUSINESS — Regulatory Considerations” of this Annual Report on Form 10-K, we are involved in several pending environmental and regulatory matters. We believe that our assessment of contingencies is reasonable and that related reserves, in the aggregate, are adequate; however, there can be no assurance that the final resolution of these matters will not have a material effect on our financial condition,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FIFRA Compliance, the Corresponding Governmental Investigations and Similar Matters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Information with respect to the resolution of the U.S. EPA and U.S. DOJ investigations into our pesticide product registration matters and a discussion of the costs and expenses related thereto is hereby incorporated by reference to "NOTE 3. PRODUCT REGISTRATION AND RECALL MATTERS" of the Notes to Consolidated Financial Statements included in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Matters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or about October 28, 2011, the Pennsylvania Department of Environmental Protection sent a letter to SLS alleging that on June 30 and July 1, 2010, an SLS employee discharged industrial waste into the waters of the Commonwealth in violation of the Clean Streams Law and the Solid Waste Management Act. The letter indicated that the Department was willing to accept a civil penalty of $200,000 to resolve the matter in lieu of a civil penalty action. SLS made a timely response, and on February 22, 2012, SLS and the Department entered into a Consent Assessment of Civil Penalty pursuant to which SLS agreed to pay a civil penalty of $160,000 to resolve the matter.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Significant Legal Proceedings</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None of the cases seek damages from us alone. We believe that the claims against us are without merit and are vigorously defending against them. It is not currently possible to reasonably estimate a probable loss, if any, associated with the cases and, accordingly, no accrual or reserves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our financial condition, results of operations or cash flows.</w:t>
      </w:r>
    </w:p>
    <w:p>
      <w:pPr>
        <w:spacing w:after="0" w:line="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noted in the discussion in "ITEM 1. BUSINESS — Regulatory Considerations" of this Annual Report on Form 10-K, we have been named as a defendant in four putative class actions associated with the Company's sale of wild bird food, which have now been consolidated in one action.</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effect on our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72"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u w:val="single" w:color="auto"/>
          <w:color w:val="auto"/>
        </w:rPr>
        <w:t>SUPPLEMENTAL ITEM.</w:t>
      </w:r>
      <w:r>
        <w:rPr>
          <w:sz w:val="20"/>
          <w:szCs w:val="20"/>
          <w:color w:val="auto"/>
        </w:rPr>
        <w:tab/>
      </w:r>
      <w:r>
        <w:rPr>
          <w:rFonts w:ascii="Arial" w:cs="Arial" w:eastAsia="Arial" w:hAnsi="Arial"/>
          <w:sz w:val="17"/>
          <w:szCs w:val="17"/>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executive officers of Scotts Miracle-Gro, their positions and, as of November 13, 2012, their ages and years with Scotts Miracle-Gro (and its predecessors)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Age</w:t>
            </w:r>
          </w:p>
        </w:tc>
        <w:tc>
          <w:tcPr>
            <w:tcW w:w="100" w:type="dxa"/>
            <w:vAlign w:val="bottom"/>
            <w:vMerge w:val="restart"/>
          </w:tcPr>
          <w:p>
            <w:pPr>
              <w:spacing w:after="0"/>
              <w:rPr>
                <w:sz w:val="14"/>
                <w:szCs w:val="14"/>
                <w:color w:val="auto"/>
              </w:rPr>
            </w:pPr>
          </w:p>
        </w:tc>
        <w:tc>
          <w:tcPr>
            <w:tcW w:w="6620" w:type="dxa"/>
            <w:vAlign w:val="bottom"/>
            <w:vMerge w:val="restart"/>
          </w:tcPr>
          <w:p>
            <w:pPr>
              <w:ind w:left="282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Hagedorn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Barry W. Sanders</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C. Evans</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Chief Financial Officer and Executive Vice President, Strategy and Business Development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Denise S. Stump</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Global Human Resources</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Vincent C. Brockman</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Secretary and Chief Ethics &amp; Compliance Officer</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James R. Lyski</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Marketing Officer</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employment agreements or other arrangements.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90"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7"/>
          <w:szCs w:val="17"/>
          <w:i w:val="1"/>
          <w:iCs w:val="1"/>
          <w:color w:val="auto"/>
        </w:rPr>
        <w:t xml:space="preserve">Mr. Hagedorn </w:t>
      </w:r>
      <w:r>
        <w:rPr>
          <w:rFonts w:ascii="Arial" w:cs="Arial" w:eastAsia="Arial" w:hAnsi="Arial"/>
          <w:sz w:val="17"/>
          <w:szCs w:val="17"/>
          <w:color w:val="auto"/>
        </w:rPr>
        <w:t>was named Chairman of the Board of Scotts Miracle-Gro’s predecessor in January 2003 and named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Scotts Miracle-Gro’s predecessor in May 2001. He also served as President of Scotts Miracle-Gro (or its predecessor) from November 2006 until October 2008 and from April 2000 until December 2005. Mr. Hagedorn serves on Scotts Miracle-Gro’s Board of Directors, a position he has held with Scotts Miracle-Gro (or its predecessor) since 1995. Mr. Hagedorn is the brother of Katherine Hagedorn Littlefield, a director of Scotts Miracle-Gro.</w:t>
      </w:r>
    </w:p>
    <w:p>
      <w:pPr>
        <w:spacing w:after="0" w:line="36"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18"/>
          <w:szCs w:val="18"/>
          <w:i w:val="1"/>
          <w:iCs w:val="1"/>
          <w:color w:val="auto"/>
        </w:rPr>
        <w:t xml:space="preserve">Mr. Sanders </w:t>
      </w:r>
      <w:r>
        <w:rPr>
          <w:rFonts w:ascii="Arial" w:cs="Arial" w:eastAsia="Arial" w:hAnsi="Arial"/>
          <w:sz w:val="18"/>
          <w:szCs w:val="18"/>
          <w:color w:val="auto"/>
        </w:rPr>
        <w:t>was named President of Scotts Miracle-Gro in October 2010 and named Chief Operating Officer of Scotts Miracle-Gro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2012. In this position, Mr. Sanders oversees all business unit and operating functions at the Company. Prior to his election as President and Chief Operating Officer, Mr. Sanders had served as the Company’s Executive Vice President, Global Consumer since June 2010. Previously, he served as Executive Vice President, North America of Scotts Miracle-Gro from October 2007 until June 2010. He served as Executive Vice President of Global Technology and Operations of Scotts Miracle-Gro from January to October 2007, where he was responsible for the Company’s supply chain and information systems, as well as research and development efforts. Before January 2007, he led the North American and global supply chain organizations as well as the North American sales force.</w:t>
      </w:r>
    </w:p>
    <w:p>
      <w:pPr>
        <w:spacing w:after="0" w:line="54" w:lineRule="exact"/>
        <w:rPr>
          <w:sz w:val="20"/>
          <w:szCs w:val="20"/>
          <w:color w:val="auto"/>
        </w:rPr>
      </w:pPr>
    </w:p>
    <w:p>
      <w:pPr>
        <w:jc w:val="both"/>
        <w:ind w:firstLine="878"/>
        <w:spacing w:after="0" w:line="312" w:lineRule="auto"/>
        <w:rPr>
          <w:sz w:val="20"/>
          <w:szCs w:val="20"/>
          <w:color w:val="auto"/>
        </w:rPr>
      </w:pPr>
      <w:r>
        <w:rPr>
          <w:rFonts w:ascii="Arial" w:cs="Arial" w:eastAsia="Arial" w:hAnsi="Arial"/>
          <w:sz w:val="16"/>
          <w:szCs w:val="16"/>
          <w:i w:val="1"/>
          <w:iCs w:val="1"/>
          <w:color w:val="auto"/>
        </w:rPr>
        <w:t xml:space="preserve">Mr. Evans </w:t>
      </w:r>
      <w:r>
        <w:rPr>
          <w:rFonts w:ascii="Arial" w:cs="Arial" w:eastAsia="Arial" w:hAnsi="Arial"/>
          <w:sz w:val="16"/>
          <w:szCs w:val="16"/>
          <w:color w:val="auto"/>
        </w:rPr>
        <w:t>was named Chief Financial Officer and Executive Vice President, Strategy and Business Development of Scotts Miracle-Gro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2011. Prior to that, he had served as Executive Vice President and Chief Financial Officer of Scotts Miracle-Gro since September 2006. From October 2005 to September 2006, he served as Senior Vice President, Finance and Global Shared Services of The Scotts Company LLC (“Scotts LLC”).</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Ms. Stump </w:t>
      </w:r>
      <w:r>
        <w:rPr>
          <w:rFonts w:ascii="Arial" w:cs="Arial" w:eastAsia="Arial" w:hAnsi="Arial"/>
          <w:sz w:val="16"/>
          <w:szCs w:val="16"/>
          <w:color w:val="auto"/>
        </w:rPr>
        <w:t>has served as Executive Vice President, Global Human Resources of Scotts Miracle-Gro (or its predecessor) since February 2003.</w:t>
      </w:r>
    </w:p>
    <w:p>
      <w:pPr>
        <w:spacing w:after="0" w:line="113" w:lineRule="exact"/>
        <w:rPr>
          <w:sz w:val="20"/>
          <w:szCs w:val="20"/>
          <w:color w:val="auto"/>
        </w:rPr>
      </w:pPr>
    </w:p>
    <w:p>
      <w:pPr>
        <w:jc w:val="both"/>
        <w:ind w:firstLine="878"/>
        <w:spacing w:after="0" w:line="312" w:lineRule="auto"/>
        <w:rPr>
          <w:sz w:val="20"/>
          <w:szCs w:val="20"/>
          <w:color w:val="auto"/>
        </w:rPr>
      </w:pPr>
      <w:r>
        <w:rPr>
          <w:rFonts w:ascii="Arial" w:cs="Arial" w:eastAsia="Arial" w:hAnsi="Arial"/>
          <w:sz w:val="16"/>
          <w:szCs w:val="16"/>
          <w:i w:val="1"/>
          <w:iCs w:val="1"/>
          <w:color w:val="auto"/>
        </w:rPr>
        <w:t xml:space="preserve">Mr. Brockman </w:t>
      </w:r>
      <w:r>
        <w:rPr>
          <w:rFonts w:ascii="Arial" w:cs="Arial" w:eastAsia="Arial" w:hAnsi="Arial"/>
          <w:sz w:val="16"/>
          <w:szCs w:val="16"/>
          <w:color w:val="auto"/>
        </w:rPr>
        <w:t>was named Executive Vice President, General Counsel and Corporate Secretary of Scotts Miracle-Gro in January 2008 and was</w:t>
      </w:r>
      <w:r>
        <w:rPr>
          <w:rFonts w:ascii="Arial" w:cs="Arial" w:eastAsia="Arial" w:hAnsi="Arial"/>
          <w:sz w:val="16"/>
          <w:szCs w:val="16"/>
          <w:i w:val="1"/>
          <w:iCs w:val="1"/>
          <w:color w:val="auto"/>
        </w:rPr>
        <w:t xml:space="preserve"> </w:t>
      </w:r>
      <w:r>
        <w:rPr>
          <w:rFonts w:ascii="Arial" w:cs="Arial" w:eastAsia="Arial" w:hAnsi="Arial"/>
          <w:sz w:val="16"/>
          <w:szCs w:val="16"/>
          <w:color w:val="auto"/>
        </w:rPr>
        <w:t>also named Chief Ethics &amp; Compliance Officer in May 2009. From April 2006 until January 2008, he served as Chief Ethics &amp; Compliance Officer and Chief Administrative Officer of Scotts LLC. Prior to April 2006, he had served as Chief Ethics &amp; Compliance Officer of Scotts LLC (or its predecessor) since 2004.</w:t>
      </w:r>
    </w:p>
    <w:p>
      <w:pPr>
        <w:spacing w:after="0" w:line="12" w:lineRule="exact"/>
        <w:rPr>
          <w:sz w:val="20"/>
          <w:szCs w:val="20"/>
          <w:color w:val="auto"/>
        </w:rPr>
      </w:pPr>
    </w:p>
    <w:p>
      <w:pPr>
        <w:jc w:val="both"/>
        <w:ind w:firstLine="878"/>
        <w:spacing w:after="0" w:line="302" w:lineRule="auto"/>
        <w:rPr>
          <w:sz w:val="20"/>
          <w:szCs w:val="20"/>
          <w:color w:val="auto"/>
        </w:rPr>
      </w:pPr>
      <w:r>
        <w:rPr>
          <w:rFonts w:ascii="Arial" w:cs="Arial" w:eastAsia="Arial" w:hAnsi="Arial"/>
          <w:sz w:val="16"/>
          <w:szCs w:val="16"/>
          <w:i w:val="1"/>
          <w:iCs w:val="1"/>
          <w:color w:val="auto"/>
        </w:rPr>
        <w:t xml:space="preserve">Mr. Lyski </w:t>
      </w:r>
      <w:r>
        <w:rPr>
          <w:rFonts w:ascii="Arial" w:cs="Arial" w:eastAsia="Arial" w:hAnsi="Arial"/>
          <w:sz w:val="16"/>
          <w:szCs w:val="16"/>
          <w:color w:val="auto"/>
        </w:rPr>
        <w:t>was named Executive Vice President, Chief Marketing Officer of Scotts Miracle-Gro in April 2011. He had previously served as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Chief Marketing Officer since February 2011. Prior to joining Scotts Miracle-Gro, Mr. Lyski served as Executive Vice President, Chief Marketing Officer for Nationwide Mutual Insurance Company from October 2006 until January 2011, where he was responsible for corporate strategy, corporate marketing, brand management, advertising and communications. Mr. Lyski serves as President of the Board of Trustees for the Wexner Center Foundation.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both"/>
        <w:ind w:left="980" w:hanging="971"/>
        <w:spacing w:after="0" w:line="261"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4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common shares of Scotts Miracle-Gro (the “Common Shares”) trade on the New York Stock Exchange under the symbol “SMG.” The quarterly high and low sale prices for the fiscal years ended September 30, 2012 and 2011 were as follows:</w:t>
      </w:r>
    </w:p>
    <w:p>
      <w:pPr>
        <w:spacing w:after="0" w:line="297"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Sale Prices</w:t>
            </w:r>
          </w:p>
        </w:tc>
        <w:tc>
          <w:tcPr>
            <w:tcW w:w="10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22"/>
                <w:szCs w:val="22"/>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2012</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40.57</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46.17</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35.49</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37.97</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FISCAL 2011</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49.25</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48.99</w:t>
            </w: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48.52</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39.99</w:t>
            </w:r>
          </w:p>
        </w:tc>
      </w:tr>
    </w:tbl>
    <w:p>
      <w:pPr>
        <w:spacing w:after="0" w:line="22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 quarterly dividend of $0.25 per Common Share was paid in December, March and June of fiscal 2011. On August 8, 2011, Scotts Miracle-Gro announced that its Board of Directors had increased the quarterly cash dividend to $0.30 per Common Share, which was paid in September of fiscal 2011 and December, March and June of fiscal 2012. On August 9, 2012, Scotts Miracle-Gro announced that its Board of Directors had further increased the quarterly cash dividend to $0.325 per Common Share, which was first paid in September of fiscal 2012.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2.93 at September 30, 2012. See “NOTE 11. DEBT” of the Notes to Consolidated Financial Statements included in this Annual Report on Form 10-K for further discussion regarding the restrictions on dividend payments.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November 13, 2012, there were approximately 25,800 shareholders, including holders of record and our estimate of beneficial holders.</w:t>
      </w:r>
    </w:p>
    <w:p>
      <w:pPr>
        <w:spacing w:after="0" w:line="1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2012:</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 Common</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97"/>
              </w:rPr>
              <w:t>That May Yet</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 Common</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Paid per</w:t>
            </w:r>
          </w:p>
        </w:tc>
        <w:tc>
          <w:tcPr>
            <w:tcW w:w="1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as Part of Publicly</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Common</w:t>
            </w:r>
          </w:p>
        </w:tc>
        <w:tc>
          <w:tcPr>
            <w:tcW w:w="1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line="20" w:lineRule="exact"/>
              <w:rPr>
                <w:sz w:val="1"/>
                <w:szCs w:val="1"/>
                <w:color w:val="auto"/>
              </w:rPr>
            </w:pPr>
          </w:p>
        </w:tc>
      </w:tr>
      <w:tr>
        <w:trPr>
          <w:trHeight w:val="149"/>
        </w:trPr>
        <w:tc>
          <w:tcPr>
            <w:tcW w:w="340" w:type="dxa"/>
            <w:vAlign w:val="bottom"/>
          </w:tcPr>
          <w:p>
            <w:pPr>
              <w:spacing w:after="0"/>
              <w:rPr>
                <w:sz w:val="12"/>
                <w:szCs w:val="12"/>
                <w:color w:val="auto"/>
              </w:rPr>
            </w:pPr>
          </w:p>
        </w:tc>
        <w:tc>
          <w:tcPr>
            <w:tcW w:w="3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Announced Plans 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34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through July 28, 2012</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298,816,796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July 29 through August 25, 2012</w:t>
            </w: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
              <w:spacing w:after="0"/>
              <w:rPr>
                <w:sz w:val="20"/>
                <w:szCs w:val="20"/>
                <w:color w:val="auto"/>
              </w:rPr>
            </w:pPr>
            <w:r>
              <w:rPr>
                <w:rFonts w:ascii="Arial" w:cs="Arial" w:eastAsia="Arial" w:hAnsi="Arial"/>
                <w:sz w:val="18"/>
                <w:szCs w:val="18"/>
                <w:color w:val="auto"/>
              </w:rPr>
              <w:t>298,816,796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26 through September 30, 2012</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1,764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298,816,796</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1,932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jc w:val="right"/>
              <w:ind w:right="2514"/>
              <w:spacing w:after="0"/>
              <w:rPr>
                <w:sz w:val="20"/>
                <w:szCs w:val="20"/>
                <w:color w:val="auto"/>
              </w:rPr>
            </w:pPr>
            <w:r>
              <w:rPr>
                <w:rFonts w:ascii="Arial" w:cs="Arial" w:eastAsia="Arial" w:hAnsi="Arial"/>
                <w:sz w:val="18"/>
                <w:szCs w:val="18"/>
                <w:color w:val="auto"/>
                <w:w w:val="89"/>
              </w:rPr>
              <w:t>_____________</w:t>
            </w:r>
          </w:p>
        </w:tc>
        <w:tc>
          <w:tcPr>
            <w:tcW w:w="14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652"/>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jc w:val="both"/>
        <w:ind w:left="660"/>
        <w:spacing w:after="0" w:line="318" w:lineRule="auto"/>
        <w:rPr>
          <w:sz w:val="20"/>
          <w:szCs w:val="20"/>
          <w:color w:val="auto"/>
        </w:rPr>
      </w:pPr>
      <w:r>
        <w:rPr>
          <w:rFonts w:ascii="Arial" w:cs="Arial" w:eastAsia="Arial" w:hAnsi="Arial"/>
          <w:sz w:val="17"/>
          <w:szCs w:val="17"/>
          <w:color w:val="auto"/>
        </w:rPr>
        <w:t>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0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96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SELECTED FINANCIAL DATA</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97"/>
        </w:trPr>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9"/>
              </w:rPr>
              <w:t>Five-Year Summary</w:t>
            </w:r>
            <w:r>
              <w:rPr>
                <w:rFonts w:ascii="Arial" w:cs="Arial" w:eastAsia="Arial" w:hAnsi="Arial"/>
                <w:sz w:val="25"/>
                <w:szCs w:val="25"/>
                <w:b w:val="1"/>
                <w:bCs w:val="1"/>
                <w:color w:val="auto"/>
                <w:w w:val="99"/>
                <w:vertAlign w:val="superscript"/>
              </w:rPr>
              <w:t>(1)</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17"/>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3"/>
              </w:rPr>
              <w:t>Year Ended September 30,</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2008</w:t>
            </w: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520" w:type="dxa"/>
            <w:vAlign w:val="bottom"/>
            <w:gridSpan w:val="5"/>
          </w:tcPr>
          <w:p>
            <w:pPr>
              <w:jc w:val="right"/>
              <w:ind w:right="651"/>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Net sales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2,826.1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2,799.7</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2,873.0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2,715.3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2,506.8</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961.3</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1,085.6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986.7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826.4</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243.6</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274.8</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374.4</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273.4</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139.2</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207.7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140.9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40.9</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w w:val="99"/>
              </w:rPr>
              <w:t>Income (loss) from discontinued operations, net of tax</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w:t>
            </w:r>
          </w:p>
        </w:tc>
        <w:tc>
          <w:tcPr>
            <w:tcW w:w="5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(51.8)</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106.5</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204.1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153.3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r>
      <w:tr>
        <w:trPr>
          <w:trHeight w:val="270"/>
        </w:trPr>
        <w:tc>
          <w:tcPr>
            <w:tcW w:w="4640" w:type="dxa"/>
            <w:vAlign w:val="bottom"/>
            <w:gridSpan w:val="5"/>
          </w:tcPr>
          <w:p>
            <w:pPr>
              <w:ind w:left="40"/>
              <w:spacing w:after="0" w:line="270" w:lineRule="exact"/>
              <w:rPr>
                <w:sz w:val="20"/>
                <w:szCs w:val="20"/>
                <w:color w:val="auto"/>
              </w:rPr>
            </w:pPr>
            <w:r>
              <w:rPr>
                <w:rFonts w:ascii="Arial" w:cs="Arial" w:eastAsia="Arial" w:hAnsi="Arial"/>
                <w:sz w:val="18"/>
                <w:szCs w:val="18"/>
                <w:b w:val="1"/>
                <w:bCs w:val="1"/>
                <w:color w:val="auto"/>
              </w:rPr>
              <w:t>ADJUSTED OPERATING RESULTS</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Adjusted income from operations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258.9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266.5</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Adjusted income from continuing operations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124.9</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187.2</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226.0</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159.0</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123.0</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Working capital</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566.4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523.9</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381.3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382.7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414.5</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Current ratio</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427.4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394.7</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381.3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356.6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330.5</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2,074.4</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2,164.0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2,220.1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2,156.2</w:t>
            </w:r>
          </w:p>
        </w:tc>
      </w:tr>
      <w:tr>
        <w:trPr>
          <w:trHeight w:val="270"/>
        </w:trPr>
        <w:tc>
          <w:tcPr>
            <w:tcW w:w="464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Total debt to total book capitalization</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c>
          <w:tcPr>
            <w:tcW w:w="420" w:type="dxa"/>
            <w:vAlign w:val="bottom"/>
          </w:tcPr>
          <w:p>
            <w:pPr>
              <w:spacing w:after="0"/>
              <w:rPr>
                <w:sz w:val="23"/>
                <w:szCs w:val="23"/>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58.7%</w:t>
            </w: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782.6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631.7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810.1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999.5</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601.9</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559.8</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764.5</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584.5</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436.7</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153.4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122.1</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295.9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264.6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200.9</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69.4</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83.4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56.1</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Investments in intellectual property</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Investments in 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Total cash dividends paid</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75.4</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32.5</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purchases of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17.5</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gridSpan w:val="5"/>
          </w:tcPr>
          <w:p>
            <w:pPr>
              <w:ind w:left="40"/>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w w:val="94"/>
              </w:rPr>
              <w:t>Earnings per common share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1.86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2.17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0.63</w:t>
            </w: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0.63</w:t>
            </w: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3"/>
          </w:tcPr>
          <w:p>
            <w:pPr>
              <w:ind w:left="80"/>
              <w:spacing w:after="0" w:line="270" w:lineRule="exact"/>
              <w:rPr>
                <w:sz w:val="20"/>
                <w:szCs w:val="20"/>
                <w:color w:val="auto"/>
              </w:rPr>
            </w:pPr>
            <w:r>
              <w:rPr>
                <w:rFonts w:ascii="Arial" w:cs="Arial" w:eastAsia="Arial" w:hAnsi="Arial"/>
                <w:sz w:val="18"/>
                <w:szCs w:val="18"/>
                <w:color w:val="auto"/>
              </w:rPr>
              <w:t>Adjusted diluted</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54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3.34</w:t>
            </w:r>
          </w:p>
        </w:tc>
        <w:tc>
          <w:tcPr>
            <w:tcW w:w="36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1.89</w:t>
            </w:r>
          </w:p>
        </w:tc>
      </w:tr>
      <w:tr>
        <w:trPr>
          <w:trHeight w:val="270"/>
        </w:trPr>
        <w:tc>
          <w:tcPr>
            <w:tcW w:w="464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Dividends per common share</w:t>
            </w:r>
            <w:r>
              <w:rPr>
                <w:rFonts w:ascii="Arial" w:cs="Arial" w:eastAsia="Arial" w:hAnsi="Arial"/>
                <w:sz w:val="25"/>
                <w:szCs w:val="25"/>
                <w:color w:val="auto"/>
                <w:vertAlign w:val="superscript"/>
              </w:rPr>
              <w:t>(4)</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1.225</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0.625</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0.50</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Stock price at year-end</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43.47</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44.60</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51.73</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42.95</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23.64</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Stock price range—High</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55.95</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52.56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44.25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46.90</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Stock price range—Low</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35.49</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39.99</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37.50</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18.27</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16.12</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64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302.9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393.0</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440.1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350.5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318.4</w:t>
            </w:r>
          </w:p>
        </w:tc>
      </w:tr>
      <w:tr>
        <w:trPr>
          <w:trHeight w:val="270"/>
        </w:trPr>
        <w:tc>
          <w:tcPr>
            <w:tcW w:w="464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Leverage ratio</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3.20</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3.97</w:t>
            </w:r>
          </w:p>
        </w:tc>
      </w:tr>
      <w:tr>
        <w:trPr>
          <w:trHeight w:val="270"/>
        </w:trPr>
        <w:tc>
          <w:tcPr>
            <w:tcW w:w="464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Interest coverage ratio</w:t>
            </w:r>
            <w:r>
              <w:rPr>
                <w:rFonts w:ascii="Arial" w:cs="Arial" w:eastAsia="Arial" w:hAnsi="Arial"/>
                <w:sz w:val="25"/>
                <w:szCs w:val="25"/>
                <w:color w:val="auto"/>
                <w:vertAlign w:val="superscript"/>
              </w:rPr>
              <w:t>(5)</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w:t>
            </w:r>
          </w:p>
        </w:tc>
        <w:tc>
          <w:tcPr>
            <w:tcW w:w="54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9.40</w:t>
            </w:r>
          </w:p>
        </w:tc>
        <w:tc>
          <w:tcPr>
            <w:tcW w:w="36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6.21</w:t>
            </w:r>
          </w:p>
        </w:tc>
        <w:tc>
          <w:tcPr>
            <w:tcW w:w="34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3.87</w:t>
            </w: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61.0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64.5</w:t>
            </w:r>
          </w:p>
        </w:tc>
      </w:tr>
      <w:tr>
        <w:trPr>
          <w:trHeight w:val="229"/>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Common shares and dilutive potential common</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shares used in diluted EPS calculation</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62.1</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c>
          <w:tcPr>
            <w:tcW w:w="5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66.1</w:t>
            </w:r>
          </w:p>
        </w:tc>
        <w:tc>
          <w:tcPr>
            <w:tcW w:w="34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65.4</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66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July 8, 2009, Scotts Miracle-Gro announced that its wholly-owned subsidiary, Smith &amp; Hawken, Ltd., had adopted a plan to close the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 in accordance with accounting principles generally accepted in the United States of America (“GAAP”). Smith &amp; Hawken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is a registered trademark of Target Brands, Inc. The Company sold the Smith &amp; Hawken brand and certain intellectual property rights related thereto to Target Brands, Inc. on December 30, 2009, and subsequently changed the name of the subsidiary entity formerly known as Smith &amp; Hawken, Ltd. to Teak 2, Ltd. References in this Annual Report on Form 10-K to Smith &amp; Hawken refer to the subsidiary entity, not the brand itself.</w:t>
      </w:r>
    </w:p>
    <w:p>
      <w:pPr>
        <w:spacing w:after="0" w:line="113" w:lineRule="exact"/>
        <w:rPr>
          <w:rFonts w:ascii="Arial" w:cs="Arial" w:eastAsia="Arial" w:hAnsi="Arial"/>
          <w:sz w:val="16"/>
          <w:szCs w:val="16"/>
          <w:color w:val="auto"/>
        </w:rPr>
      </w:pPr>
    </w:p>
    <w:p>
      <w:pPr>
        <w:jc w:val="both"/>
        <w:ind w:left="660"/>
        <w:spacing w:after="0" w:line="273" w:lineRule="auto"/>
        <w:rPr>
          <w:rFonts w:ascii="Arial" w:cs="Arial" w:eastAsia="Arial" w:hAnsi="Arial"/>
          <w:sz w:val="16"/>
          <w:szCs w:val="16"/>
          <w:color w:val="auto"/>
        </w:rPr>
      </w:pPr>
      <w:r>
        <w:rPr>
          <w:rFonts w:ascii="Arial" w:cs="Arial" w:eastAsia="Arial" w:hAnsi="Arial"/>
          <w:sz w:val="17"/>
          <w:szCs w:val="17"/>
          <w:color w:val="auto"/>
        </w:rPr>
        <w:t>On February 28, 2011, we completed the sale of Global Pro to ICL. In conjunction with the transaction, Scotts LLC and ICL entered into several product supply agreements which are generally up to five years in duration, as well as various trademark and technology licensing agreements with varying durations. Our continuing cash inflows and outflows related to these agreements are not considered to be significant in relation to the overall cash flows of Global Pro. Furthermore, none of these agreements permit us to influence the operating or financial policies of Global Pro under the ownership of ICL. Therefore, Global Pro met the criteria for presentation as discontinued operations. As such, effective in the first quarter of fiscal 2011, we classified Global Pro as discontinued operations in accordance with GAAP.</w:t>
      </w:r>
    </w:p>
    <w:p>
      <w:pPr>
        <w:spacing w:after="0" w:line="124"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7"/>
          <w:szCs w:val="17"/>
          <w:color w:val="auto"/>
        </w:rPr>
        <w:t>In the fourth quarter of fiscal year 2012, the Company completed the wind down of the Company's professional seed business ("Pro Seed"). As a result, effective in its fourth quarter of fiscal 2012, we classified Pro Seed as discontinued operations in accordance with GAAP.</w:t>
      </w:r>
    </w:p>
    <w:p>
      <w:pPr>
        <w:spacing w:after="0" w:line="92" w:lineRule="exact"/>
        <w:rPr>
          <w:rFonts w:ascii="Arial" w:cs="Arial" w:eastAsia="Arial" w:hAnsi="Arial"/>
          <w:sz w:val="16"/>
          <w:szCs w:val="16"/>
          <w:color w:val="auto"/>
        </w:rPr>
      </w:pPr>
    </w:p>
    <w:p>
      <w:pPr>
        <w:ind w:left="660" w:right="20"/>
        <w:spacing w:after="0" w:line="277" w:lineRule="auto"/>
        <w:rPr>
          <w:rFonts w:ascii="Arial" w:cs="Arial" w:eastAsia="Arial" w:hAnsi="Arial"/>
          <w:sz w:val="16"/>
          <w:szCs w:val="16"/>
          <w:color w:val="auto"/>
        </w:rPr>
      </w:pPr>
      <w:r>
        <w:rPr>
          <w:rFonts w:ascii="Arial" w:cs="Arial" w:eastAsia="Arial" w:hAnsi="Arial"/>
          <w:sz w:val="18"/>
          <w:szCs w:val="18"/>
          <w:color w:val="auto"/>
        </w:rPr>
        <w:t>The Selected Financial Data has been retrospectively updated to recast Smith &amp; Hawken, Global Pro and Pro Seed as discontinued operations for each period presented.</w:t>
      </w:r>
    </w:p>
    <w:p>
      <w:pPr>
        <w:spacing w:after="0" w:line="116" w:lineRule="exact"/>
        <w:rPr>
          <w:rFonts w:ascii="Arial" w:cs="Arial" w:eastAsia="Arial" w:hAnsi="Arial"/>
          <w:sz w:val="16"/>
          <w:szCs w:val="16"/>
          <w:color w:val="auto"/>
        </w:rPr>
      </w:pPr>
    </w:p>
    <w:p>
      <w:pPr>
        <w:jc w:val="both"/>
        <w:ind w:left="660" w:hanging="652"/>
        <w:spacing w:after="0" w:line="28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Five-Year Summary includes non-GAAP financial measures, as defined in Item 10(e) of SEC Regulation S-K, of adjusted operating income, adjusted income from continuing operations and adjusted diluted earnings per share from continuing operations, which exclude costs or gains related to discrete projects or transactions. Items excluded during the five-year period ended September 30, 2012 consisted of charges or credits relating to refinancings, impairments, restructurings, product registration and recall matters, discontinued operations, and other unusual items such as costs or gains related to discrete projects or transactions that are apart from and not indicative of the results of the operations of the business. The comparable GAAP measures are reported operating income, reported income from continuing operations and reported diluted earnings per share from continuing operations. Our management believes that these non-GAAP measures are the most indicative of our earnings capabilities and that disclosure of these non-GAAP financial measures therefore provides useful information to investors or other users of the financial statements, such as lenders. A reconciliation of the non-GAAP to the most directly comparable GAAP measures is presented in the following tables: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2008</w:t>
            </w: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76.2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from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266.5</w:t>
            </w: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net of tax</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123.0</w:t>
            </w: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net of tax</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0.75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diluted earnings per share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1600" w:hanging="5612"/>
        <w:spacing w:after="0" w:line="559"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shareholders’ equity. 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660" w:hanging="652"/>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Scotts Miracle-Gro began paying a quarterly dividend of $0.125 per Common Share in the fourth quarter of fiscal 2005. On August 10, 2010, Scotts Miracle-Gro announced that its Board of Directors had increased the quarterly cash dividend to $0.25 per Common Share, which was first paid in the fourth quarter of fiscal 2010. On August 8, 2011, Scotts Miracle-Gro announced that its Board of Directors had increased the quarterly cash dividend to $0.30 per Common Share, which was first paid in the fourth quarter of fiscal 2011. On August 9, 2012, Scotts Miracle-Gro announced that its Board of Directors had further increased the quarterly cash dividend to $0.325 per Common Share, which was first paid in the fourth quarter of fiscal 2012.</w:t>
      </w:r>
    </w:p>
    <w:p>
      <w:pPr>
        <w:spacing w:after="0" w:line="139"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view our credit facility as material to our ability to fund operations, particularly in light of our seasonality. Please refer to “ITEM 1A. RISK FACTORS—Our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3.50 at September 30, 2012) and an interest coverage ratio (minimum of 3.50 for the year ended September 30, 2012). Leverage ratio is calculated as average total indebtedness, as described in our credit facility, relative to Adjusted EBITDA. Interest coverage ratio is calculated as Adjusted EBITDA divided by interest expense, as described in our credit facility, and excludes costs related to refinancings. Our leverage ratio was 2.93 at September 30, 2012 and our interest coverage ratio was 4.90 for the year ended September 30, 2012. Please refer to “ITEM 7. MANAGEMENT’S DISCUSSION AND ANALYSIS OF FINANCIAL CONDITION AND RESULTS OF OPERATIONS—Liquidity and Capital Resources” of this Annual Report on Form 10-K for a discussion of our credit facility.</w:t>
      </w:r>
    </w:p>
    <w:p>
      <w:pPr>
        <w:spacing w:after="0" w:line="125" w:lineRule="exact"/>
        <w:rPr>
          <w:rFonts w:ascii="Arial" w:cs="Arial" w:eastAsia="Arial" w:hAnsi="Arial"/>
          <w:sz w:val="17"/>
          <w:szCs w:val="17"/>
          <w:color w:val="auto"/>
        </w:rPr>
      </w:pPr>
    </w:p>
    <w:p>
      <w:pPr>
        <w:jc w:val="both"/>
        <w:ind w:left="660"/>
        <w:spacing w:after="0" w:line="253" w:lineRule="auto"/>
        <w:rPr>
          <w:rFonts w:ascii="Arial" w:cs="Arial" w:eastAsia="Arial" w:hAnsi="Arial"/>
          <w:sz w:val="17"/>
          <w:szCs w:val="17"/>
          <w:color w:val="auto"/>
        </w:rPr>
      </w:pPr>
      <w:r>
        <w:rPr>
          <w:rFonts w:ascii="Arial" w:cs="Arial" w:eastAsia="Arial" w:hAnsi="Arial"/>
          <w:sz w:val="18"/>
          <w:szCs w:val="18"/>
          <w:color w:val="auto"/>
        </w:rPr>
        <w:t>In accordance with the terms of our credit facility, Adjusted EBITDA is calculated as net income or loss before interest, taxes, depreciation and amortization as well as certain other items such as the impact of the cumulative effect of changes in accounting, costs associated with debt refinancing and other non-recurring, non-cash items affecting net income. In addition, non-recurring cash items affecting net income that are incurred between April 3, 2011 and June 30, 2012 in an aggregate amount not to exceed $40 million are also excluded from the determination of Adjusted EBITDA.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14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 numeric reconciliation of Adjusted EBITDA to income from continuing operations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353"/>
              <w:spacing w:after="0"/>
              <w:rPr>
                <w:sz w:val="20"/>
                <w:szCs w:val="20"/>
                <w:color w:val="auto"/>
              </w:rPr>
            </w:pPr>
            <w:r>
              <w:rPr>
                <w:rFonts w:ascii="Arial" w:cs="Arial" w:eastAsia="Arial" w:hAnsi="Arial"/>
                <w:sz w:val="14"/>
                <w:szCs w:val="14"/>
                <w:b w:val="1"/>
                <w:bCs w:val="1"/>
                <w:color w:val="auto"/>
                <w:w w:val="92"/>
              </w:rPr>
              <w:t>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2008</w:t>
            </w:r>
          </w:p>
        </w:tc>
      </w:tr>
      <w:tr>
        <w:trPr>
          <w:trHeight w:val="250"/>
        </w:trPr>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0" w:type="dxa"/>
            <w:vAlign w:val="bottom"/>
            <w:gridSpan w:val="6"/>
          </w:tcPr>
          <w:p>
            <w:pPr>
              <w:jc w:val="center"/>
              <w:ind w:left="333"/>
              <w:spacing w:after="0"/>
              <w:rPr>
                <w:sz w:val="20"/>
                <w:szCs w:val="20"/>
                <w:color w:val="auto"/>
              </w:rPr>
            </w:pPr>
            <w:r>
              <w:rPr>
                <w:rFonts w:ascii="Arial" w:cs="Arial" w:eastAsia="Arial" w:hAnsi="Arial"/>
                <w:sz w:val="14"/>
                <w:szCs w:val="14"/>
                <w:b w:val="1"/>
                <w:bCs w:val="1"/>
                <w:color w:val="auto"/>
                <w:w w:val="92"/>
              </w:rPr>
              <w:t>(In millions, except per share data)</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 (excluding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Pro sale)</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77.6</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53.9</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Loss on impairment and other charges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136.8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non-cash portion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Mark-to-market adjustments on derivatives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Smith &amp; Hawken closure process, non-cash portion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318.4</w:t>
            </w: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3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purpose of this discussion is to provide an understanding of our financial condition and results of operations by focusing on changes in certain key measures from year-to-year. Management’s Discussion and Analysis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consumers’ outdoor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the second largest U.S. lawn care service business. Our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2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undertook a number of important initiatives in fiscal 2012 to stimulate growth in the lawn and garden category and increase our market share. The most significant of those initiatives were: (1) increased support of our brands through increased advertising and marketing investments, and (2) a decision to take minimal customer pricing, despite increased commodity costs. While we have seen some response to our initiatives, the resulting growth in consumer demand, and sales in our Global Consumer segment, have fallen short of expectations. At the beginning of the year, income from operations in fiscal 2012 was expected to remain relatively flat to prior year, with expected growth in sales offsetting the impact of our initiatives. Management has moderated expectations for near-term growth and is planning actions which are designed to drive a significant recovery in operating earnings without reliance on unit volume growth. These actions include price increases, product cost optimization and SG&amp;A productivity.</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Effective in our fourth quarter of fiscal 2012, we classified our professional seed business as discontinued operations. Prior to being reported as discontinued operations, our professional seed business was included as part of Corporate &amp; Other. On February 28, 2011, we completed the sale of a significant majority of the assets of our Global Professional business (excluding our non-European professional seed business, “Global Pro”) to Israel Chemicals Ltd. (“ICL”) for $270 million in an all-cash transaction, subject to certain adjustments, resulting in $270.9 million net proceeds. For additional information regarding the use of proceeds from the sale of Global Pro, see “NOTE 2. DISCONTINUED OPERATIONS” of the Notes to Consolidated Financial Statements included in this Annual Report on Form 10-K. Effective in our first quarter of fiscal 2011, we classified Global Pro as discontinued operations. Prior to being reported as discontinued operations, Global Pro was included as part of our former Global Professional business segment. During our first quarter of fiscal 2010, all Smith &amp; Hawken stores were closed and substantially all operational activities of Smith &amp; Hawken were discontinued. As a result, effective in our first quarter of fiscal 2010, we classified Smith &amp; Hawken as discontinued operations. Prior to being reported as discontinued operations, our Smith &amp; Hawken business was included as part of Corporate &amp; Other.</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sales in any one year are susceptible to weather conditions in the markets in which our products are sold. For instance, periods of abnormally wet or dry weather can adversely impact sale of certain products, while increasing demand for other products. We believe that our diversified product line and our broad geographic diversification reduce this risk, although to a lesser extent in a year where unfavorable weather is geographically wide-spread and extends across a significant portion of the lawn and garden season. We also believe that weather conditions in any one year, positive or negative, do not materially alter longer-term category growth trends.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335"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13335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87"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6020" w:type="dxa"/>
            <w:vAlign w:val="bottom"/>
            <w:gridSpan w:val="2"/>
          </w:tcPr>
          <w:p>
            <w:pPr>
              <w:ind w:left="5660"/>
              <w:spacing w:after="0"/>
              <w:rPr>
                <w:sz w:val="20"/>
                <w:szCs w:val="20"/>
                <w:color w:val="auto"/>
              </w:rPr>
            </w:pPr>
            <w:r>
              <w:rPr>
                <w:rFonts w:ascii="Arial" w:cs="Arial" w:eastAsia="Arial" w:hAnsi="Arial"/>
                <w:sz w:val="14"/>
                <w:szCs w:val="14"/>
                <w:b w:val="1"/>
                <w:bCs w:val="1"/>
                <w:color w:val="auto"/>
              </w:rPr>
              <w:t>2012</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2010</w:t>
            </w:r>
          </w:p>
        </w:tc>
      </w:tr>
      <w:tr>
        <w:trPr>
          <w:trHeight w:val="25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41.4%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40.1%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14.2%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14.4%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measures are evaluated with and without impairment, restructuring and other charges as well as product registration and recall matters,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Scotts Miracle-Gro Board of Directors has authorized the repurchase of up to $700 million of our common shares through September 30, 2014. Further, on August 9, 2012, we announced that the Scotts Miracle-Gro Board of Directors increased our quarterly dividend from $0.30 to $0.325 per common share. The decisions to increase the amount of cash we intend to return to our shareholders reflects our continued confidence in the long-term health of the business. From the inception of the share repurchase program in the fourth quarter of fiscal 2010 through the fourth quarter of fiscal 2012, we have repurchased approximately 7.8 million of our common shares for $401.2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Registration and Recall Matters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April 2008, we became aware that a former associate circumvented our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we have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In late April 2008, in connection with the U.S. EPA’s investigation, we conducted a consumer-level recall of certain consumer lawn and garden products and 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complete, and the results of the QAI review process did not materially affect our fiscal 2010, fiscal 2011 or fiscal 2012 sales.</w:t>
      </w:r>
    </w:p>
    <w:p>
      <w:pPr>
        <w:spacing w:after="0" w:line="1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2010, fiscal 2011 or fiscal 2012 financial condition, results of operations or cash flows.</w:t>
      </w:r>
    </w:p>
    <w:p>
      <w:pPr>
        <w:spacing w:after="0" w:line="12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Settlement discussions relating to potential fines and/or penalties are a frequent outgrowth of governmental investigations. In that regard, on or about June 30, 2011, we received a Notice of Intent to File Administrative Complaint (“Notice”) from the U.S. EPA Region 5 with respect to the alleged FIFRA violations. The Notice, which did not set forth a proposed penalty amount, offered us an opportunity to present any information we believed the U.S. EPA should consider prior to filing the complaint and indicated that the U.S. EPA was prepared to meet with us to discuss the alleged violations. We made a timely response to the Notice and engaged in settlement meetings culminating in the signing of a Consent Agreement and Final Order ("CAFO"), in September, 2012 in which the Company neither admitted nor denied the allegations in the CAFO. The government's transmittal letter stated that the CAFO concluded the government's civil investigation and enforcement action. Pursuant to the CAFO, we were required to pay a civil penalty in the amount of $6.05 million and agreed to pay an additional $2.0 million for a Supplemental Environmental Project (“SEP”), paid to the Black Swamp Conservancy, for conservation efforts on three separate parcels of land. The Scotts Miracle-Gro Company undertook these projects as part of a settlement of the United States Environmental Protection Agency's enforcement action against it for alleged violations of Sections 12(a)(1)(A),(B),(C) and (E) of FIFRA, 7 U.S.C. § 136j(a)(1)(A),(B), (C) and (E). As part of the CAFO, the Company must monitor the conservation efforts of the Black Swamp Conservancy and submit a completion report to the U.S. EPA by February 28, 2014, designating the conclusion of all agreed to conservation efforts. Our accrual as of September 30, 2012 includes the full amount of the civil penalty and other amounts payable under the CAFO.</w:t>
      </w:r>
    </w:p>
    <w:p>
      <w:pPr>
        <w:spacing w:after="0" w:line="1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previously disclosed, we have also been engaged in settlement discussions with the U.S. DOJ regarding its criminal investigation. On January 25, 2012, a Plea Agreement was filed with the United States District Court for the Southern District of Ohio. Under the terms of the Plea Agreement, we agreed to plead guilty to ten misdemeanor FIFRA counts in connection with the former employee's conduct and one misdemeanor FIFRA count in connection with the misapplication of insecticide to wild bird food products. As part of the agreement, Scotts Miracle-Gro was required to pay a $4.0 million penalty to the United States and to provide $0.1 million to each of five programs designed to enhance and protect the natural environment, particularly habitats for the bird populations that the U.S. EPA’s regulation of pesticides is designed to protect. As part of the Plea Agreement, the U.S. DOJ agreed not to criminally prosecute us for any other federal crimes relating to any potential FIFRA violations known to the government as of the date of the Plea Agreement. The United States District Court for the Southern District of Ohio accepted the plea on March 13, 2012, and the sentence was imposed on September 7, 2012, resolving the U.S. DOJ investigation into our pesticide product registration issues. Our accrual as of September 30, 2012 includes the full amount of the criminal penalty and other amounts payable under the Plea Agreement.</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 result of these registration and recall matters, we have recorded charges for affected inventory and other registration and recall-related costs. The effects of these adjustments, including the accrual noted above, were pre-tax charges of $8.2 million, $14.6 million and $8.7 million for the fiscal years ended September 30, 2012, 2011 and 2010, respectively. We may be subject to additional judgments, settlements, fines and/or penalties as a result of state or private actions. No reserves have been established for any such potential liabilities related to state or private actions arising in connection with the product registration and recall issues at this time.</w:t>
      </w:r>
    </w:p>
    <w:p>
      <w:pPr>
        <w:spacing w:after="0" w:line="13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Additionally, in connection with the sale of wild bird food products that were the subject of the recall discussed in “ITEM 1. BUSINESS - Regulatory Considerations”,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The plaintiffs seek on behalf of themselves and various purported class members monetary damages, restitution, injunctive relief, declaratory relief, attorney's fees, interest and costs. The Company intends to vigorously defend the consolidated action. Given the early stages of the action, the Company cannot make a determination as to whether it could have a material effect on the Company's financial condition, results of operations or cash flows and has not created any accruals or accounting reserves with respect thereto.</w:t>
      </w:r>
    </w:p>
    <w:p>
      <w:pPr>
        <w:spacing w:after="0" w:line="1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classified our professional seed business, Global Pro and Smith &amp; Hawken as discontinued operations, for all periods presented, beginning in our fourth quarter of fiscal 2012, our first quarter of fiscal 2011 and our first quarter of fiscal 2010, respectively. As a result, and unless specifically stated, all discussions regarding results for the fiscal years ended September 30, 2012, 2011 and 2010 reflect results from our continuing operations.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Year Ended September 30,</w:t>
            </w:r>
          </w:p>
        </w:tc>
        <w:tc>
          <w:tcPr>
            <w:tcW w:w="152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66.0</w:t>
            </w:r>
          </w:p>
        </w:tc>
        <w:tc>
          <w:tcPr>
            <w:tcW w:w="1620" w:type="dxa"/>
            <w:vAlign w:val="bottom"/>
            <w:gridSpan w:val="2"/>
          </w:tcPr>
          <w:p>
            <w:pPr>
              <w:jc w:val="right"/>
              <w:ind w:right="154"/>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62.1</w:t>
            </w:r>
          </w:p>
        </w:tc>
      </w:tr>
      <w:tr>
        <w:trPr>
          <w:trHeight w:val="27"/>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 charges</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Cost of sales – product registration and recall matters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5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7"/>
        </w:trPr>
        <w:tc>
          <w:tcPr>
            <w:tcW w:w="55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34.0</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25.0</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24.1</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620" w:type="dxa"/>
            <w:vAlign w:val="bottom"/>
            <w:gridSpan w:val="2"/>
          </w:tcPr>
          <w:p>
            <w:pPr>
              <w:jc w:val="right"/>
              <w:ind w:right="15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0.6</w:t>
            </w:r>
          </w:p>
        </w:tc>
      </w:tr>
      <w:tr>
        <w:trPr>
          <w:trHeight w:val="27"/>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registration and recall matters</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7"/>
        </w:trPr>
        <w:tc>
          <w:tcPr>
            <w:tcW w:w="55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13.1</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5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5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11.6</w:t>
            </w:r>
          </w:p>
        </w:tc>
      </w:tr>
      <w:tr>
        <w:trPr>
          <w:trHeight w:val="27"/>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5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7.3</w:t>
            </w:r>
          </w:p>
        </w:tc>
      </w:tr>
      <w:tr>
        <w:trPr>
          <w:trHeight w:val="27"/>
        </w:trPr>
        <w:tc>
          <w:tcPr>
            <w:tcW w:w="5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6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55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55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Net sales for fiscal 2012 increased 0.9% to $2.83 billion from $2.80 billion in fiscal 2011. Net sales for fiscal 2011 decreased 2.6% from $2.87 billion in fiscal 2010. The change in net sales was attributable to the following:</w:t>
      </w:r>
    </w:p>
    <w:p>
      <w:pPr>
        <w:spacing w:after="0" w:line="176"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46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Pricing</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1.0</w:t>
            </w:r>
          </w:p>
        </w:tc>
      </w:tr>
      <w:tr>
        <w:trPr>
          <w:trHeight w:val="27"/>
        </w:trPr>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0.1</w:t>
            </w:r>
          </w:p>
        </w:tc>
      </w:tr>
      <w:tr>
        <w:trPr>
          <w:trHeight w:val="27"/>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the year ended September 30, 2012 was primarily driven by;</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volume in our Global Consumer segment, driven by an increase in sales within the U.S. of mulch and controls products, offset by declines within the U.S. of wild bird food, grass seed and plant food products; international sales were flat to fiscal 2011, excluding changes in foreign exchange rates;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volume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driven by higher customer count;</w:t>
      </w:r>
    </w:p>
    <w:p>
      <w:pPr>
        <w:spacing w:after="0" w:line="41" w:lineRule="exact"/>
        <w:rPr>
          <w:rFonts w:ascii="Arial" w:cs="Arial" w:eastAsia="Arial" w:hAnsi="Arial"/>
          <w:sz w:val="18"/>
          <w:szCs w:val="18"/>
          <w:color w:val="auto"/>
        </w:rPr>
      </w:pPr>
    </w:p>
    <w:p>
      <w:pPr>
        <w:ind w:left="660" w:right="20" w:hanging="328"/>
        <w:spacing w:after="0" w:line="27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sales in Corporate &amp; Other related to ICL supply agreements, which were entered into in connection with the sale of Global Pro in February 2011;</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partially offset by the unfavorable impact of foreign exchange rates as a result of the strengthening of the U.S. dollar relative to other currencies.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net sales for the year ended September 30, 2011 was primarily driven by;</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volume in our Global Consumer segment, driven by a decrease in U.S. Consumer sales as a result of poor weather in the peak weeks of spring and fall lawn and garden seasons as well as lower sales in the mass merchant retail channel;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partially offset by favorable impact of foreign exchange rates as a result of the weakening of the U.S. dollar relative to other currencies;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sales in Corporate &amp; Other, related to ICL supply agreements, which were entered into in connection with the sale of Global Pro in February 2011;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sales within our International Consumer business associated with product innovation.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2"/>
              </w:rPr>
              <w:t>Year Ended September 30,</w:t>
            </w:r>
          </w:p>
        </w:tc>
        <w:tc>
          <w:tcPr>
            <w:tcW w:w="102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r>
      <w:tr>
        <w:trPr>
          <w:trHeight w:val="250"/>
        </w:trPr>
        <w:tc>
          <w:tcPr>
            <w:tcW w:w="5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1,093.8</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323.5</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302.1</w:t>
            </w:r>
          </w:p>
        </w:tc>
      </w:tr>
      <w:tr>
        <w:trPr>
          <w:trHeight w:val="270"/>
        </w:trPr>
        <w:tc>
          <w:tcPr>
            <w:tcW w:w="52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65.0</w:t>
            </w:r>
          </w:p>
        </w:tc>
      </w:tr>
      <w:tr>
        <w:trPr>
          <w:trHeight w:val="244"/>
        </w:trPr>
        <w:tc>
          <w:tcPr>
            <w:tcW w:w="5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1,784.4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registration and recall matters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37"/>
        </w:trPr>
        <w:tc>
          <w:tcPr>
            <w:tcW w:w="52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1,790.5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1,787.4</w:t>
            </w: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23495</wp:posOffset>
            </wp:positionV>
            <wp:extent cx="1818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Material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-139065</wp:posOffset>
            </wp:positionV>
            <wp:extent cx="500824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0824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Volume and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31750</wp:posOffset>
            </wp:positionV>
            <wp:extent cx="500824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08245" cy="171450"/>
                    </a:xfrm>
                    <a:prstGeom prst="rect">
                      <a:avLst/>
                    </a:prstGeom>
                    <a:noFill/>
                  </pic:spPr>
                </pic:pic>
              </a:graphicData>
            </a:graphic>
          </wp:anchor>
        </w:drawing>
      </w:r>
    </w:p>
    <w:p>
      <w:pPr>
        <w:spacing w:after="0" w:line="4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p>
      <w:pPr>
        <w:ind w:left="1800"/>
        <w:spacing w:after="0"/>
        <w:rPr>
          <w:sz w:val="20"/>
          <w:szCs w:val="20"/>
          <w:color w:val="auto"/>
        </w:rPr>
      </w:pPr>
      <w:r>
        <w:rPr>
          <w:rFonts w:ascii="Arial" w:cs="Arial" w:eastAsia="Arial" w:hAnsi="Arial"/>
          <w:sz w:val="18"/>
          <w:szCs w:val="18"/>
          <w:color w:val="auto"/>
        </w:rPr>
        <w:t>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21590</wp:posOffset>
            </wp:positionV>
            <wp:extent cx="500824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08245" cy="180340"/>
                    </a:xfrm>
                    <a:prstGeom prst="rect">
                      <a:avLst/>
                    </a:prstGeom>
                    <a:noFill/>
                  </pic:spPr>
                </pic:pic>
              </a:graphicData>
            </a:graphic>
          </wp:anchor>
        </w:drawing>
      </w:r>
    </w:p>
    <w:p>
      <w:pPr>
        <w:spacing w:after="0" w:line="311"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Impairment, 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46355</wp:posOffset>
            </wp:positionV>
            <wp:extent cx="500824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8245" cy="171450"/>
                    </a:xfrm>
                    <a:prstGeom prst="rect">
                      <a:avLst/>
                    </a:prstGeom>
                    <a:noFill/>
                  </pic:spPr>
                </pic:pic>
              </a:graphicData>
            </a:graphic>
          </wp:anchor>
        </w:drawing>
      </w:r>
    </w:p>
    <w:p>
      <w:pPr>
        <w:spacing w:after="0" w:line="6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Product registration and recall matters</w:t>
      </w:r>
    </w:p>
    <w:p>
      <w:pPr>
        <w:spacing w:after="0" w:line="6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Change in cost of sales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r>
      <w:tr>
        <w:trPr>
          <w:trHeight w:val="244"/>
        </w:trPr>
        <w:tc>
          <w:tcPr>
            <w:tcW w:w="320" w:type="dxa"/>
            <w:vAlign w:val="bottom"/>
          </w:tcPr>
          <w:p>
            <w:pPr>
              <w:spacing w:after="0"/>
              <w:rPr>
                <w:sz w:val="21"/>
                <w:szCs w:val="21"/>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r>
      <w:tr>
        <w:trPr>
          <w:trHeight w:val="25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7"/>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18.3</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6080" w:space="720"/>
            <w:col w:w="4620"/>
          </w:cols>
          <w:pgMar w:left="240" w:top="121"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increase in cost of sales, excluding impairment, restructuring and other charges, and product registration and recall matters for fiscal 2012 was primarily driven by:</w:t>
      </w:r>
    </w:p>
    <w:p>
      <w:pPr>
        <w:spacing w:after="0" w:line="7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material costs primarily related to packaging for products and fertilizer inputs;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higher sales volume, including increased distribution costs resulting from an early season surge in consumer activity and continued and unplanned surge in mulch volume;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reimbursements attributable to our marketing agreement with Monsanto;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partially offset by the favorable impact of foreign exchange rates as a result of the strengthening of the U.S. dollar relative to other currencies.</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cost of sales, excluding impairment, restructuring and other charges, and product registration and recall matters for fiscal 2011 was primarily driven by:</w:t>
      </w:r>
    </w:p>
    <w:p>
      <w:pPr>
        <w:spacing w:after="0" w:line="7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decreased net sales;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w:t>
      </w:r>
    </w:p>
    <w:p>
      <w:pPr>
        <w:sectPr>
          <w:pgSz w:w="11900" w:h="16838" w:orient="portrait"/>
          <w:cols w:equalWidth="0" w:num="1">
            <w:col w:w="11420"/>
          </w:cols>
          <w:pgMar w:left="240" w:top="121"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partially offset by increased material costs primarily related to wild bird food grains, diesel and gasoline;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favorable impact of foreign exchange rate as a result of the weakening of the U.S dollar relative to other currencies.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34.0% for fiscal 2012 compared to 36.0% for fiscal 2011. As a percentage of net sales, our gross profit rate was 36.0% for fiscal 2011 compared to 37.8% for fiscal 2010. Factors contributing to the change in gross profit rate are outlined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500" w:type="dxa"/>
            <w:vAlign w:val="bottom"/>
            <w:tcBorders>
              <w:bottom w:val="single" w:sz="8" w:color="auto"/>
            </w:tcBorders>
            <w:gridSpan w:val="3"/>
          </w:tcPr>
          <w:p>
            <w:pPr>
              <w:ind w:left="1720"/>
              <w:spacing w:after="0"/>
              <w:rPr>
                <w:sz w:val="20"/>
                <w:szCs w:val="20"/>
                <w:color w:val="auto"/>
              </w:rPr>
            </w:pPr>
            <w:r>
              <w:rPr>
                <w:rFonts w:ascii="Arial" w:cs="Arial" w:eastAsia="Arial" w:hAnsi="Arial"/>
                <w:sz w:val="14"/>
                <w:szCs w:val="14"/>
                <w:b w:val="1"/>
                <w:bCs w:val="1"/>
                <w:color w:val="auto"/>
                <w:w w:val="99"/>
              </w:rPr>
              <w:t>Year Ended September 30,</w:t>
            </w:r>
          </w:p>
        </w:tc>
        <w:tc>
          <w:tcPr>
            <w:tcW w:w="154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9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12"/>
              <w:spacing w:after="0"/>
              <w:rPr>
                <w:sz w:val="20"/>
                <w:szCs w:val="20"/>
                <w:color w:val="auto"/>
              </w:rPr>
            </w:pPr>
            <w:r>
              <w:rPr>
                <w:rFonts w:ascii="Arial" w:cs="Arial" w:eastAsia="Arial" w:hAnsi="Arial"/>
                <w:sz w:val="14"/>
                <w:szCs w:val="14"/>
                <w:b w:val="1"/>
                <w:bCs w:val="1"/>
                <w:color w:val="auto"/>
              </w:rPr>
              <w:t>2011</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46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(0.3)</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0"/>
        </w:trPr>
        <w:tc>
          <w:tcPr>
            <w:tcW w:w="636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(0.2)</w:t>
            </w: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(0.4)</w:t>
            </w: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46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(0.5)</w:t>
            </w:r>
          </w:p>
        </w:tc>
      </w:tr>
      <w:tr>
        <w:trPr>
          <w:trHeight w:val="27"/>
        </w:trPr>
        <w:tc>
          <w:tcPr>
            <w:tcW w:w="636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2460" w:type="dxa"/>
            <w:vAlign w:val="bottom"/>
          </w:tcPr>
          <w:p>
            <w:pPr>
              <w:jc w:val="right"/>
              <w:ind w:right="15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(0.7)</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3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the gross profit rate, excluding impairment, restructuring and other charges and product registration and recall matters, for fiscal 2012, was primarily driven by:</w:t>
      </w:r>
    </w:p>
    <w:p>
      <w:pPr>
        <w:spacing w:after="0" w:line="7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material costs attributable primarily to packaging for products and fertilizer inputs;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product mix, driven by increased sales of our mulch products within the U.S., and international;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costs for distribution as a result of an early season surge in consumer activity and continued and unplanned surge in mulch volume;</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sales associated with our supply agreements with ICL, which commenced with the sale of Global Pro in February 2011 and do not generate profit.</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the gross profit rate, excluding impairment, restructuring and other charges and product registration and recall matters, for fiscal 2011, was primarily driven by:</w:t>
      </w:r>
    </w:p>
    <w:p>
      <w:pPr>
        <w:spacing w:after="0" w:line="76" w:lineRule="exact"/>
        <w:rPr>
          <w:sz w:val="20"/>
          <w:szCs w:val="20"/>
          <w:color w:val="auto"/>
        </w:rPr>
      </w:pPr>
    </w:p>
    <w:p>
      <w:pPr>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product mix as a a result of increased sales within Corporate &amp; Other at reduced margin rates (including sales attributed to ICL supply agreements at zero margin), reduced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lower sales of high margin lawn care products;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material costs;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leverage of fixed manufacturing and warehousing costs driven by lower volume within U.S. Consumer;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partially offset by increased pricing, net of higher cost consumer promotional programs through our trade partners.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Selling, General and Administrative expenses (“SG&amp;A”):</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5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2010</w:t>
            </w:r>
          </w:p>
        </w:tc>
      </w:tr>
      <w:tr>
        <w:trPr>
          <w:trHeight w:val="196"/>
        </w:trPr>
        <w:tc>
          <w:tcPr>
            <w:tcW w:w="5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20" w:type="dxa"/>
            <w:vAlign w:val="bottom"/>
            <w:gridSpan w:val="6"/>
          </w:tcPr>
          <w:p>
            <w:pPr>
              <w:jc w:val="center"/>
              <w:ind w:left="72"/>
              <w:spacing w:after="0"/>
              <w:rPr>
                <w:sz w:val="20"/>
                <w:szCs w:val="20"/>
                <w:color w:val="auto"/>
              </w:rPr>
            </w:pPr>
            <w:r>
              <w:rPr>
                <w:rFonts w:ascii="Arial" w:cs="Arial" w:eastAsia="Arial" w:hAnsi="Arial"/>
                <w:sz w:val="14"/>
                <w:szCs w:val="14"/>
                <w:b w:val="1"/>
                <w:bCs w:val="1"/>
                <w:color w:val="auto"/>
                <w:w w:val="91"/>
              </w:rPr>
              <w:t>(In millions, except percentage figures)</w:t>
            </w:r>
          </w:p>
        </w:tc>
        <w:tc>
          <w:tcPr>
            <w:tcW w:w="1040" w:type="dxa"/>
            <w:vAlign w:val="bottom"/>
          </w:tcPr>
          <w:p>
            <w:pPr>
              <w:spacing w:after="0"/>
              <w:rPr>
                <w:sz w:val="17"/>
                <w:szCs w:val="17"/>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168.9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140.7</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16.1</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47.3</w:t>
            </w:r>
          </w:p>
        </w:tc>
      </w:tr>
      <w:tr>
        <w:trPr>
          <w:trHeight w:val="27"/>
        </w:trPr>
        <w:tc>
          <w:tcPr>
            <w:tcW w:w="5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9.8</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90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465.3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478.7</w:t>
            </w:r>
          </w:p>
        </w:tc>
      </w:tr>
      <w:tr>
        <w:trPr>
          <w:trHeight w:val="27"/>
        </w:trPr>
        <w:tc>
          <w:tcPr>
            <w:tcW w:w="55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705.7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686.3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692.6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Advertising expense increased $28.2 million or 20.0% to $168.9 million in fiscal 2012 compared to $140.7 million in fiscal 2011. This increase was primarily attributable to our Global Consumer segment. The change in our Global Consumer segment was driven by our planned increase in media and marketing initiatives, partially offset by $1.1 million of changes in foreign currency rates. A portion of the originally planned increase was classified as trade promotion expense, which is recorded within net sales. Advertising expense in fiscal 2011 was flat compared to fiscal 2010.</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Share-based compensation decreased $3.4 million or 21.4% to $12.5 million in fiscal 2012 compared to $15.9 million in fiscal 2011. The decrease in share-based compensation expense in fiscal 2012 was primarily due to the acceleration of expense in fiscal 2011 for certain terminated employees. Fiscal 2011 share-based compensation expense was roughly flat to fiscal 2010. The majority of our share-based awards vest over three years, with the associated expense recognized ratably over the vesting period. In certain cases, such as individuals who are eligible for early retirement based on their age and years of service, the vesting period is shorter than three years.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was $8.2 million in fiscal 2012, compared to $9.5 million and $9.8 million in fiscal 2011 and fiscal 2010, respectively. The decline in fiscal 2012 was driven by assets that became fully amortized in fiscal 2011 and due to impairment of certain intangible assets in fiscal 2011. The decline in fiscal 2011 was driven by assets that became fully amortized in fiscal 2010.</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Other SG&amp;A was roughly flat in fiscal 2012 compared to fiscal 2011, declining $4.0 million, or 0.9%. In fiscal 2011, Other SG&amp;A spending decreased $9.4 million, or 2.0%, from fiscal 2010. The primary driver of the decrease was lower variable compensation expense, partially offset by the full year impact associated with operating two additional regional offices which opened in the second half of fiscal 2010, increased bad debt expense associated with a customer bankruptcy in fiscal 2011, and various other expenses including incremental marketing and research and development costs.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 Charges (included in SG&amp;A)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shows the breakdown of Impairment, Restructuring and Other Charges (included in SG&amp;A):</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760" w:type="dxa"/>
            <w:vAlign w:val="bottom"/>
          </w:tcPr>
          <w:p>
            <w:pPr>
              <w:spacing w:after="0"/>
              <w:rPr>
                <w:sz w:val="22"/>
                <w:szCs w:val="22"/>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2010</w:t>
            </w:r>
          </w:p>
        </w:tc>
      </w:tr>
      <w:tr>
        <w:trPr>
          <w:trHeight w:val="250"/>
        </w:trPr>
        <w:tc>
          <w:tcPr>
            <w:tcW w:w="5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Property, plant and equipment impairments</w:t>
            </w: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 impairments</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r>
      <w:tr>
        <w:trPr>
          <w:trHeight w:val="237"/>
        </w:trPr>
        <w:tc>
          <w:tcPr>
            <w:tcW w:w="576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5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2012, in continuation of the 2011 restructuring plan, we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our U.S. defined benefit pension and U.S retiree medical plans. Additionally, we recognized a $5.3 million asset impairment charge as a result of issues with commercialization of products including the active ingredient MAT 28 for the Global Consumer segment. Further, we have previously expensed product development and marketing costs associated with the previously planned launch of products containing MAT 28 and are evaluating our options for recovering those costs.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fiscal 2011 we recorded restructuring charges designed to streamline management decision making and continue the regionalization of our operating structure, with the objective of reinvesting the savings generated in innovation and growth initiatives. During fiscal 2011, we incurred $23.7 million in restructuring costs related to termination benefits provided to employees who were involuntarily terminated and special termination benefits provided to certain employees upon future separation, as well as $2.3 million related to curtailment charges for our U.S. defined benefit pension and U.S. retiree medical plans. In addition, we recognized charges of $2.3 million for other intangible asset impairments and $1.4 million for restructuring and other charges.</w:t>
      </w:r>
    </w:p>
    <w:p>
      <w:pPr>
        <w:spacing w:after="0" w:line="10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Our annual impairment review, which includes goodwill and indefinite-lived intangibles, is performed as of the first day of our fourth quarter. Our fourth quarter fiscal 2011 impairment analysis resulted in a non-cash charge of $17.1 million, primarily attributed to the intangible assets and goodwill associated with our wild bird food business, including the Morning Song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tradename. Losses generated by this business over the past two years combined with a revised long-term outlook have negatively impacted the value of the business.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fourth quarter fiscal 2010 impairment analysis resulted in a non-cash charge of $18.5 million related to discontinuing or de-emphasizing certain brands and sub-brands, which is consistent with our business strategy to increasingly concentrate our advertising and promotional spending on fewer, more significant brands to more efficiently drive growth.</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Registration and Recall Matters (included in SG&amp;A)</w:t>
      </w:r>
    </w:p>
    <w:p>
      <w:pPr>
        <w:spacing w:after="0" w:line="9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Product registration and recall costs were $7.8 million in fiscal 2012, compared to $11.4 million and $5.7 million in fiscal 2011 and fiscal 2010, respectively. Fiscal 2012 and fiscal 2011 costs include additional reserves established in connection with the U.S. EPA and U.S. DOJ investigations, as well as third-party compliance review, legal and consulting fees. Fiscal 2010 costs primarily related to third-party compliance review, legal and consulting fees.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Other income, net, was $2.9 million, $0.9 million and $5.6 million in fiscal 2012, fiscal 2011 and fiscal 2010 respectively. Other income is comprised of activities outside our normal business operations, such as royalty income from the licensing of certain of our brand 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and gains/losses from the sale of non-inventory assets. The fiscal 2012 changes from fiscal 2011 were not significant. The decrease in fiscal 2011 was primarily due to the non-recurrence of gains recognized in fiscal 2010 on the sale of property and other miscellaneous asset disposals.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2012 was $243.6 million compared to $274.8 million in fiscal 2011, a decrease of $31.2 million, or 11.4%. Excluding impairment, restructuring and other charges and product registration and recall costs, income from operations decreased by $86.4 million, or 25.0%, in fiscal 2012, primarily driven by lower gross profit rates and additional SG&amp;A spending.</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Income from operations in fiscal 2011 was $274.8 million compared to $374.4 million in fiscal 2010, a decrease of $99.6 million, or 26.6%. Excluding impairment, restructuring and other charges and product registration and recall costs, income from operations decreased by $56.3 million, or 14.0%, in fiscal 2011, primarily driven by decreased net sales and lower gross margin rates, partially offset by a decrease in SG&amp;A spending.</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expense in fiscal 2012 was $61.8 million compared to $51.0 million and $43.2 million in fiscal 2011 and fiscal 2010, respectively. The increase in fiscal 2012 was primarily due to an increase in our average borrowings. Excluding the impact of foreign exchange rates, average borrowings increased by approximately $118.3 million during fiscal 2012.</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fiscal 2011 was primarily due to an increase in weighted average interest rates as a result of our fiscal 2011 refinancing activities, partially offset by a decrease in average borrowings. Weighted average interest rates increased by approximately 118 basis points in fiscal 2011 compared to fiscal 2010. Excluding the impact of foreign exchange rates, average borrowings decreased by approximately $87.3 million during fiscal 2011. In fiscal 2011, we also wrote-off $1.2 million of deferred financing fees as a result of refinancing our credit facility.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3018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03"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6500" w:type="dxa"/>
            <w:vAlign w:val="bottom"/>
            <w:gridSpan w:val="2"/>
          </w:tcPr>
          <w:p>
            <w:pPr>
              <w:ind w:left="6180"/>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2010</w:t>
            </w:r>
          </w:p>
        </w:tc>
      </w:tr>
      <w:tr>
        <w:trPr>
          <w:trHeight w:val="250"/>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7"/>
        </w:trPr>
        <w:tc>
          <w:tcPr>
            <w:tcW w:w="5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
        </w:trPr>
        <w:tc>
          <w:tcPr>
            <w:tcW w:w="5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37.7 %</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for continuing operations was 37.7% for fiscal 2012, compared to 37.2% for fiscal 2011 and 37.3% for fiscal 2010. Excluding reserves established for product registrations and recall matters, the effective tax rate for continuing operations was 36.5% and 36.0% for fiscal 2012 and fiscal 2011 respectively. Excluding the income tax expense related to the disallowance of the Medicare Part D tax deduction, the effective tax rate for continuing operations was 36.7% for fiscal 2010. Additional factors impacting the fiscal 2010 effective tax rate were an increase in state tax rates as well as the expiration of the research and development tax credit.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and Earnings per Share from Continuing Operations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reported income from continuing operations of $113.2 million, or $1.82 per diluted share, in fiscal 2012 compared to income from continuing operations of $139.9 million, or $2.11 per diluted share, in fiscal 2011. In fiscal 2012, we incurred costs of $7.1 million relating to impairment, restructuring and other charges, as well as $8.2 million in costs associated with product registration and recall matters. In fiscal 2011, we incurred $55.9 million of impairment, restructuring and other charges, as well as $14.6 million in costs associated with product registration and recall matters. Excluding these items, adjusted income from continuing operations was $124.9 million in fiscal 2012 compared to $187.2 million in fiscal 2011, a decrease of $62.3 million, primarily driven by lower gross margin rates, higher SG&amp;A spending and interest expense. Diluted weighted-average common shares outstanding decreased from 66.2 million in fiscal 2011 to 62.1 million in fiscal 2012. The decrease was primarily driven by repurchases of our common shares and a decrease in the number of dilutive equivalent shares, partially offset by the exercise of stock options. Dilutive equivalent shares for fiscal 2012 and fiscal 2011 were 1.1 million and 1.5 million, respectively. The decrease in equivalent shares was due to a decrease in our average share price.</w:t>
      </w:r>
    </w:p>
    <w:p>
      <w:pPr>
        <w:spacing w:after="0" w:line="3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reported income from continuing operations of $139.9 million, or $2.11 per diluted share, in fiscal 2011 compared to income from continuing operations of $207.7 million, or $3.07 per diluted share, in fiscal 2010. In fiscal 2011, we incurred costs of $55.9 million relating to impairment, restructuring and other charges, as well as $14.6 million in costs associated with product registration and recall matters. In fiscal 2010, we incurred $18.5 million of impairment charges, as well as $8.7 million in costs associated with product registration and recall matters. Excluding these items, adjusted income from continuing operations was $187.2 million in fiscal 2011 compared to $226.0 million in fiscal 2010, a decrease of $38.8 million, primarily driven by decreased net sales, lower gross profit rates and higher interest expense, and partially offset by a decrease in SG&amp;A spending. Diluted weighted-average common shares outstanding decreased from 67.6 million in fiscal 2010 to 66.2 million in fiscal 2011. The decrease was primarily driven by repurchases of our common shares, partially offset by the exercise of stock options and by an increase in the number of dilutive equivalent shares. Dilutive equivalent shares for fiscal 2011 and fiscal 2010 were 1.5 million and 1.3 million, respectively. The increase in equivalent shares was due to additional equity based grants and an increase in our average share price.</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our fourth quarter of fiscal 2012, we completed the wind down of the professional seed business. As a result, we began presenting this business within discontinued operations. In our second quarter of fiscal 2011 we completed the sale of Global Pro to ICL. As a result of the then-pending sale, effective in the first quarter of fiscal 2011, we began presenting Global Pro as discontinued operations. Further, in our first quarter of fiscal 2010, we began presenting Smith &amp; Hawken as discontinued operations. Prior periods have been reclassified to conform to these presentations.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Loss from discontinued operations, net of tax, was $6.7 million in fiscal 2012, while income of $28.0 million and a loss of $3.6 million were recognized in fiscal 2011 and fiscal 2010, respectively. Fiscal 2012 includes expenses associated with the wind down and disposal of the non-European professional seed business. Fiscal 2011 includes a net after-tax gain of $39.5 million on the sale of Global Pro to ICL. Fiscal 2010 is comprised of $11.9 million of income relating to Global Pro’s operations and $18 million from the sale of the Smith &amp; Hawken intellectual property, offset by costs associated with the final closure activities of Smith &amp; Hawken.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7"/>
          <w:szCs w:val="17"/>
          <w:color w:val="auto"/>
        </w:rPr>
        <w:t>Our continuing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This division of reportable segments is consistent with how the segments report to and are managed by the chief operating decision maker of the Company. We have made reclassifications to prior period segment amounts as a result of the change in our internal organization structure associated with the sale of a significant majority of our previously reported Global Professional segment, which is now reported in discontinued operations. Corporate &amp; Other includes revenues and expenses associated with the Company’s supply agreements with ICL and the amortization related to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marketing agreement, as well as corporate general and administrative expenses and certain other income/expense items not allocated to the business segments.</w:t>
      </w:r>
    </w:p>
    <w:p>
      <w:pPr>
        <w:spacing w:after="0" w:line="15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segment performance based on several factors, including income from continuing operations before amortization, product registration and recall costs, and impairment, restructuring and other charges. Management uses this measure of operating profit to evaluate segment performance because we believe this measure is the most indicative of performance trends and the overall earnings potential of each segment.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segment information:</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 by Segment</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2,539.2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2,649.7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57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total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Income from Continuing Operations before Income Taxes by Segment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57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total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Product registration and recall matters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net sales increased 0.2% from $2.53 billion in fiscal 2011 to $2.54 billion in fiscal 2012. The increase in fiscal 2012 net sales was favorably impacted by volume and pricing of 0.4% and 0.6%, respectively, offset by unfavorable foreign exchange rates of 0.8%. Net sales in the U.S. increased by 1.3%, driven by an increase in pricing, higher sales of our controls and mulch products, and the national launch of our new Scotts Snap® spreader system, partially offset by declines in</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grass seed, wild bird food and plant food products. International Consumer net sales decreased 4.0% in fiscal 2012, primarily attributable to the unfavorable effect of foreign currency changes as a result of the strengthening of the U.S. dollar relative to other currencies. Excluding the impact of in foreign currency rates, net sales in International Consumer were roughly flat compared to fiscal 2011.</w:t>
      </w:r>
    </w:p>
    <w:p>
      <w:pPr>
        <w:spacing w:after="0" w:line="12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Global Consumer segment income for fiscal 2012 was $338.3 million, a decrease of $86.7 million, or 20.4%, compared to fiscal 2011. Excluding the impact of foreign exchange movements, segment income decreased by $85.6 million, or 20.1%, from fiscal 2011. The decrease in segment income for fiscal 2012 was primarily driven by a gross margin rate decline and an increase in SG&amp;A expenses. The decreased gross profit rate was primarily the result of increased material costs primarily due to packaging and fertilizer inputs, negative product mix within the U.S. driven by increased sales of mulch products, and increased distribution and warehousing as a result of an early season surge in consumer activity and continued and unplanned surge in mulch volume. The increase in SG&amp;A spending primarily related to costs associated with our planned increase in media and marketing initiatives.</w:t>
      </w:r>
    </w:p>
    <w:p>
      <w:pPr>
        <w:spacing w:after="0" w:line="1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Global Consumer segment net sales declined 4.4% from $2.65 billion in fiscal 2010 to $2.53 billion in fiscal 2011. Excluding the impact of foreign exchange movements, net sales in the Global Consumer segment decreased 5.4% in fiscal 2011, which includes a favorable impact from price increases of 1.1%. Net sales in the U.S. decreased 6.8% as a result of poor weather in the peak weeks of spring and fall lawn and garden seasons as well as lower sales in the mass merchant retail channel. The decline in net sales is also attributed to increased promotional programs through our trade partners and reduced inventories at our retailers. Excluding the impact of foreign exchange movements, International Consumer net sales increased 1.1% in fiscal 2011, primarily attributable to unit volume growth as a result of product innovation and slight increases in net pricing. The increase in International Consumer net sales was primarily driven by strong growth in Canada and Central Europe.</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Global Consumer segment income for fiscal 2011 was $425.0 million, a decrease of $65.1 million, or 13.3%, compared to fiscal 2010. Excluding the impact of foreign exchange movements, segment income decreased by $73.1 million, or 14.9%, for fiscal 2011. The decrease in segment income for fiscal 2011 was primarily driven by the decrease in net sales, a gross profit rate decline of 100 basis points and an increase in SG&amp;A expenses. The decreased gross profit rate was primarily the result of unfavorable sales mix, higher consumer promotional programs, increased material costs and reduced leverage of fixed manufacturing and warehousing costs. The increase in SG&amp;A spending primarily related to costs associated with the full year impact of operating two additional regional offices which opened in the second half of fiscal 2010, increased expenses for marketing and research and development activities, partially offset by a decrease in variable compensation expense.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p>
    <w:p>
      <w:pPr>
        <w:jc w:val="both"/>
        <w:ind w:firstLine="432"/>
        <w:spacing w:after="0" w:line="210"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$10.2 million, or 4.3%, to $245.8 million in fiscal 2012, primarily due to increased customer retention, fully year impact of acquisitions and new customer sales.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income increased $1.1 million to $27.0 million in fiscal 2012. The improved operating results were driven by higher net sales and improved labor productivity, partially offset by higher product costs and SG&amp;A, which was primarily the outcome of higher performance based variable compensation.</w:t>
      </w:r>
    </w:p>
    <w:p>
      <w:pPr>
        <w:spacing w:after="0" w:line="70"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$11.5 million, or 5.1%, to $235.6 million in fiscal 2011, primarily due to improved sales efforts, higher customer satisfaction rates and improved customer retention.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income increased $4.9 million to $25.9 million in fiscal 2011. The improved operating results were driven by higher sales and lower SG&amp;A spending, partially offset by a decline in the gross margin rate as a result of higher fuel and urea costs, investments in mobile technology for service trucks and higher benefits costs.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Corporate &amp; Other increased $10.2 million to $41.1 million in fiscal 2012, primarily due to our ICL supply agreements, which commenced shortly after the sale of Global Pro in our second quarter of fiscal 2011. Net expense for Corporate &amp; Other increased by $1.3 million in fiscal 2012, driven by increased variable compensation of $1.3 million.</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Net sales for Corporate &amp; Other were $30.9 million in fiscal 2011, primarily due to our ICL supply agreements, which commenced shortly after the sale of Global Pro in our second quarter of fiscal 2011. Net expense for Corporate &amp; Other decreased by $4.6 million in fiscal 2011, driven by a decline in variable compensation, partially offset by severance costs, consulting fees and the non-recurrence of a gain recorded on the sale of property in fiscal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provided by operating activities increased by $31.3 million to $153.4 million in fiscal 2012 from $122.1 million in fiscal 2011. Excluding the impact of discontinued operations, cash provided by operating activities decreased by $48.2 million to $143.1 million in fiscal 2012 compared to a decrease of $118.1 million in fiscal 2011. Excluding discontinued operations and non-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operating expenses, income from continuing operations decreased by approximately $24.7 million primarily due to lower gross profit rates and higher advertising expenses.</w:t>
      </w:r>
    </w:p>
    <w:p>
      <w:pPr>
        <w:spacing w:after="0" w:line="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Cash provided by operating activities decreased by $173.8 million to $122.1 million in fiscal 2011 from $295.9 million in fiscal 2010. Excluding the impact of discontinued operations, cash provided by operating activities decreased by $118.1 million to $191.3 million in fiscal 2011 compared to $309.4 million in fiscal 2010. Excluding discontinued operations and non-cash operating expenses, income from continuing operations decreased by approximately $60.6 million primarily due to lower net sales and lower gross profit rates. In addition, operating cash flows were used to support higher working capital for continuing operations, which increased by approximately $57.2 million in fiscal 2011. This decrease was driven by higher inventories as a result of lower than anticipated sales and a decline in other current liabilities primarily due to lower variable compensation accruals.</w:t>
      </w:r>
    </w:p>
    <w:p>
      <w:pPr>
        <w:spacing w:after="0" w:line="12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the second quarter of the fiscal year in line with the timing of sales to support our retailers’ spring selling season. These balances liquidate during the June through September period as the lawn and garden season unwinds. Unlike our core Global Consumer segment,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typically has its highest receivables balance in the fourth quarter because of the seasonal timing of customer applications and service revenues.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Cash used in investing activities totaled $75.7 million in fiscal 2012, as compared to cash provided by investing activities of $153.5 million for fiscal 2011. The change in our investing activities was primarily driven by the cash received from the sale of our Global Pro business, which generated $253.6 million in cash in fiscal 2011. Capital spending decreased from $72.7 million in fiscal 2011 to $69.4 million in fiscal 2012. Significant capital projects during fiscal 2012 included a new growing media plant in Texas, additional capital for our liquid production facilities in Iowa and Mississippi, improvements at various other growing media production facilities and investments in information technology. Further, during fiscal 2012 we completed an acquisition within our Global Consumer segment with total cash paid of $6.7 million.</w:t>
      </w:r>
    </w:p>
    <w:p>
      <w:pPr>
        <w:spacing w:after="0" w:line="5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Cash provided by investing activities totaled $153.5 million in fiscal 2011, as compared to cash used in investing activities of $58.9 million for fiscal 2010. Fiscal 2011 investing activities included net cash of $253.6 million provided by the sale of Global Pro business. In fiscal 2010, we received cash of $24.5 million for the sale of long-lived assets, primarily for the intellectual property of Smith &amp; Hawken. Capital spending decreased from $83.4 million in fiscal 2010 to $72.7 million in fiscal 2011. Significant capital projects during fiscal 2011 included a new growing media plant in Missouri, additional capital for our liquid production facility in Mississippi, improvements at various other growing media production facilities and investments in information technology. Further, during fiscal 2011 we completed several acquisitions with total cash paid of $7.6 million.</w:t>
      </w:r>
    </w:p>
    <w:p>
      <w:pPr>
        <w:spacing w:after="0" w:line="124"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6"/>
          <w:szCs w:val="16"/>
          <w:color w:val="auto"/>
        </w:rPr>
        <w:t>For the three years ended September 30, 2012, our capital spending was allocated as follows: 51.6% for expansion and maintenance of existing Global Consumer productive assets; 27.1% for new productive assets supporting our Global Consumer segment; 12.1% to expand our information technology and transformation and integration capabilities; 2.0% for expansion and upgrades of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infrastructure; and 7.2% for Corporate &amp; Other assets.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Financing activities used cash of $79.3 million and $230.7 million in fiscal 2012 and fiscal 2011, respectively. Cash returned to shareholders through dividends of $75.4 million and the repurchasing of Common Shares of $17.5 million were significant elements of cash used in financing activities in fiscal 2012. Net payments under our credit facilities were $10.6 million in fiscal 2012, compared to $22.0 million in fiscal 2011. Financing activities also included a decrease in cash received from the exercise of stock options of $13.9 million in fiscal 2012 compared to fiscal 2011.</w:t>
      </w:r>
    </w:p>
    <w:p>
      <w:pPr>
        <w:spacing w:after="0" w:line="3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Financing activities used cash of $230.7 million and $216.3 million in fiscal 2011 and fiscal 2010, respectively. Cash returned to shareholders through Common Share repurchases of $358.7 million and dividends of $67.9 million were significant elements of cash used in financing activities in fiscal 2011. Net repayments under our credit facilities were $22.0 million in fiscal 2011, compared to $370.0 million in fiscal 2010. Financing activities in fiscal 2011 also included debt financing and issuance fees of $18.9 million attributable to the refinancing of our then existing credit facilities in June 2011 and our $200.0 million bond offering in December 2010, the proceeds of which were used to reduce outstanding borrowings under our then existing credit facilities and for general corporate purposes. In addition, cash received from the exercise of stock options increased by $9.0 million in fiscal 2011 compared to fiscal 2010.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$131.9 million as of September 30, 2012, compared to $130.9 million as of September 30, 2011. The cash and cash equivalents balance at September 30, 2012 included $118.6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if we sell or liquidate any of these foreign corporations, we may be required to pay associated taxes on the repatriation.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our domestic subsidiaries. On June 30, 2011, we and certain of our subsidiaries entered into a second amended and restated senior secured credit facility, providing for revolving loans in the aggregate principal amount of up to $1.7 billion over a five years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the our lenders. The credit facility replaced our previous senior secured credit facilities, which were comprised of: (a) a senior secured revolving loan facility in the aggregate principal amount of up to $1.59 billion and (b) a senior secured term loan facility totaling $560 million. The previous credit facilities were scheduled to expire in February 2012.</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terms of the credit facility provide for customary representations and warranties and affirmative covenants. The credit facility also contains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our fiscal year end; modifications of certain debt instruments; negative pledge clauses; entering into new lines of business; and restricted payments, which are limited to an aggregate of $125 million annually through fiscal 2013 and $150 million annually beginning in fiscal 2014 if our leverage ratio, after giving effect to any such annual dividend payment, exceeds 2.50. The credit facility is secured by collateral that includes the capital stock of specified subsidiaries, substantially all domestic accounts receivable (exclusive of any “sold” receivables), inventory and equipment. The credit facility is guaranteed by substantially all of our domestic subsidiaries.</w:t>
      </w:r>
    </w:p>
    <w:p>
      <w:pPr>
        <w:spacing w:after="0" w:line="1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Under our credit facility, we have the ability to issue letter of credit commitments up to $75 million. At September 30, 2012, the Company had letters of credit in the aggregate face amount of $25.9 million outstanding, and $1.3 billion of availability under its credit facility. “NOTE 11. DEBT” of the Notes to Consolidated Financial Statements included in this Annual Report on Form 10-K provides additional information regarding our borrowing arrangements.</w:t>
      </w:r>
    </w:p>
    <w:p>
      <w:pPr>
        <w:spacing w:after="0" w:line="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January 14, 2010, we issued $200 million aggregate principal amount of 7.25% Senior Notes due 2018 (the “7.25% Senior Notes”). The net proceeds of the offering were used to reduce outstanding borrowings under our then existing credit facilities. The 7.25% Senior Notes represent general unsecured senior obligations, and were sold to the public at 99.254% of the principal amount thereof, to yield 7.375% to maturity. The 7.25% Senior Notes have interest payment dates of January 15 and July 15 of each year,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or redemptions of Scotts Miracle-Gro stock and prepayments of subordinated debt, limitations on asset sales and restrictions on transactions with affiliates. The 7.25% Senior Notes mature on January 15, 2018. Substantially all of our domestic subsidiaries serve as guarantors of the 7.25% Senior Notes.</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December 16, 2010, we issued $200 million aggregate principal amount of 6.625% Senior Notes due 2020 (the “6.625%" Senior Notes”) in a private placement exempt from the registration requirements under the Securities Act of 1933, as amended. The net proceeds of the offering were used to repay outstanding borrowings under our then existing credit facilities and for general corporate purposes. The 6.625% Senior Notes represent general unsecured senior obligations and rank equal in right of payment with the our existing and future unsecured senior debt, including, without limitation, the 7.25% Senior Notes. The 6.625% Senior Notes have interest payment dates of June 15 and December 15 of each year, which began on June 15, 2011, and may be redeemed prior to maturity at applicable redemption premiums. The 6.625% Senior Notes contain usual and customary incurrence-based covenants, as well as other usual and customary covenants, substantially similar to those contained in the 7.25% Senior Notes. The 6.625% Senior Notes mature on December 15, 2020. Substantially all of our domestic subsidiaries serve as guarantors of the 6.625% Senior Notes.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in compliance with the terms of all debt covenants at September 30, 2012. The credit facility contains, among other obligations, an affirmative covenant regarding our leverage ratio, calculated as average total indebtedness, as described in the our credit facility, relative to the our EBITDA, as adjusted pursuant to the terms of the credit facility (“Adjusted EBITDA”). Under the terms of the credit facility, the maximum allowable leverage ratio was 3.50 as of September 30, 2012. Our leverage ratio was 2.93 at September 30, 2012. Our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allowable interest coverage ratio was 3.50 for the year ended September 30, 2012. Our interest coverage ratio was 4.90 for the year ended September 30, 2012. The weighted average interest rates on average debt were 6.0% and 5.9% for fiscal 2012 and fiscal 2011, respectively. Please see “ITEM 6. SELECTED FINANCIAL DATA” of this Annual Report on Form 10-K for further details pertaining to the calculations of the foregoing ratios.</w:t>
      </w:r>
    </w:p>
    <w:p>
      <w:pPr>
        <w:spacing w:after="0" w:line="12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2012, we had outstanding interest rate swap agreements with major financial institutions that effectively converted a portion of variable-rate debt denominated in U.S. dollars to a fixed rate. The swap agreements had a total U.S. dollar notional amount of $700 million at September 30, 2012.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4"/>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Pr>
          <w:p>
            <w:pPr>
              <w:spacing w:after="0"/>
              <w:rPr>
                <w:sz w:val="16"/>
                <w:szCs w:val="16"/>
                <w:color w:val="auto"/>
              </w:rPr>
            </w:pPr>
          </w:p>
        </w:tc>
        <w:tc>
          <w:tcPr>
            <w:tcW w:w="2160" w:type="dxa"/>
            <w:vAlign w:val="bottom"/>
          </w:tcPr>
          <w:p>
            <w:pPr>
              <w:jc w:val="right"/>
              <w:ind w:right="85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800" w:type="dxa"/>
            <w:vAlign w:val="bottom"/>
          </w:tcPr>
          <w:p>
            <w:pPr>
              <w:jc w:val="right"/>
              <w:ind w:right="1174"/>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2/7/2012</w:t>
            </w:r>
          </w:p>
        </w:tc>
        <w:tc>
          <w:tcPr>
            <w:tcW w:w="1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5/7/2016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2/16/2010</w:t>
            </w:r>
          </w:p>
        </w:tc>
        <w:tc>
          <w:tcPr>
            <w:tcW w:w="1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12/20/2011</w:t>
            </w:r>
          </w:p>
        </w:tc>
        <w:tc>
          <w:tcPr>
            <w:tcW w:w="1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6/20/2016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shd w:val="clear" w:color="auto" w:fill="CCEEFF"/>
          </w:tcPr>
          <w:p>
            <w:pPr>
              <w:spacing w:after="0"/>
              <w:rPr>
                <w:sz w:val="21"/>
                <w:szCs w:val="21"/>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right="20" w:hanging="652"/>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26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November 15, 2012, we entered into a new Master Accounts Receivable Purchase Agreement (the “2012 MARP Agreement”), with an initial stated termination date of October 30, 2013, or such later date as may be mutually agreed by the Company and the banks party thereto. The 2012 MARP Agreement, which is uncommitted, provides for the discretionary sale by the Company, and the discretionary purchase by the banks, on a revolving basis, of accounts receivable generated by sales to three specified debtors in an aggregate amount not to exceed $400 million, with debtor sublimits ranging from $100 million to $200 million. Under the terms of the 2012 MARP Agreement, the banks have the opportunity, but not the obligation, to purchase those accounts receivable offered by us at a discount (from the agreed base value thereof) effectively equal to the greater of 7-day or 3-month LIBOR plus 0.75%. The 2012 MARP Agreement replaced our previous Master Accounts Receivable Purchase Agreement, which provided for the discounted sale, on an uncommitted revolving basis, of accounts receivable generated by two specified debtors in an aggregate amount not to exceed $325 million and an interest rate effectively equal to the greater of 7-day or 3-month LIBOR plus 1.05%. The previous Master Accounts Receivable Purchase Agreement expired on September 21, 2012. We account for the sale of receivables under the Master Accounts Receivable Purchase Agreements as short-term debt and continue to carry the receivables on our Consolidated Balance Sheet, primarily as a result of our right to repurchase receivables sold. There were no short-term borrowings under the Master Accounts Receivable Purchase Agreements as of September 30, 2012 and 2011.</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2013.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our opinion, cash flows from operations and capital resources will be sufficient to meet debt service, capital expenditures and working capital needs during fiscal 2013, and thereafter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 as further discussed in “ITEM 1A. RISK FACTORS — Our indebtedness could limit our flexibility and adversely affect our financial condition” of this Annual Report on Form 10-K.</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1,558.4</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long-term debt obligations and interest payments due primarily under the 7.25% and 6.625% Senior Notes and our credit facility. Amounts in the table represent scheduled future maturities of long-term debt principal for the periods indicated. The interest payments for our credit facility is based on outstanding borrowings as of September 30, 2012. Actual interest expense will likely be higher due to the seasonality of our business and associated higher average borrowings.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Purchase obligations primarily represent commitments for materials used in our manufacturing processes, as well as commitments for warehouse services, seed and out-sourced information services which comprise the unconditional purchase obligations disclosed in “NOTE 18. COMMITMENTS” of the Notes to Consolidated Financial Statements included in this Annual Report on Form 10-K.</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includes actuarially determined retiree benefit payments and pension funding to comply with local funding requirements. Pension funding requirements beyond fiscal 2013 are based on preliminary estimates using actuarial assumptions determined as of September 30, 2012. The above table excludes liabilities for unrecognized tax benefits and insurance accruals as the Company is unable to estimate the timing of the payment for these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At September 30, 2012, the Company had letters of credit in the aggregate face amount of $25.9 million outstanding. Further, the Company has residual value guarantees on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 and the corporate aircraft as disclosed in “NOTE 17. OPERATING LEASES” of the Notes to Consolidated Financial Statements included in this Annual Report on Form 10-K.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including those described in “ITEM 3. LEGAL PROCEEDINGS” of this Annual Report on Form 10-K and “NOTE 19. CONTINGENCIES” of the Notes to Consolidated Financial Statements included in this Annual Report on Form 10-K.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(“GAAP”). Certain accounting policies are particularly significant, including those related to revenue recognition, goodwill and intangibles, certain associate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Inventories are stated at the lower of cost or market, principally determined by the first-in, first-out method of accounting, using an average costing approach. Inventories include the cost of raw materials, labor, manufacturing overhead and freight and in-bound handling costs incurred to pre-position goods in our warehouse network.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over their estimated useful economic lives typically ranging from 3 to 25 years. We review long-lived assets whenever circumstances change such that the indicated recorded value of an asset may not be recoverable and therefore impaired.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Fair value estimates employed in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tradenames; (ii) royalty rates used in our tradename valuations; (iii) projected revenue and operating profit growth rates used in the reporting unit and tradename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124"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6"/>
          <w:szCs w:val="16"/>
          <w:color w:val="auto"/>
        </w:rPr>
        <w:t>At September 30, 2012, goodwill totaled $309.4 million, with $182.1 million and $127.3 million of goodwill for Global Consumer and Scotts LawnService segments, respectively. No goodwill impairment was recognized as a result of the annual evaluation performed as of July 1, 2012. The estimated fair value of each reporting unit was substantially in excess of its carrying value as of the annual test date. At September 30, 2012, indefinite-lived intangible assets comprised of tradenames totaled $232.3 million. Each of these tradenames had an estimated fair value substantially in excess of its carrying value as of the annual test date, with the exception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tradename and French tradenames of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Fertiligene</w:t>
      </w:r>
      <w:r>
        <w:rPr>
          <w:rFonts w:ascii="Arial" w:cs="Arial" w:eastAsia="Arial" w:hAnsi="Arial"/>
          <w:sz w:val="22"/>
          <w:szCs w:val="22"/>
          <w:color w:val="auto"/>
          <w:vertAlign w:val="superscript"/>
        </w:rPr>
        <w:t>®</w:t>
      </w:r>
      <w:r>
        <w:rPr>
          <w:rFonts w:ascii="Arial" w:cs="Arial" w:eastAsia="Arial" w:hAnsi="Arial"/>
          <w:sz w:val="16"/>
          <w:szCs w:val="16"/>
          <w:color w:val="auto"/>
        </w:rPr>
        <w:t>. The carrying value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tradename and French tradenames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Fertiligene</w:t>
      </w:r>
      <w:r>
        <w:rPr>
          <w:rFonts w:ascii="Arial" w:cs="Arial" w:eastAsia="Arial" w:hAnsi="Arial"/>
          <w:sz w:val="22"/>
          <w:szCs w:val="22"/>
          <w:color w:val="auto"/>
          <w:vertAlign w:val="superscript"/>
        </w:rPr>
        <w:t>®</w:t>
      </w:r>
      <w:r>
        <w:rPr>
          <w:rFonts w:ascii="Arial" w:cs="Arial" w:eastAsia="Arial" w:hAnsi="Arial"/>
          <w:sz w:val="16"/>
          <w:szCs w:val="16"/>
          <w:color w:val="auto"/>
        </w:rPr>
        <w:t>) at September 30, 2012 were $137.1 million and $17.7 million, respectively. The excess fair value over the carrying value of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tradename and French tradenames were 7.4% and 14.1%, respectively. If future analyses indicate that fair value has declined below carrying value, the result will be an impairment of a portion of the indefinite-lived intangible asset value.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 rate; expected salary increases; certain employee-related factors, such as turnover, retirement age and mortality; expected return on plan assets; and health care cost trend rates.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0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insurance for certain risks, including workers’ compensation, general liability and vehicle liability, and are self-insured for employee-related health care benefits up to a specified level for individual claims.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described more fully in “NOTE 19. CONTINGENCIES” of the Notes to Consolidated Financial Statements included in this Annual Report on Form 10-K, we are involved in significant environmental and legal matters which have a high degree of uncertainty associated with them. We continually assess the likely outcomes of these matters and the adequacy of reserves, if any, provided for their resolution. There can be no assurance that the ultimate outcomes of these matters will not differ materially from our current assessment of them, nor that all matters that may currently be brought against us are known by us at this time.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variable rate debt instruments outstanding at September 30, 2012 and 2011 that are impacted by changes in interest rates. As a means of managing our interest rate risk on these debt instruments, we entered into interest rate swap agreements with major financial institutions to effectively fix the LIBOR index on certain variable-rate debt obligations.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At September 30, 2012 and 2011, we had outstanding interest rate swap agreements with a total U.S. dollar equivalent notional value of $700.0 million and $900.0 million, respectively. The weighted average fixed rate of swap agreements outstanding at September 30, 2012 was 3.0%.</w:t>
      </w:r>
    </w:p>
    <w:p>
      <w:pPr>
        <w:spacing w:after="0" w:line="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following table summarizes information about our derivative financial instruments and debt instruments that are sensitive to changes in interest rates as of September 30, 2012 and 2011.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effect at September 30, 2012 and 2011. A change in our variable interest rate of 100 basis points for a full twelve-month period would have a $2.5 million impact on interest expense assuming approximately $250 million of our average fiscal 2012 variable-rate debt had not been hedged via an interest rate swap agreement. The information is presented in U.S. dollars (in millions):</w:t>
      </w:r>
    </w:p>
    <w:p>
      <w:pPr>
        <w:spacing w:after="0" w:line="349"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center"/>
              <w:ind w:right="11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5"/>
                <w:szCs w:val="5"/>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1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377.1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2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5"/>
              </w:rPr>
              <w:t>Expected Maturity Date</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3"/>
              </w:rPr>
              <w:t>2011</w:t>
            </w:r>
          </w:p>
        </w:tc>
        <w:tc>
          <w:tcPr>
            <w:tcW w:w="2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20" w:type="dxa"/>
            <w:vAlign w:val="bottom"/>
            <w:gridSpan w:val="2"/>
            <w:vMerge w:val="continue"/>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Excluded from the information provided above are $5.5 million and $7.8 million at September 30, 2012 and 2011, respectively, of miscellaneous 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Through fiscal 2012, we had transactions that were denominated in currencies other than the currency of the country of origin. We use foreign currency swap contracts to manage the exchange rate risk associated with intercompany loans with foreign subsidiaries that are denominated in local currencies. At September 30, 2012, the notional amount of outstanding foreign currency swap contracts was $61.8 million with a negative fair value of $1.0 million. At September 30, 2011, the notional amount of outstanding foreign currency swap contracts was $217.9 million with a fair value of $2.7 million.</w:t>
      </w:r>
    </w:p>
    <w:p>
      <w:pPr>
        <w:spacing w:after="0" w:line="10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7"/>
          <w:szCs w:val="17"/>
          <w:color w:val="auto"/>
        </w:rPr>
        <w:t>We are subject to market risk from fluctuating prices of certain raw materials, including urea, resins, diesel, gasoline, sphagnum peat, grass seed and wild bird food grains. Our objectives surrounding the procurement of these materials are to ensure continuous supply and to minimize costs. We seek to achieve these objectives through negotiation of contracts with favorable terms directly with vendors. In addition, we entered into arrangements to partially mitigate the effect of fluctuating direct and indirect fuel costs on our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businesses and hedged a portion of our fuel and urea needs for fiscal 2012 and fiscal 2011. We had outstanding derivative contracts for approximately 11,984,000 gallons of fuel with a fair value of $1.2 million at September 30, 2012. We had outstanding derivative contracts for approximately 3,955,000 gallons of fuel with a negative fair value of $0.8 million at September 30, 2011. We also had outstanding derivative contracts for 34,500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4,500 aggregate tons of urea at September 30, 2012 and 2011, respectively. The fair value of the outstanding derivative contracts for 34,500 aggregate tons at September 30, 2012 was $0.8 million, while the fair value of the outstanding derivative contracts for 4,500 aggregate tons at September 30, 2011 was $0.1 million.</w:t>
      </w:r>
    </w:p>
    <w:p>
      <w:pPr>
        <w:spacing w:after="0" w:line="3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48 of this Annual Report on Form 10-K.</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49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50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Exchange Act) occurred during the Registrant’s fiscal quarter ended September 30, 2012, that have materially affected, or are reasonably likely to materially affect, the Registrant’s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November 15, 2012, The Scotts Miracle-Gro Company (”Scotts Miracle-Gro”) and its wholly-owned subsidiary, The Scotts Company LLC (“Scotts LLC”), entered into a Master Accounts Receivable Purchase Agreement (the “Agreement”) by and among Scotts LLC, Scotts Miracle-Gro, Mizuho Corporate Bank, Ltd., as Administrative Agent and as a Bank (“Mizuho”), and The Bank of Nova Scotia, RB Receivables LLC and Suntrust Bank, as Banks (collectively with Mizuho, the “Banks”).</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Agreement, which is uncommitted, provides for the discretionary sale by Scotts LLC, and the discretionary purchase by the Banks, on a revolving basis, of accounts receivable generated by sales to three specified debtors in an aggregate amount not to exceed $400 million, with debtor sublimits ranging from $100 million to $200 million. Under the terms of the Agreement, the Banks have the opportunity, but not the obligation, to purchase those accounts receivable offered by Scotts LLC at a discount (from the agreed base value thereof) effectively equal to the greater of 7-day or 3-month LIBOR plus 0.75%. Scotts LLC will continue to be responsible for the servicing and administration of the receivables sold to the Banks until the occurrence of a termination event under the Agreement.</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Agreement provides that although the specified accounts receivable may be sold to the Banks, the Banks have the right to require Scotts LLC to repurchase uncollected receivables on weekly settlement dates and upon the occurrence of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termination events, including the breach of any covenant made by Scotts LLC or Scotts Miracle-Gro with respect to such receivables. The Banks do not have the right, however, to require Scotts LLC to repurchase any uncollected receivables if the receivables are not paid when due or cannot be paid solely as a result of the applicable debtor's financial inability to pay. Scotts LLC has the right at any time to repurchase receivables which have been sold to the Banks pursuant to the Agreement.</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terms of the Agreement include customary representations, warranties, covenants and indemnities for transactions of this type. All of Scotts LLC's obligations under the Agreement are guaranteed by Scotts Miracle-Gro. The Agreement has an initial stated termination date of October 30, 2013, which may be extended by mutual agreement of Scotts LLC and the Banks. Certain of the Banks, or their affiliates, have in the past provided investment or commercial banking services to Scotts Miracle-Gro and its affiliates for which they received customary fees and expenses and they may provide similar services in the future.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Agreement replaces the previous Master Accounts Receivable Purchase Agreement, which expired on September 21, 2012.</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summary of the material terms of the Agreement is qualified in its entirety by reference to the Agreement, which is filed as Exhibit 10.16 to this Annual Report on Form 10-K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17, 2013 (the “2013 Annual Meeting”) is incorporated herein by reference from the disclosure which will be included under the caption “PROPOSAL NUMBER 1 — ELECTION OF DIRECTORS” in Scotts Miracle-Gro’s definitive Proxy Statement relating to the 2013 Annual Meeting (“Scotts Miracle-Gro’s Definitive Proxy Statement”), which will be filed pursuant to SEC Regulation 14A not later than 120 days after the end of Scotts Miracle-Gro’s fiscal year ended September 30, 2012.</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Governance and Nominating Committee” in Scotts Miracle-Gro’s Definitive Proxy Statement. These procedures have not materially changed from those described in Scotts Miracle-Gro’s definitive Proxy Statement for the 2012 Annual Meeting of Shareholders held on January 19, 2012.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 Audit Committee” in Scotts Miracle-Gro’s Definitive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and Ethics; Corporate Governance Guidelines</w:t>
      </w:r>
    </w:p>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Governance and Nominating Committee, the Compensation and Organization Committee, the Finance Committee and the Innovation &amp; Technology Committee, as well as Corporate Governance Guidelines, as contemplated by the applicable sections of the New York Stock Exchange Listed Company Manual.</w:t>
      </w:r>
    </w:p>
    <w:p>
      <w:pPr>
        <w:spacing w:after="0" w:line="12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and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and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w:t>
      </w:r>
    </w:p>
    <w:p>
      <w:pPr>
        <w:spacing w:after="0" w:line="12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text of Scotts Miracle-Gro’s Code of Business Conduct and Ethics, Scotts Miracle-Gro’s Corporate Governance Guidelines, the Audit Committee charter, the Governance and Nominating Committee charter, the Compensation and Organization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Committee charter, the Finance Committee charter and the Innovation &amp; Technology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and Ethics, as revised effective January 18, 2012, is incorporated by reference in Exhibit 14 to this Annual Report on Form 10-K.</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5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information required by Item 402 of SEC Regulation S-K is incorporated herein by reference from the disclosures which will be included under the captions “EXECUTIVE COMPENSATION” and “NON-EMPLOYEE DIRECTOR COMPENSATION” in Scotts Miracle-Gro’s Definitive Proxy Statement.</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680" w:hanging="240"/>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48 of this Annual Report on Form 10-K.</w:t>
      </w:r>
    </w:p>
    <w:p>
      <w:pPr>
        <w:spacing w:after="0" w:line="116" w:lineRule="exact"/>
        <w:rPr>
          <w:sz w:val="20"/>
          <w:szCs w:val="20"/>
          <w:color w:val="auto"/>
        </w:rPr>
      </w:pPr>
    </w:p>
    <w:p>
      <w:pPr>
        <w:ind w:left="700" w:hanging="26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exhibits listed on the “Index to Exhibits” beginning on page 109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680" w:hanging="24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48 of this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Hagedorn, Chief Executive Officer and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20, 2012</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6200" w:type="dxa"/>
            <w:vAlign w:val="bottom"/>
            <w:gridSpan w:val="3"/>
          </w:tcPr>
          <w:p>
            <w:pPr>
              <w:ind w:left="3080"/>
              <w:spacing w:after="0"/>
              <w:rPr>
                <w:sz w:val="20"/>
                <w:szCs w:val="20"/>
                <w:color w:val="auto"/>
              </w:rPr>
            </w:pPr>
            <w:r>
              <w:rPr>
                <w:rFonts w:ascii="Arial" w:cs="Arial" w:eastAsia="Arial" w:hAnsi="Arial"/>
                <w:sz w:val="14"/>
                <w:szCs w:val="14"/>
                <w:b w:val="1"/>
                <w:bCs w:val="1"/>
                <w:color w:val="auto"/>
              </w:rPr>
              <w:t>Title</w:t>
            </w:r>
          </w:p>
        </w:tc>
        <w:tc>
          <w:tcPr>
            <w:tcW w:w="19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Alan H. Barry*</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Alan H. Barry</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80"/>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w w:val="99"/>
              </w:rPr>
              <w:t>Chief Financial Officer and Executive Vice President, Strategy and Business</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David C. Evans</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Development (Principal Financial Officer and</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David C. Evans</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Principal Accounting Officer)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Joseph P. Flannery*</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Joseph P. Flannery</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James Hagedorn</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Chairman of the Board and 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James Hagedorn</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Adam Hanft*</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Adam Hanft</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Stephen L. Johnson*</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Stephen L. Johnson</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William G. Jurgensen*</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William G. Jurgensen</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Thomas N. Kelly Jr.*</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Thomas N. Kelly Jr.</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Carl F. Kohrt, Ph.D.*</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Carl F. Kohrt, Ph.D.</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8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November 20, 2012</w:t>
            </w:r>
          </w:p>
        </w:tc>
      </w:tr>
      <w:tr>
        <w:trPr>
          <w:trHeight w:val="230"/>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Littlefield*</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Hagedorn Littlefield</w:t>
      </w:r>
    </w:p>
    <w:p>
      <w:pPr>
        <w:sectPr>
          <w:pgSz w:w="11900" w:h="16838" w:orient="portrait"/>
          <w:cols w:equalWidth="0" w:num="1">
            <w:col w:w="11420"/>
          </w:cols>
          <w:pgMar w:left="240" w:top="122"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880" w:type="dxa"/>
            <w:vAlign w:val="bottom"/>
            <w:gridSpan w:val="5"/>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Table of Contents</w:t>
              </w:r>
            </w:hyperlink>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15"/>
        </w:trPr>
        <w:tc>
          <w:tcPr>
            <w:tcW w:w="3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34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2900" w:type="dxa"/>
            <w:vAlign w:val="bottom"/>
            <w:gridSpan w:val="3"/>
          </w:tcPr>
          <w:p>
            <w:pPr>
              <w:jc w:val="center"/>
              <w:ind w:left="135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580" w:type="dxa"/>
            <w:vAlign w:val="bottom"/>
            <w:gridSpan w:val="4"/>
          </w:tcPr>
          <w:p>
            <w:pPr>
              <w:ind w:left="80"/>
              <w:spacing w:after="0"/>
              <w:rPr>
                <w:sz w:val="20"/>
                <w:szCs w:val="20"/>
                <w:color w:val="auto"/>
              </w:rPr>
            </w:pPr>
            <w:r>
              <w:rPr>
                <w:rFonts w:ascii="Arial" w:cs="Arial" w:eastAsia="Arial" w:hAnsi="Arial"/>
                <w:sz w:val="18"/>
                <w:szCs w:val="18"/>
                <w:color w:val="auto"/>
              </w:rPr>
              <w:t>Nancy G. Mistretta*</w:t>
            </w: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00" w:type="dxa"/>
            <w:vAlign w:val="bottom"/>
            <w:gridSpan w:val="3"/>
          </w:tcPr>
          <w:p>
            <w:pPr>
              <w:jc w:val="center"/>
              <w:ind w:left="1374"/>
              <w:spacing w:after="0"/>
              <w:rPr>
                <w:sz w:val="20"/>
                <w:szCs w:val="20"/>
                <w:color w:val="auto"/>
              </w:rPr>
            </w:pPr>
            <w:r>
              <w:rPr>
                <w:rFonts w:ascii="Arial" w:cs="Arial" w:eastAsia="Arial" w:hAnsi="Arial"/>
                <w:sz w:val="18"/>
                <w:szCs w:val="18"/>
                <w:color w:val="auto"/>
                <w:w w:val="91"/>
              </w:rPr>
              <w:t>November 20, 2012</w:t>
            </w:r>
          </w:p>
        </w:tc>
      </w:tr>
      <w:tr>
        <w:trPr>
          <w:trHeight w:val="27"/>
        </w:trPr>
        <w:tc>
          <w:tcPr>
            <w:tcW w:w="10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Nancy G. Mistretta</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580" w:type="dxa"/>
            <w:vAlign w:val="bottom"/>
            <w:gridSpan w:val="4"/>
          </w:tcPr>
          <w:p>
            <w:pPr>
              <w:ind w:left="80"/>
              <w:spacing w:after="0"/>
              <w:rPr>
                <w:sz w:val="20"/>
                <w:szCs w:val="20"/>
                <w:color w:val="auto"/>
              </w:rPr>
            </w:pPr>
            <w:r>
              <w:rPr>
                <w:rFonts w:ascii="Arial" w:cs="Arial" w:eastAsia="Arial" w:hAnsi="Arial"/>
                <w:sz w:val="18"/>
                <w:szCs w:val="18"/>
                <w:color w:val="auto"/>
              </w:rPr>
              <w:t>Stephanie M. Shern*</w:t>
            </w: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00" w:type="dxa"/>
            <w:vAlign w:val="bottom"/>
            <w:gridSpan w:val="3"/>
          </w:tcPr>
          <w:p>
            <w:pPr>
              <w:jc w:val="center"/>
              <w:ind w:left="1374"/>
              <w:spacing w:after="0"/>
              <w:rPr>
                <w:sz w:val="20"/>
                <w:szCs w:val="20"/>
                <w:color w:val="auto"/>
              </w:rPr>
            </w:pPr>
            <w:r>
              <w:rPr>
                <w:rFonts w:ascii="Arial" w:cs="Arial" w:eastAsia="Arial" w:hAnsi="Arial"/>
                <w:sz w:val="18"/>
                <w:szCs w:val="18"/>
                <w:color w:val="auto"/>
                <w:w w:val="91"/>
              </w:rPr>
              <w:t>November 20, 2012</w:t>
            </w:r>
          </w:p>
        </w:tc>
      </w:tr>
      <w:tr>
        <w:trPr>
          <w:trHeight w:val="27"/>
        </w:trPr>
        <w:tc>
          <w:tcPr>
            <w:tcW w:w="10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Stephanie M. Shern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580" w:type="dxa"/>
            <w:vAlign w:val="bottom"/>
            <w:gridSpan w:val="4"/>
          </w:tcPr>
          <w:p>
            <w:pPr>
              <w:ind w:left="80"/>
              <w:spacing w:after="0"/>
              <w:rPr>
                <w:sz w:val="20"/>
                <w:szCs w:val="20"/>
                <w:color w:val="auto"/>
              </w:rPr>
            </w:pPr>
            <w:r>
              <w:rPr>
                <w:rFonts w:ascii="Arial" w:cs="Arial" w:eastAsia="Arial" w:hAnsi="Arial"/>
                <w:sz w:val="18"/>
                <w:szCs w:val="18"/>
                <w:color w:val="auto"/>
              </w:rPr>
              <w:t>John S. Shiely*</w:t>
            </w: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00" w:type="dxa"/>
            <w:vAlign w:val="bottom"/>
            <w:gridSpan w:val="3"/>
          </w:tcPr>
          <w:p>
            <w:pPr>
              <w:jc w:val="center"/>
              <w:ind w:left="1374"/>
              <w:spacing w:after="0"/>
              <w:rPr>
                <w:sz w:val="20"/>
                <w:szCs w:val="20"/>
                <w:color w:val="auto"/>
              </w:rPr>
            </w:pPr>
            <w:r>
              <w:rPr>
                <w:rFonts w:ascii="Arial" w:cs="Arial" w:eastAsia="Arial" w:hAnsi="Arial"/>
                <w:sz w:val="18"/>
                <w:szCs w:val="18"/>
                <w:color w:val="auto"/>
                <w:w w:val="91"/>
              </w:rPr>
              <w:t>November 20, 2012</w:t>
            </w:r>
          </w:p>
        </w:tc>
      </w:tr>
      <w:tr>
        <w:trPr>
          <w:trHeight w:val="27"/>
        </w:trPr>
        <w:tc>
          <w:tcPr>
            <w:tcW w:w="10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John S. Shiely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64" w:lineRule="exact"/>
        <w:rPr>
          <w:sz w:val="20"/>
          <w:szCs w:val="20"/>
          <w:color w:val="auto"/>
        </w:rPr>
      </w:pPr>
    </w:p>
    <w:p>
      <w:pPr>
        <w:ind w:left="500" w:hanging="465"/>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9" w:lineRule="exact"/>
        <w:rPr>
          <w:sz w:val="20"/>
          <w:szCs w:val="20"/>
          <w:color w:val="auto"/>
        </w:rPr>
      </w:pPr>
    </w:p>
    <w:p>
      <w:pPr>
        <w:ind w:left="40"/>
        <w:spacing w:after="0"/>
        <w:tabs>
          <w:tab w:leader="none" w:pos="600" w:val="left"/>
          <w:tab w:leader="none" w:pos="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David C. Evans, Attorney-in-Fact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14" w:right="27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240" w:type="dxa"/>
            <w:vAlign w:val="bottom"/>
            <w:gridSpan w:val="9"/>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Annual Report of Management on Internal Control Over Financial Reporting</w:t>
              </w:r>
            </w:hyperlink>
          </w:p>
        </w:tc>
        <w:tc>
          <w:tcPr>
            <w:tcW w:w="434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Reports of Independent Registered Public Accounting Firm</w:t>
              </w:r>
            </w:hyperlink>
          </w:p>
        </w:tc>
        <w:tc>
          <w:tcPr>
            <w:tcW w:w="1260" w:type="dxa"/>
            <w:vAlign w:val="bottom"/>
            <w:gridSpan w:val="2"/>
          </w:tcPr>
          <w:p>
            <w:pPr>
              <w:spacing w:after="0"/>
              <w:rPr>
                <w:sz w:val="21"/>
                <w:szCs w:val="21"/>
                <w:color w:val="auto"/>
              </w:rPr>
            </w:pPr>
          </w:p>
        </w:tc>
        <w:tc>
          <w:tcPr>
            <w:tcW w:w="434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20" w:type="dxa"/>
            <w:vAlign w:val="bottom"/>
            <w:gridSpan w:val="5"/>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Consolidated Statements of Operations for the fiscal years ended September 30, 2012, 2011 and 2010</w:t>
              </w:r>
            </w:hyperlink>
          </w:p>
        </w:tc>
        <w:tc>
          <w:tcPr>
            <w:tcW w:w="2580" w:type="dxa"/>
            <w:vAlign w:val="bottom"/>
            <w:gridSpan w:val="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Consolidated Statements of Cash Flows for the fiscal years ended September 30, 2012, 2011 and 2010</w:t>
              </w:r>
            </w:hyperlink>
          </w:p>
        </w:tc>
        <w:tc>
          <w:tcPr>
            <w:tcW w:w="2520" w:type="dxa"/>
            <w:vAlign w:val="bottom"/>
            <w:gridSpan w:val="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Balance Sheets at September 30, 2012 and 2011</w:t>
              </w:r>
            </w:hyperlink>
          </w:p>
        </w:tc>
        <w:tc>
          <w:tcPr>
            <w:tcW w:w="2520" w:type="dxa"/>
            <w:vAlign w:val="bottom"/>
            <w:gridSpan w:val="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Consolidated Statements of Shareholders’ Equity for the fiscal years ended September 30, 2012, 2011 and 2010</w:t>
              </w:r>
            </w:hyperlink>
          </w:p>
        </w:tc>
        <w:tc>
          <w:tcPr>
            <w:tcW w:w="184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900" w:type="dxa"/>
            <w:vAlign w:val="bottom"/>
            <w:gridSpan w:val="6"/>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Notes to Consolidated Financial Statements</w:t>
              </w:r>
            </w:hyperlink>
          </w:p>
        </w:tc>
        <w:tc>
          <w:tcPr>
            <w:tcW w:w="4900" w:type="dxa"/>
            <w:vAlign w:val="bottom"/>
            <w:gridSpan w:val="6"/>
          </w:tcPr>
          <w:p>
            <w:pPr>
              <w:spacing w:after="0"/>
              <w:rPr>
                <w:sz w:val="21"/>
                <w:szCs w:val="21"/>
                <w:color w:val="auto"/>
              </w:rPr>
            </w:pPr>
          </w:p>
        </w:tc>
        <w:tc>
          <w:tcPr>
            <w:tcW w:w="184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240" w:type="dxa"/>
            <w:vAlign w:val="bottom"/>
            <w:gridSpan w:val="9"/>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Schedule II—Valuation and Qualifying Accounts for the fiscal years ended September 30, 2012, 2011 and 2010</w:t>
              </w:r>
            </w:hyperlink>
          </w:p>
        </w:tc>
        <w:tc>
          <w:tcPr>
            <w:tcW w:w="1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07">
              <w:r>
                <w:rPr>
                  <w:rFonts w:ascii="Arial" w:cs="Arial" w:eastAsia="Arial" w:hAnsi="Arial"/>
                  <w:sz w:val="18"/>
                  <w:szCs w:val="18"/>
                  <w:color w:val="0000FF"/>
                  <w:w w:val="86"/>
                </w:rPr>
                <w:t>108</w:t>
              </w:r>
            </w:hyperlink>
          </w:p>
        </w:tc>
        <w:tc>
          <w:tcPr>
            <w:tcW w:w="20" w:type="dxa"/>
            <w:vAlign w:val="bottom"/>
          </w:tcPr>
          <w:p>
            <w:pPr>
              <w:spacing w:after="0"/>
              <w:rPr>
                <w:sz w:val="19"/>
                <w:szCs w:val="19"/>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2012, the end of our fiscal year. Management based its assessment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Management’s assessment included evaluation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2012,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2012 and has issued their attestation report which appears herein.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/s/  James Hagedorn</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  David C. Evans</w:t>
            </w:r>
          </w:p>
        </w:tc>
      </w:tr>
      <w:tr>
        <w:trPr>
          <w:trHeight w:val="27"/>
        </w:trPr>
        <w:tc>
          <w:tcPr>
            <w:tcW w:w="39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2"/>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James Hagedorn</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David C. Evans</w:t>
            </w:r>
          </w:p>
        </w:tc>
      </w:tr>
      <w:tr>
        <w:trPr>
          <w:trHeight w:val="216"/>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Chief Financial Officer and Executive Vice President,</w:t>
            </w:r>
          </w:p>
        </w:tc>
      </w:tr>
      <w:tr>
        <w:trPr>
          <w:trHeight w:val="23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Strategy and Business Development</w:t>
            </w:r>
          </w:p>
        </w:tc>
      </w:tr>
      <w:tr>
        <w:trPr>
          <w:trHeight w:val="392"/>
        </w:trPr>
        <w:tc>
          <w:tcPr>
            <w:tcW w:w="680" w:type="dxa"/>
            <w:vAlign w:val="bottom"/>
          </w:tcPr>
          <w:p>
            <w:pPr>
              <w:ind w:left="40"/>
              <w:spacing w:after="0"/>
              <w:rPr>
                <w:sz w:val="20"/>
                <w:szCs w:val="20"/>
                <w:color w:val="auto"/>
              </w:rPr>
            </w:pPr>
            <w:r>
              <w:rPr>
                <w:rFonts w:ascii="Arial" w:cs="Arial" w:eastAsia="Arial" w:hAnsi="Arial"/>
                <w:sz w:val="18"/>
                <w:szCs w:val="18"/>
                <w:color w:val="auto"/>
              </w:rPr>
              <w:t>Dated:</w:t>
            </w:r>
          </w:p>
        </w:tc>
        <w:tc>
          <w:tcPr>
            <w:tcW w:w="3280" w:type="dxa"/>
            <w:vAlign w:val="bottom"/>
          </w:tcPr>
          <w:p>
            <w:pPr>
              <w:ind w:left="160"/>
              <w:spacing w:after="0"/>
              <w:rPr>
                <w:sz w:val="20"/>
                <w:szCs w:val="20"/>
                <w:color w:val="auto"/>
              </w:rPr>
            </w:pPr>
            <w:r>
              <w:rPr>
                <w:rFonts w:ascii="Arial" w:cs="Arial" w:eastAsia="Arial" w:hAnsi="Arial"/>
                <w:sz w:val="18"/>
                <w:szCs w:val="18"/>
                <w:color w:val="auto"/>
              </w:rPr>
              <w:t>November 20, 2012</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Dated:  November 20, 2012</w:t>
            </w:r>
          </w:p>
        </w:tc>
      </w:tr>
      <w:tr>
        <w:trPr>
          <w:trHeight w:val="702"/>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55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5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audited the accompanying consolidated balance sheets of The Scotts Miracle-Gro Company and subsidiaries (the “Company”) as of September 30, 2012 and 2011, and the related consolidated statements of operations, shareholders’ equity, and cash flows for each of the three years in the period ended September 30, 2012. Our audits also included the financial statement schedules listed in the Index to Consolidated Financial Statements and Financial Statement Schedules. These financial statements and financial statement schedules are the responsibility of the Company’s management. Our responsibility is to express an opinion on these financial statements and financial statement schedules based on our audits.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September 30, 2012 and 2011, and the results of its operations and its cash flows for each of the three years in the period ended September 30, 2012,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November 20, 2012 expressed an unqualified opinion on the Company’s internal control over financial reporting.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20, 2012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5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The Scotts Miracle-Gro Company and subsidiaries (the “Company”) as of September 30, 2012, based on criteria established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which is included in the Annual Report of Management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September 30,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schedules as of and for the year ended September 30, 2012 of the Company and our report dated November 20, 2012 expressed an unqualified opinion on those financial statements and financial statement schedules.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2,826.1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1,784.4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204.1</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Table of Contents</w:t>
              </w:r>
            </w:hyperlink>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7"/>
        </w:trPr>
        <w:tc>
          <w:tcPr>
            <w:tcW w:w="1020" w:type="dxa"/>
            <w:vAlign w:val="bottom"/>
            <w:tcBorders>
              <w:top w:val="single" w:sz="8" w:color="0000FF"/>
            </w:tcBorders>
          </w:tcPr>
          <w:p>
            <w:pPr>
              <w:spacing w:after="0"/>
              <w:rPr>
                <w:sz w:val="24"/>
                <w:szCs w:val="24"/>
                <w:color w:val="auto"/>
              </w:rPr>
            </w:pPr>
          </w:p>
        </w:tc>
        <w:tc>
          <w:tcPr>
            <w:tcW w:w="6440" w:type="dxa"/>
            <w:vAlign w:val="bottom"/>
            <w:gridSpan w:val="2"/>
          </w:tcPr>
          <w:p>
            <w:pPr>
              <w:jc w:val="center"/>
              <w:ind w:left="2859"/>
              <w:spacing w:after="0"/>
              <w:rPr>
                <w:sz w:val="20"/>
                <w:szCs w:val="20"/>
                <w:color w:val="auto"/>
              </w:rPr>
            </w:pPr>
            <w:r>
              <w:rPr>
                <w:rFonts w:ascii="Arial" w:cs="Arial" w:eastAsia="Arial" w:hAnsi="Arial"/>
                <w:sz w:val="16"/>
                <w:szCs w:val="16"/>
                <w:b w:val="1"/>
                <w:bCs w:val="1"/>
                <w:color w:val="auto"/>
              </w:rPr>
              <w:t>THE SCOTTS MIRACLE-GRO COMPANY</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1"/>
                <w:szCs w:val="21"/>
                <w:color w:val="auto"/>
              </w:rPr>
            </w:pPr>
          </w:p>
        </w:tc>
        <w:tc>
          <w:tcPr>
            <w:tcW w:w="6060" w:type="dxa"/>
            <w:vAlign w:val="bottom"/>
          </w:tcPr>
          <w:p>
            <w:pPr>
              <w:jc w:val="center"/>
              <w:ind w:left="3259"/>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6060" w:type="dxa"/>
            <w:vAlign w:val="bottom"/>
          </w:tcPr>
          <w:p>
            <w:pPr>
              <w:jc w:val="center"/>
              <w:ind w:left="3239"/>
              <w:spacing w:after="0"/>
              <w:rPr>
                <w:sz w:val="20"/>
                <w:szCs w:val="20"/>
                <w:color w:val="auto"/>
              </w:rPr>
            </w:pPr>
            <w:r>
              <w:rPr>
                <w:rFonts w:ascii="Arial" w:cs="Arial" w:eastAsia="Arial" w:hAnsi="Arial"/>
                <w:sz w:val="16"/>
                <w:szCs w:val="16"/>
                <w:b w:val="1"/>
                <w:bCs w:val="1"/>
                <w:color w:val="auto"/>
                <w:w w:val="95"/>
              </w:rPr>
              <w:t>(In millions)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September 30,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20" w:type="dxa"/>
            <w:vAlign w:val="bottom"/>
            <w:shd w:val="clear" w:color="auto" w:fill="CCEEFF"/>
          </w:tcPr>
          <w:p>
            <w:pPr>
              <w:spacing w:after="0"/>
              <w:rPr>
                <w:sz w:val="5"/>
                <w:szCs w:val="5"/>
                <w:color w:val="auto"/>
              </w:rPr>
            </w:pPr>
          </w:p>
        </w:tc>
        <w:tc>
          <w:tcPr>
            <w:tcW w:w="60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Impairment, restructuring and other charges</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Amortization</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Deferred taxes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Loss (gain) on sale of long-lived assets</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Gain on sale of business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Changes in assets and liabilities, net of acquired businesses: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Restructuring reserves</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non-current items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4"/>
        </w:trPr>
        <w:tc>
          <w:tcPr>
            <w:tcW w:w="708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sale of long-lived assets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Proceeds from sale of business, net of transaction costs</w:t>
            </w:r>
          </w:p>
        </w:tc>
        <w:tc>
          <w:tcPr>
            <w:tcW w:w="3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Investments in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Contingent consideration and related payments</w:t>
            </w:r>
          </w:p>
        </w:tc>
        <w:tc>
          <w:tcPr>
            <w:tcW w:w="3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Investments in acquired businesses, net of cash acquired</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20" w:type="dxa"/>
            <w:vAlign w:val="bottom"/>
            <w:shd w:val="clear" w:color="auto" w:fill="CCEEFF"/>
          </w:tcPr>
          <w:p>
            <w:pPr>
              <w:spacing w:after="0"/>
              <w:rPr>
                <w:sz w:val="5"/>
                <w:szCs w:val="5"/>
                <w:color w:val="auto"/>
              </w:rPr>
            </w:pPr>
          </w:p>
        </w:tc>
        <w:tc>
          <w:tcPr>
            <w:tcW w:w="60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Borrowings under revolving and bank lines of credit and term loans</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1,684.0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1,610.1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1,021.4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Repayments under revolving and bank lines of credit and term loans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(1,391.4)</w:t>
            </w: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Proceeds from issuance of Senior Notes, net of discount</w:t>
            </w:r>
          </w:p>
        </w:tc>
        <w:tc>
          <w:tcPr>
            <w:tcW w:w="3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Financing and issuance fees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Purchase of common shares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Payments on sellers notes</w:t>
            </w:r>
          </w:p>
        </w:tc>
        <w:tc>
          <w:tcPr>
            <w:tcW w:w="3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Excess tax benefits from share-based payment arrangements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Cash received from exercise of stock options</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0" w:type="dxa"/>
            <w:vAlign w:val="bottom"/>
          </w:tcPr>
          <w:p>
            <w:pPr>
              <w:spacing w:after="0"/>
              <w:rPr>
                <w:sz w:val="1"/>
                <w:szCs w:val="1"/>
                <w:color w:val="auto"/>
              </w:rPr>
            </w:pPr>
          </w:p>
        </w:tc>
      </w:tr>
      <w:tr>
        <w:trPr>
          <w:trHeight w:val="217"/>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6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paid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Income taxes paid</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14" w:right="239" w:bottom="10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14" w:right="239" w:bottom="1041"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$10.5 in 2012 and $12.9 in 2011</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394.7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2,052.2</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4"/>
        </w:trPr>
        <w:tc>
          <w:tcPr>
            <w:tcW w:w="8340" w:type="dxa"/>
            <w:vAlign w:val="bottom"/>
            <w:tcBorders>
              <w:bottom w:val="single" w:sz="8" w:color="CCEEFF"/>
            </w:tcBorders>
            <w:shd w:val="clear" w:color="auto" w:fill="CCEEFF"/>
          </w:tcPr>
          <w:p>
            <w:pPr>
              <w:ind w:left="37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232.0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(Notes 3, 17, 18 and 19)</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1"/>
              </w:rPr>
              <w:t>Common shares and capital in excess of $.01 stated value per share; shares outstanding of 61.3 in 2012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60.8 in 2011</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shares, at cost; 6.8 shares in 2012 and 7.5 shares in 2011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right"/>
        <w:ind w:right="376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 share data)</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September 30, 2009</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Foreign currency translation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Gain on derivatives, net of tax of $2.9</w:t>
      </w:r>
    </w:p>
    <w:p>
      <w:pPr>
        <w:spacing w:after="0" w:line="8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Pension and other postretirement</w:t>
      </w:r>
    </w:p>
    <w:p>
      <w:pPr>
        <w:spacing w:after="0" w:line="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liabilities, net of tax of $1.0</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Dividends declared ($0.625 per share)</w:t>
      </w:r>
    </w:p>
    <w:p>
      <w:pPr>
        <w:spacing w:after="0" w:line="86" w:lineRule="exact"/>
        <w:rPr>
          <w:sz w:val="20"/>
          <w:szCs w:val="20"/>
          <w:color w:val="auto"/>
        </w:rPr>
      </w:pPr>
    </w:p>
    <w:p>
      <w:pPr>
        <w:jc w:val="both"/>
        <w:ind w:left="100" w:right="940"/>
        <w:spacing w:after="0" w:line="313" w:lineRule="auto"/>
        <w:rPr>
          <w:sz w:val="20"/>
          <w:szCs w:val="20"/>
          <w:color w:val="auto"/>
        </w:rPr>
      </w:pPr>
      <w:r>
        <w:rPr>
          <w:rFonts w:ascii="Arial" w:cs="Arial" w:eastAsia="Arial" w:hAnsi="Arial"/>
          <w:sz w:val="18"/>
          <w:szCs w:val="18"/>
          <w:color w:val="auto"/>
        </w:rPr>
        <w:t>Treasury stock purchases Treasury stock issuances Other</w:t>
      </w:r>
    </w:p>
    <w:p>
      <w:pPr>
        <w:ind w:left="100"/>
        <w:spacing w:after="0"/>
        <w:rPr>
          <w:sz w:val="20"/>
          <w:szCs w:val="20"/>
          <w:color w:val="auto"/>
        </w:rPr>
      </w:pPr>
      <w:r>
        <w:rPr>
          <w:rFonts w:ascii="Arial" w:cs="Arial" w:eastAsia="Arial" w:hAnsi="Arial"/>
          <w:sz w:val="18"/>
          <w:szCs w:val="18"/>
          <w:color w:val="auto"/>
        </w:rPr>
        <w:t>Balance at September 30, 2010</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Foreign currency translation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Loss on derivatives, net of tax of $0.7</w:t>
      </w:r>
    </w:p>
    <w:p>
      <w:pPr>
        <w:spacing w:after="0" w:line="8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Pension and other postretirement</w:t>
      </w:r>
    </w:p>
    <w:p>
      <w:pPr>
        <w:spacing w:after="0" w:line="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liabilities, net of tax of $6.9</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Dividends declared ($1.05 per share)</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Treasury stock purchases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Treasury stock issuances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September 30, 2011</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Foreign currency translation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Loss on derivatives, net of tax of $0.6</w:t>
      </w:r>
    </w:p>
    <w:p>
      <w:pPr>
        <w:spacing w:after="0" w:line="8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Pension and other postretirement</w:t>
      </w:r>
    </w:p>
    <w:p>
      <w:pPr>
        <w:spacing w:after="0" w:line="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liabilities, net of tax of $2.6</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Comprehensive income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Dividends declared ($1.225 per share)</w:t>
      </w:r>
    </w:p>
    <w:p>
      <w:pPr>
        <w:spacing w:after="0" w:line="86" w:lineRule="exact"/>
        <w:rPr>
          <w:sz w:val="20"/>
          <w:szCs w:val="20"/>
          <w:color w:val="auto"/>
        </w:rPr>
      </w:pPr>
    </w:p>
    <w:p>
      <w:pPr>
        <w:jc w:val="both"/>
        <w:ind w:left="100" w:right="940"/>
        <w:spacing w:after="0" w:line="323" w:lineRule="auto"/>
        <w:rPr>
          <w:sz w:val="20"/>
          <w:szCs w:val="20"/>
          <w:color w:val="auto"/>
        </w:rPr>
      </w:pPr>
      <w:r>
        <w:rPr>
          <w:rFonts w:ascii="Arial" w:cs="Arial" w:eastAsia="Arial" w:hAnsi="Arial"/>
          <w:sz w:val="18"/>
          <w:szCs w:val="18"/>
          <w:color w:val="auto"/>
        </w:rPr>
        <w:t>Treasury stock purchases Treasury stock issuances Other</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at September 30, 2012</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Common Shares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Treasury Shares</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Capital in Excess</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of Stated Value</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-6328410</wp:posOffset>
            </wp:positionV>
            <wp:extent cx="716089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8034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-5976620</wp:posOffset>
            </wp:positionV>
            <wp:extent cx="71608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-5633720</wp:posOffset>
            </wp:positionV>
            <wp:extent cx="716089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30861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-5144770</wp:posOffset>
            </wp:positionV>
            <wp:extent cx="71608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-4801870</wp:posOffset>
            </wp:positionV>
            <wp:extent cx="71608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-4458970</wp:posOffset>
            </wp:positionV>
            <wp:extent cx="71608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-4107180</wp:posOffset>
            </wp:positionV>
            <wp:extent cx="71608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-3764280</wp:posOffset>
            </wp:positionV>
            <wp:extent cx="71608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-3284220</wp:posOffset>
            </wp:positionV>
            <wp:extent cx="716089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8034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-2932430</wp:posOffset>
            </wp:positionV>
            <wp:extent cx="71608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-2589530</wp:posOffset>
            </wp:positionV>
            <wp:extent cx="71608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-2245995</wp:posOffset>
            </wp:positionV>
            <wp:extent cx="716089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8034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-1894840</wp:posOffset>
            </wp:positionV>
            <wp:extent cx="71608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-1551305</wp:posOffset>
            </wp:positionV>
            <wp:extent cx="716089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30861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-1062990</wp:posOffset>
            </wp:positionV>
            <wp:extent cx="71608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-719455</wp:posOffset>
            </wp:positionV>
            <wp:extent cx="71608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-376555</wp:posOffset>
            </wp:positionV>
            <wp:extent cx="71608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159" w:lineRule="exact"/>
        <w:rPr>
          <w:sz w:val="20"/>
          <w:szCs w:val="20"/>
          <w:color w:val="auto"/>
        </w:rPr>
      </w:pPr>
    </w:p>
    <w:p>
      <w:pPr>
        <w:jc w:val="center"/>
        <w:ind w:right="3180"/>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2860" w:space="380"/>
            <w:col w:w="8120"/>
          </w:cols>
          <w:pgMar w:left="240" w:top="122" w:right="29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7"/>
          <w:szCs w:val="17"/>
          <w:color w:val="auto"/>
        </w:rPr>
        <w:t>The Scotts Miracle-Gro Company (“Scotts Miracle-Gro” and, together with its subsidiaries, the “Company”) are engaged in the manufacturing, marketing and sale of branded products for consumer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which provides residential and commercial lawn care, tree and shrub care and limited pest control services in the United States.</w:t>
      </w:r>
    </w:p>
    <w:p>
      <w:pPr>
        <w:spacing w:after="0" w:line="13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July 8, 2009, Scotts Miracle-Gro announced its intention to close the Smith &amp; Hawken business by the end of calendar 2009. During the Company’s first quarter of fiscal 2010, all Smith &amp; Hawken stores were closed and substantially all operational activities of Smith &amp; Hawken were discontinued. As a result, effective in our first quarter of fiscal 2010, we classified Smith &amp; Hawken as discontinued operations. Prior to being reported as discontinued operations, our Smith &amp; Hawken business was included as part of Corporate &amp; Other. On February 28, 2011, the Company completed the sale of a significant majority of the assets of its Global Professional business (excluding the non-European professional seed business, “Global Pro”) to Israel Chemicals Ltd. (“ICL”). As a result of the then-pending sale, effective in the Company’s first quarter of fiscal 2011, the Company classified Global Pro as discontinued operations. In the fourth quarter of fiscal year 2012, the Company completed the wind down of the Company's professional seed business ("Pro Seed"). As a result, effective in its fourth quarter of fiscal 2012, the Company classified Pro Seed as a discontinued operation.</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Due to the nature of the consumer lawn and garden business, the majority of sales to customers occur in the Company’s second and third fiscal quarters.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 combined basis, net sales for the second and third quarters of the last three fiscal years represented approximately 75% of annual net sales.</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consolidated financial statements are presented in accordance with accounting principles generally accepted in the United States of America (“GAAP”). The consolidated financial statements include the accounts of Scotts Miracle-Gro and all wholly-owned and majority-owned subsidiaries. All intercompany transactions and accounts are eliminated in consolidation. The Company’s consolidation criteria are based on majority ownership (as evidenced by a majority voting interest in the entity) and an objective evaluation and determination of effective management control.</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27"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by the Company on behalf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are recovered from Monsanto through the terms of the Marketing Agreement. The reimbursement of costs for which the Company is considered the primary obligor is included in net sales.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27"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7"/>
          <w:szCs w:val="17"/>
          <w:color w:val="auto"/>
        </w:rPr>
        <w:t>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 costs deferred at September 30, 2012 and 2011 were $1.1 million and $1.6 million, respectively.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expenses were $168.9 million in fiscal 2012, $140.7 million in fiscal 2011 and $140.7 million in fiscal 2010.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2012, fiscal 2011 and fiscal 2010 were $50.8 million, $50.9 million and $47.3 million, respectively, including product registration costs of $14.0 million, $14.6 million and $12.1 million,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stock appreciation rights, performance shares, restricted stock and restricted stock unit awards) outstanding each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best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Inventories are stated at the lower of cost or market, principally determined by the first in, first out method of accounting, using an average costing approach.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Adjustments to reflect inventories at net realizeable values were $21.0 million and $31.4 million at September 30, 2012 and 2011, respectively.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$0.9 million, $0.1 million and $0.8 million during fiscal 2012, fiscal 2011 and fiscal 2010,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16"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Land improvements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–25 years</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Buildings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–40 years</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–15 years</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–10 years</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Software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 – 8 years</w:t>
            </w:r>
          </w:p>
        </w:tc>
      </w:tr>
    </w:tbl>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Intangible assets with finite lives, and therefore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 and classified as “Impairment, restructuring and other charges” in the Consolidated Statements of Operations.</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had noncash investing activities of $17.3 million and $8.7 million, respectively, representing unpaid liabilities incurred during fiscal 2012 and fiscal 2011 to acquire property, plant and equipment.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2012 and 2011, the Company had $18.6 million and $29.6 million, respectively, in unamortized capitalized internal use computer software costs. Amortization of these costs was $8.0 million, $9.0 million and $8.1 million during fiscal 2012, fiscal 2011 and fiscal 2010,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of the reporting units. For the quantitative test, the Company assesses goodwill for impairment by comparing the carrying value of its reporting units to their respective fair values and reviewing the Company’s market value of invested capital. A reporting unit is defined as an operating segment or one level below an operating segment. The Company has identified four reporting units: U.S. Consumer, Wild Bird Food, International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The Company determines the fair value of its reporting units under the income-based approach utilizing discounted cash flows and incorporates assumptions it believes marketplace participants would utilize. The Company also uses a comparative market-based approach using market multiples and other factors to corroborate the discounted cash flow results used.</w:t>
      </w:r>
    </w:p>
    <w:p>
      <w:pPr>
        <w:spacing w:after="0" w:line="5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tradenames was determined using a royalty savings methodology similar to that employed when the associated businesses were acquired but using updated estimates of sales, cash flow and profitability. If it is determined that an impairment has occurred, an impairment loss is recognized for the amount by which the carrying value of the asset exceeds its estimated fair value and classified as “Impairment, restructuring and other charges” in the Consolidated Statements of Operations.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expense, net" in the Consolidated Statements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These financial instruments are recognized at fair value on the balance sheet,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years ended September 30, 2012, 2011 and 2010 were not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Measurement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May 2011, the Financial Accounting Standards Board (the “FASB”) issued amended accounting guidance to improve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comparability of fair value measures between GAAP and the International Financial Reporting Standards. The amended guidance clarifies how to apply the existing fair value measurement and disclosure requirements. The provisions were effective for the Company’s financial statements for the interim period beginning January 1, 2012. The adoption of the amended guidance did not have a significant impact on the Company's financial statements and related disclosures.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will be effective for the Company’s financial statements for the fiscal year beginning October 1, 2012. The adoption of this guidance will not impact the Company's financial position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Goodwill Impairment</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September 2011, the FASB issued new accounting guidance that permits an entity to first assess qualitative factors to determine whether it is more likely than not that the fair value of a reporting unit is less than its carrying amount as a basis for determining whether it is necessary to perform the two-step goodwill impairment test. The entity is not required to calculate the fair value of a reporting unit unless the entity determines that it is more likely than not that the reporting unit’s fair value is less than its carrying value. The Company adopted this guidance during fiscal 2012 for the fiscal 2012 annual impairment testing. The adoption of this guidance did not impact the Company's financial position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Indefinite-Lived Intangible Asset Impairment</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July 2012, the FASB issued new accounting guidance that permits an entity to first assess qualitative factors to determine whether it is more likely than not that the fair value of an indefinite-lived intangible asset is less than its carrying amount as a basis for determining whether it is necessary to calculate the fair value of the asset. The entity is not required to calculate the fair value of an indefinite-lived intangible asset unless the entity determines that it is more likely than not that the indefinite-lived intangible asset’s fair value is less than its carrying value. The Company adopted this guidance during fiscal 2012 for the fiscal 2012 annual impairment testing. The adoption of this guidance did not impact the Company's financial position or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Seed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 The Company recorded restructuring and other charges of $0.1 million and $3.4 million in fiscal 2012 and fiscal 2011, respectively related to termination benefits provided to employees and other restructuring charges. The company also recorded a $0.5 million impairment charge related to the investment in Turf-Seed (Europe) Limited in fiscal 2012.</w:t>
      </w:r>
    </w:p>
    <w:p>
      <w:pPr>
        <w:spacing w:after="0" w:line="5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May 26, 2011, the Company and the former owners of Turf-Seed, Inc. agreed to an early settlement of the contingent consideration associated with the Company’s fiscal 2006 acquisition of Turf-Seed, Inc. Concurrently, several other contracts and agreements between the Company and the former owners of Turf-Seed, Inc. were terminated or amended. The Company agreed to pay a total of $21.3 million to resolve these matters, resulting in a net charge of $10.3 million after consideration of previously recorded liabilities and other aspects of the agreements. In the fourth quarter of fiscal 2011, the Company also recorded impairment and other charges of $6.5 million related to the investment in Turf-Seed (Europe) Limited.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Pro</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2011, the Company completed the sale of Global Pro to ICL for $270 million. After agreed upon adjustments (including post-closing adjustments), the Company received $270.9 million net proceeds, or $253.6 million after transaction costs. Results from discontinued operations for fiscal 2011 include an after-tax gain on the sale of Global Pro of $39.5 million, which includes transaction costs. In addition, in fiscal 2012, the Company recorded an adjustment of $1.7 million as a change in estimate on the tax due on the sale of Global Pro.</w:t>
      </w:r>
    </w:p>
    <w:p>
      <w:pPr>
        <w:spacing w:after="0" w:line="10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the terms of the indenture governing the Company’s 7.25% Senior Notes due 2018 and the indenture governing the Company’s 6.625% Senior Notes due 2020, the Company had a period of 360 days to apply an amount equal to the net proceeds received from the sale of Global Pro to repay indebtedness, acquire equity interests in certain entities, make capital expenditures, acquire other assets useful in a related business and/or make investments in certain joint ventures. Any amount not so applied must be used to make an offer to repurchase the Senior Notes, provided that such repurchase offer may be deferred until such time as the unutilized proceeds exceed $50 million. As of September 30, 2012, the Company had applied all but approximately $45 million of the net proceeds to one or more of the uses permitted by the indentures.</w:t>
      </w:r>
    </w:p>
    <w:p>
      <w:pPr>
        <w:spacing w:after="0" w:line="97"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Company’s decision to exit the professional ornamental horticulture, turf and specialty agriculture markets and sell Global Pro was another step in its strategy to evolve its business portfolio to better leverage growth opportunities within its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segments.</w:t>
      </w:r>
    </w:p>
    <w:p>
      <w:pPr>
        <w:spacing w:after="0" w:line="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conjunction with the transaction, The Scotts Company LLC (“Scotts LLC”), a wholly owned subsidiary of Scotts Miracle-Gro, and ICL entered into several product supply agreements which are generally up to five years in duration, as well as various trademark and technology licensing agreements with varying durations. The purpose of these agreements is to allow each party to continue leveraging existing production capabilities and intellectual property to meet customer demand for their respective products. Scotts LLC estimates that it will supply ICL with approximately $40 million of product under these agreements, as well as purchase approximately $15 million of materials from ICL, each on an annualized basis.</w:t>
      </w:r>
    </w:p>
    <w:p>
      <w:pPr>
        <w:spacing w:after="0" w:line="9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continuing cash inflows and outflows related to these agreements are not considered to be significant in relation to the overall cash flows of Global Pro. Furthermore, none of these agreements permit the Company to influence the operating or financial policies of Global Pro under the ownership of ICL. Therefore, Global Pro met the criteria for presentation as discontinued operations. As such, effective in the first quarter of fiscal 2011, the Company classified Global Pro as discontinued operations for all periods presented. The Global Pro results from discontinued operations include an allocation of interest expense relating to the amount of our then existing credit facilities that was required to be repaid from the sale proceeds.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Smith &amp; Hawken Ltd.</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July 2009, Scotts Miracle-Gro announced that its wholly-owned subsidiary, Smith &amp; Hawken, Ltd., had adopted a plan to close the Smith &amp; Hawken business. During the Company's first quarter of fiscal 2010, all Smith &amp; Hawken stores were closed and substantially all operational activities of Smith &amp; Hawken were discontinued. As a result, effective in its first quarter of fiscal 2010, the Company classified Smith &amp; Hawken as discontinued operations.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recorded restructuring and other charges of $18.3 million in fiscal 2010 related to the liquidation of the Smith &amp; Hawken business primarily associated with the termination of retail site lease obligations, third-party agency fees and severance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benefit commitments. These charges were partially offset by a gain of approximately $18 million from the sale of the Smith &amp; Hawken intellectual property on December 30, 2009.</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Pro Seed, Global Pro and Smith &amp; Hawken as discontinued operations: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900" w:type="dxa"/>
            <w:vAlign w:val="bottom"/>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5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281.6</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282.8</w:t>
            </w:r>
          </w:p>
        </w:tc>
      </w:tr>
      <w:tr>
        <w:trPr>
          <w:trHeight w:val="27"/>
        </w:trPr>
        <w:tc>
          <w:tcPr>
            <w:tcW w:w="5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Gain on sale of Global Pro business</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Pro sale related transaction costs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5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9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 discontinued operations</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major classes of assets and liabilities of Pro Seed as of September 30, 2011 were as follows (in millions):</w:t>
      </w:r>
    </w:p>
    <w:p>
      <w:pPr>
        <w:spacing w:after="0" w:line="375" w:lineRule="exact"/>
        <w:rPr>
          <w:sz w:val="20"/>
          <w:szCs w:val="20"/>
          <w:color w:val="auto"/>
        </w:rPr>
      </w:pPr>
    </w:p>
    <w:tbl>
      <w:tblPr>
        <w:tblLayout w:type="fixed"/>
        <w:tblInd w:w="1380" w:type="dxa"/>
        <w:tblCellMar>
          <w:top w:w="0" w:type="dxa"/>
          <w:left w:w="0" w:type="dxa"/>
          <w:bottom w:w="0" w:type="dxa"/>
          <w:right w:w="0" w:type="dxa"/>
        </w:tblCellMar>
      </w:tblPr>
      <w:tr>
        <w:trPr>
          <w:trHeight w:val="270"/>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5660" w:type="dxa"/>
            <w:vAlign w:val="bottom"/>
          </w:tcPr>
          <w:p>
            <w:pPr>
              <w:ind w:left="380"/>
              <w:spacing w:after="0"/>
              <w:rPr>
                <w:sz w:val="20"/>
                <w:szCs w:val="20"/>
                <w:color w:val="auto"/>
              </w:rPr>
            </w:pPr>
            <w:r>
              <w:rPr>
                <w:rFonts w:ascii="Arial" w:cs="Arial" w:eastAsia="Arial" w:hAnsi="Arial"/>
                <w:sz w:val="18"/>
                <w:szCs w:val="18"/>
                <w:color w:val="auto"/>
              </w:rPr>
              <w:t>Assets of discontinued operations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67"/>
        </w:trPr>
        <w:tc>
          <w:tcPr>
            <w:tcW w:w="56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5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660" w:type="dxa"/>
            <w:vAlign w:val="bottom"/>
          </w:tcPr>
          <w:p>
            <w:pPr>
              <w:ind w:left="380"/>
              <w:spacing w:after="0"/>
              <w:rPr>
                <w:sz w:val="20"/>
                <w:szCs w:val="20"/>
                <w:color w:val="auto"/>
              </w:rPr>
            </w:pPr>
            <w:r>
              <w:rPr>
                <w:rFonts w:ascii="Arial" w:cs="Arial" w:eastAsia="Arial" w:hAnsi="Arial"/>
                <w:sz w:val="18"/>
                <w:szCs w:val="18"/>
                <w:color w:val="auto"/>
              </w:rPr>
              <w:t>Liabilities of discontinued operations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5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April 2008, the Company became aware that a former associate circumvented the Company’s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77"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In late April 2008, in connection with the U.S. EPA’s investigation, the Company conducted a consumer-level recall of certain consumer lawn and garden products and a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complete, and the results of the QAI review process did not materially affect the Company’s fiscal 2010, fiscal 2011 or fiscal 2012 sales.</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concluded that the recall had been completed and that there had been proper disposition of the recalled products. The wild bird food recall did not materially affect the Company’s fiscal 2010, fiscal 2011 or fiscal 2012 financial condition, result of operations or cash flows.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Settlement discussions relating to potential fines and/or penalties are a frequent outgrowth of governmental investigations. In that regard, on or about June 30, 2011, the Company received a Notice of Intent to File Administrative Complaint (“Notice”) from the U.S. EPA Region 5 with respect to the alleged FIFRA violations. The Notice, which did not set forth a proposed penalty amount, offered the Company an opportunity to present any information it believed the U.S. EPA should consider prior to filing the complaint and indicated that the U.S. EPA was prepared to meet with the Company to discuss the alleged violations. The Company made a timely response to the Notice and engaged in settlement meetings culminating in the signing of a Consent Agreement and Final Order ("CAFO") in September, 2012 in which the Company neither admitted nor denied the allegations in the CAFO. The government's transmittal letter stated that the CAFO concluded the government's civil investigation and enforcement action. Pursuant to the CAFO, the Company was required to pay a civil penalty in the amount of $6.05 million, and it agreed to pay an additional $2.0 million for a Supplemental Environmental Project (“SEP”), paid to the Black Swamp Conservancy, for conservation efforts on three separate parcels of land. The Scotts Miracle-Gro Company undertook these projects as part of a settlement of the United States Environmental Protection Agency's enforcement action against it for alleged violations of Sections 12(a)(1)(A),(B),(C) and (E) of FIFRA, 7 U.S.C. § 136j(a)(1)(A),(B), (C) and (E). As part of the CAFO, the Company must monitor the conservation efforts of the Black Swamp Conservancy and submit a completion report to the U.S. EPA by February 28, 2014, designating the conclusion of all agreed to conservation efforts. The Company's accrual as of September 30, 2012 includes the full amount of the civil penalty and other amounts payable under the CAFO.</w:t>
      </w:r>
    </w:p>
    <w:p>
      <w:pPr>
        <w:spacing w:after="0" w:line="4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previously disclosed, the Company has also been engaged in settlement discussions with the U.S. DOJ regarding its criminal investigation. On January 25, 2012, a Plea Agreement was filed with the United States District Court for the Southern District of Ohio. Under the terms of the Plea Agreement, the Company agreed to plead guilty to ten misdemeanor FIFRA counts in connection with the former employee's conduct and one misdemeanor FIFRA count in connection with the misapplication of insecticide to wild bird food products. As part of the agreement, Scotts Miracle-Gro was required to pay a $4.0 million penalty to the United States and to provide $0.1 million to each of five programs designed to enhance and protect the natural environment, particularly habitats for the bird populations that the U.S. EPA’s regulation of pesticides is designed to protect. As part of the Plea Agreement, the U.S. DOJ agreed not to criminally prosecute the Company for any other federal crimes relating to any potential FIFRA violations known to the government as of the date of the Plea Agreement. The United States District Court for the Southern District of Ohio accepted the plea on March 13, 2012, and the sentence was imposed on September 7, 2012, resolving the U.S. DOJ investigation into pesticide product registration issues. The Company's accrual as of September 30, 2012 includes the full amount of the criminal penalty and other amounts payable under the Plea Agreement.</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result of these registration and recall matters, the Company has recorded charges for affected inventory and other registration and recall-related costs. The following tables summarize the impact of the product registration and recall matters on the results of operations and on accrued liabilities and inventory:</w:t>
      </w: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0" w:type="dxa"/>
            <w:vAlign w:val="bottom"/>
          </w:tcPr>
          <w:p>
            <w:pPr>
              <w:spacing w:after="0"/>
              <w:rPr>
                <w:sz w:val="24"/>
                <w:szCs w:val="24"/>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sales—product registration and recall matters</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left="7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Reserves at</w:t>
            </w:r>
          </w:p>
        </w:tc>
        <w:tc>
          <w:tcPr>
            <w:tcW w:w="160" w:type="dxa"/>
            <w:vAlign w:val="bottom"/>
          </w:tcPr>
          <w:p>
            <w:pPr>
              <w:spacing w:after="0"/>
              <w:rPr>
                <w:sz w:val="12"/>
                <w:szCs w:val="12"/>
                <w:color w:val="auto"/>
              </w:rPr>
            </w:pPr>
          </w:p>
        </w:tc>
        <w:tc>
          <w:tcPr>
            <w:tcW w:w="940" w:type="dxa"/>
            <w:vAlign w:val="bottom"/>
          </w:tcPr>
          <w:p>
            <w:pPr>
              <w:jc w:val="center"/>
              <w:ind w:left="98"/>
              <w:spacing w:after="0" w:line="149" w:lineRule="exact"/>
              <w:rPr>
                <w:sz w:val="20"/>
                <w:szCs w:val="20"/>
                <w:color w:val="auto"/>
              </w:rPr>
            </w:pPr>
            <w:r>
              <w:rPr>
                <w:rFonts w:ascii="Arial" w:cs="Arial" w:eastAsia="Arial" w:hAnsi="Arial"/>
                <w:sz w:val="14"/>
                <w:szCs w:val="14"/>
                <w:b w:val="1"/>
                <w:bCs w:val="1"/>
                <w:color w:val="auto"/>
                <w:w w:val="88"/>
              </w:rPr>
              <w:t>Costs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Reserves at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98"/>
              <w:spacing w:after="0" w:line="149" w:lineRule="exact"/>
              <w:rPr>
                <w:sz w:val="20"/>
                <w:szCs w:val="20"/>
                <w:color w:val="auto"/>
              </w:rPr>
            </w:pPr>
            <w:r>
              <w:rPr>
                <w:rFonts w:ascii="Arial" w:cs="Arial" w:eastAsia="Arial" w:hAnsi="Arial"/>
                <w:sz w:val="14"/>
                <w:szCs w:val="14"/>
                <w:b w:val="1"/>
                <w:bCs w:val="1"/>
                <w:color w:val="auto"/>
                <w:w w:val="90"/>
              </w:rPr>
              <w:t>Changes in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4"/>
              </w:rPr>
              <w:t>Accruals Used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 2011</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98"/>
              <w:spacing w:after="0"/>
              <w:rPr>
                <w:sz w:val="20"/>
                <w:szCs w:val="20"/>
                <w:color w:val="auto"/>
              </w:rPr>
            </w:pPr>
            <w:r>
              <w:rPr>
                <w:rFonts w:ascii="Arial" w:cs="Arial" w:eastAsia="Arial" w:hAnsi="Arial"/>
                <w:sz w:val="14"/>
                <w:szCs w:val="14"/>
                <w:b w:val="1"/>
                <w:bCs w:val="1"/>
                <w:color w:val="auto"/>
                <w:w w:val="90"/>
              </w:rPr>
              <w:t>Estimates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9"/>
              </w:rPr>
              <w:t>September 30, 2012</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w w:val="96"/>
              </w:rPr>
              <w:t>(In millions)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sales—product registration and recall matters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costs</w:t>
            </w:r>
          </w:p>
        </w:tc>
        <w:tc>
          <w:tcPr>
            <w:tcW w:w="120" w:type="dxa"/>
            <w:vAlign w:val="bottom"/>
          </w:tcPr>
          <w:p>
            <w:pPr>
              <w:spacing w:after="0"/>
              <w:rPr>
                <w:sz w:val="21"/>
                <w:szCs w:val="21"/>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7.8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 accrued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35"/>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Company may be subject to additional judgments, settlements, fines and/or penalties as a result of state or private actions. No reserves have been established for any such potential liabilities related to state or private actions arising in connection with the product registration and recall issues at this time. In connection with the sale of wild bird food products that were the subject of the recall discussed in “ITEM 1. BUSINESS - Regulatory Considerations”,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The plaintiffs seek on behalf of themselves and various purported class members monetary damages, restitution, injunctive relief, declaratory relief, attorney's fees, interest and costs. The Company intends to vigorously defend the consolidated action. Given the early stages of the action, the Company cannot make a determination as to whether it could have a material effect on the Company's financial condition, results of operations or cash flows and has not created any accruals or accounting reserves with respect thereto.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 CHARGES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details impairment, restructuring and other charges and rolls forward the restructuring and other charges accrued in fiscal 2012, fiscal 2011 and fiscal 2010:</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2010</w:t>
            </w:r>
          </w:p>
        </w:tc>
      </w:tr>
      <w:tr>
        <w:trPr>
          <w:trHeight w:val="250"/>
        </w:trPr>
        <w:tc>
          <w:tcPr>
            <w:tcW w:w="6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Property, plant and equipment impairments</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 impairments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charges</w:t>
            </w: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6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92"/>
              </w:rPr>
              <w:t>Year Ended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Amounts reserved for restructuring and other charges at beginning</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Restructuring and other charges in continuing operations</w:t>
            </w:r>
          </w:p>
        </w:tc>
        <w:tc>
          <w:tcPr>
            <w:tcW w:w="2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in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Payments and 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Amounts reserved for restructuring and other charges at end of year</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right="20" w:hanging="6"/>
        <w:spacing w:after="0" w:line="296" w:lineRule="auto"/>
        <w:tabs>
          <w:tab w:leader="none" w:pos="734" w:val="left"/>
        </w:tabs>
        <w:numPr>
          <w:ilvl w:val="0"/>
          <w:numId w:val="27"/>
        </w:numPr>
        <w:rPr>
          <w:rFonts w:ascii="Arial" w:cs="Arial" w:eastAsia="Arial" w:hAnsi="Arial"/>
          <w:sz w:val="15"/>
          <w:szCs w:val="15"/>
          <w:color w:val="auto"/>
        </w:rPr>
      </w:pPr>
      <w:r>
        <w:rPr>
          <w:rFonts w:ascii="Arial" w:cs="Arial" w:eastAsia="Arial" w:hAnsi="Arial"/>
          <w:sz w:val="15"/>
          <w:szCs w:val="15"/>
          <w:color w:val="auto"/>
        </w:rPr>
        <w:t>- A portion of the amounts reserved as of September 30, 2012, will be paid out over the course of fiscal 2013. Included in the restructuring reserves is $4.5 million that is classified as long-term. Payments against the long-term reserves will start once the employees covered by the 2011 restructuring plan retire.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2012</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2012, in continuation of the 2011 restructuring plan, the Company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September 30, 2012, the Company recognized a $5.3 million asset impairment charge as a result of issues with commercialization of products including the active ingredient MAT 28 for the Global Consumer segment.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2011</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August 8, 2011, the Company announced a restructuring plan designed to streamline management decision making and continue the regionalization of the Company’s operating structure, with the objective of reinvesting the savings generated in innovation and growth initiatives. During fiscal 2011, the Company incurred $23.7 million in restructuring costs related to termination benefits provided to employees who were involuntarily terminated and special termination benefits provided to certain employees upon future separation, as well as $2.3 million related to curtailment charges for its U.S. defined benefit pension and U.S. retiree medical plans.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Company’s annual impairment review, the Company recognized impairment charges related to the Wild Bird Food reporting unit of $9.1 million for property, plant and equipment, $16.8 million for intangible assets and $0.3 million for goodwill, based on their respective estimated fair values. Losses generated by this business over the past two years, combined with a revised long-term outlook have negatively impacted the value of this business.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the Company recognized charges of $2.3 million for other intangible asset impairments and $1.4 million for restructuring and other charges.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2010</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Company’s fiscal 2010 impairment review resulted in a charge of $18.5 million related to intangible assets of certain brands and sub-brands in its Global Consumer segment that have been discontinued or de-emphasized, consistent with the Company’s business strategy to increasingly concentrate its advertising and promotional spending on fewer, more significant brands to more efficiently drive growth.</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 as well as Corporate &amp; Other:</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Global</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Scotts</w:t>
            </w:r>
          </w:p>
        </w:tc>
        <w:tc>
          <w:tcPr>
            <w:tcW w:w="34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Corporate &amp;</w:t>
            </w:r>
          </w:p>
        </w:tc>
        <w:tc>
          <w:tcPr>
            <w:tcW w:w="340" w:type="dxa"/>
            <w:vAlign w:val="bottom"/>
          </w:tcPr>
          <w:p>
            <w:pPr>
              <w:spacing w:after="0"/>
              <w:rPr>
                <w:sz w:val="14"/>
                <w:szCs w:val="14"/>
                <w:color w:val="auto"/>
              </w:rPr>
            </w:pPr>
          </w:p>
        </w:tc>
        <w:tc>
          <w:tcPr>
            <w:tcW w:w="114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Consumer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LawnService</w:t>
            </w:r>
            <w:r>
              <w:rPr>
                <w:rFonts w:ascii="Arial" w:cs="Arial" w:eastAsia="Arial" w:hAnsi="Arial"/>
                <w:sz w:val="12"/>
                <w:szCs w:val="12"/>
                <w:b w:val="1"/>
                <w:bCs w:val="1"/>
                <w:color w:val="auto"/>
                <w:w w:val="95"/>
              </w:rPr>
              <w:t>®</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Acquisitions, net of purchase price adjustments</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loss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97"/>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Acquisitions, net of purchase price adjustments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2012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5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7"/>
              </w:rPr>
              <w:t>September 30,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73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(47.1)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(41.9)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(65.6)</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(63.4)</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101.2</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(81.5)</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99.3</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(77.1)</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finite-lived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tradenames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2012</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recognized a $3.2 million impairment charge related to an intangible asset associated with the active ingredient MAT 28. The impairment charge is discussed further in “NOTE 4. IMPAIRMENT, RESTRUCTURING AND OTHER CHARGES.”</w:t>
      </w:r>
    </w:p>
    <w:p>
      <w:pPr>
        <w:spacing w:after="0" w:line="35"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7"/>
          <w:szCs w:val="17"/>
          <w:color w:val="auto"/>
        </w:rPr>
        <w:t>During the fourth quarter of fiscal 2012, the Company completed its annual impairment analysis and determined that no additional charges for impairment of goodwill or intangible assets were required. The estimated fair value of each reporting unit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of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Fertiligene</w:t>
      </w:r>
      <w:r>
        <w:rPr>
          <w:rFonts w:ascii="Arial" w:cs="Arial" w:eastAsia="Arial" w:hAnsi="Arial"/>
          <w:sz w:val="24"/>
          <w:szCs w:val="24"/>
          <w:color w:val="auto"/>
          <w:vertAlign w:val="superscript"/>
        </w:rPr>
        <w:t>®</w:t>
      </w:r>
      <w:r>
        <w:rPr>
          <w:rFonts w:ascii="Arial" w:cs="Arial" w:eastAsia="Arial" w:hAnsi="Arial"/>
          <w:sz w:val="17"/>
          <w:szCs w:val="17"/>
          <w:color w:val="auto"/>
        </w:rPr>
        <w:t>. The carrying value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Fertiligene</w:t>
      </w:r>
      <w:r>
        <w:rPr>
          <w:rFonts w:ascii="Arial" w:cs="Arial" w:eastAsia="Arial" w:hAnsi="Arial"/>
          <w:sz w:val="24"/>
          <w:szCs w:val="24"/>
          <w:color w:val="auto"/>
          <w:vertAlign w:val="superscript"/>
        </w:rPr>
        <w:t>®</w:t>
      </w:r>
      <w:r>
        <w:rPr>
          <w:rFonts w:ascii="Arial" w:cs="Arial" w:eastAsia="Arial" w:hAnsi="Arial"/>
          <w:sz w:val="17"/>
          <w:szCs w:val="17"/>
          <w:color w:val="auto"/>
        </w:rPr>
        <w:t>) at September 30, 2012 were $137.1 million and $17.7 million, respectively. The excess fair value over the carrying value of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were 7.4% and 14.1%, respectively. If future analyses indicate that fair value has declined below carrying value, the result will be an impairment of a portion of the indefinite-lived intangible asset value.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2011</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Company’s annual impairment review, the Company recognized impairment charges related to the Wild Bird Food reporting unit of $16.8 million for intangible assets and $0.3 million for goodwill, based on their respective estimated fair values. The impairment charges are discussed further in “NOTE 4. IMPAIRMENT, RESTRUCTURING AND OTHER CHARGES.”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2010</w:t>
      </w:r>
    </w:p>
    <w:p>
      <w:pPr>
        <w:spacing w:after="0" w:line="9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Company’s fiscal 2010 impairment review resulted in a charge of $18.5 million related to intangible assets of certain brands and sub-brands in its Global Consumer segment. The impairment charges are discussed further in “NOTE 4. IMPAIRMENT, RESTRUCTURING AND OTHER CHARGES.”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amortization expense for the years ended September 30, 2012, 2011 and 2010 was $10.9 million, $11.4 million and $10.7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333"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218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w w:val="89"/>
              </w:rPr>
              <w:t>2013</w:t>
            </w:r>
          </w:p>
        </w:tc>
        <w:tc>
          <w:tcPr>
            <w:tcW w:w="5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2180" w:type="dxa"/>
            <w:vAlign w:val="bottom"/>
          </w:tcPr>
          <w:p>
            <w:pPr>
              <w:jc w:val="right"/>
              <w:ind w:right="1710"/>
              <w:spacing w:after="0"/>
              <w:rPr>
                <w:sz w:val="20"/>
                <w:szCs w:val="20"/>
                <w:color w:val="auto"/>
              </w:rPr>
            </w:pPr>
            <w:r>
              <w:rPr>
                <w:rFonts w:ascii="Arial" w:cs="Arial" w:eastAsia="Arial" w:hAnsi="Arial"/>
                <w:sz w:val="18"/>
                <w:szCs w:val="18"/>
                <w:color w:val="auto"/>
                <w:w w:val="89"/>
              </w:rPr>
              <w:t>2014</w:t>
            </w:r>
          </w:p>
        </w:tc>
        <w:tc>
          <w:tcPr>
            <w:tcW w:w="5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21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jc w:val="right"/>
              <w:ind w:right="1710"/>
              <w:spacing w:after="0"/>
              <w:rPr>
                <w:sz w:val="20"/>
                <w:szCs w:val="20"/>
                <w:color w:val="auto"/>
              </w:rPr>
            </w:pPr>
            <w:r>
              <w:rPr>
                <w:rFonts w:ascii="Arial" w:cs="Arial" w:eastAsia="Arial" w:hAnsi="Arial"/>
                <w:sz w:val="18"/>
                <w:szCs w:val="18"/>
                <w:color w:val="auto"/>
                <w:w w:val="89"/>
              </w:rPr>
              <w:t>2015</w:t>
            </w:r>
          </w:p>
        </w:tc>
        <w:tc>
          <w:tcPr>
            <w:tcW w:w="5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180" w:type="dxa"/>
            <w:vAlign w:val="bottom"/>
          </w:tcPr>
          <w:p>
            <w:pPr>
              <w:jc w:val="right"/>
              <w:ind w:right="1710"/>
              <w:spacing w:after="0"/>
              <w:rPr>
                <w:sz w:val="20"/>
                <w:szCs w:val="20"/>
                <w:color w:val="auto"/>
              </w:rPr>
            </w:pPr>
            <w:r>
              <w:rPr>
                <w:rFonts w:ascii="Arial" w:cs="Arial" w:eastAsia="Arial" w:hAnsi="Arial"/>
                <w:sz w:val="18"/>
                <w:szCs w:val="18"/>
                <w:color w:val="auto"/>
                <w:w w:val="89"/>
              </w:rPr>
              <w:t>2016</w:t>
            </w:r>
          </w:p>
        </w:tc>
        <w:tc>
          <w:tcPr>
            <w:tcW w:w="5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1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jc w:val="right"/>
              <w:ind w:right="1710"/>
              <w:spacing w:after="0"/>
              <w:rPr>
                <w:sz w:val="20"/>
                <w:szCs w:val="20"/>
                <w:color w:val="auto"/>
              </w:rPr>
            </w:pPr>
            <w:r>
              <w:rPr>
                <w:rFonts w:ascii="Arial" w:cs="Arial" w:eastAsia="Arial" w:hAnsi="Arial"/>
                <w:sz w:val="18"/>
                <w:szCs w:val="18"/>
                <w:color w:val="auto"/>
                <w:w w:val="89"/>
              </w:rPr>
              <w:t>2017</w:t>
            </w:r>
          </w:p>
        </w:tc>
        <w:tc>
          <w:tcPr>
            <w:tcW w:w="5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675"/>
        </w:trPr>
        <w:tc>
          <w:tcPr>
            <w:tcW w:w="2180" w:type="dxa"/>
            <w:vAlign w:val="bottom"/>
          </w:tcPr>
          <w:p>
            <w:pPr>
              <w:spacing w:after="0"/>
              <w:rPr>
                <w:sz w:val="24"/>
                <w:szCs w:val="24"/>
                <w:color w:val="auto"/>
              </w:rPr>
            </w:pPr>
          </w:p>
        </w:tc>
        <w:tc>
          <w:tcPr>
            <w:tcW w:w="5400" w:type="dxa"/>
            <w:vAlign w:val="bottom"/>
          </w:tcPr>
          <w:p>
            <w:pPr>
              <w:jc w:val="right"/>
              <w:ind w:right="333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DETAIL OF CERTAIN FINANCIAL STATEMENT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detail of certain financial statement accounts:</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Work-in-progress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PREPAID AND OTHER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Accounts receivable, non-trade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6"/>
              </w:rPr>
              <w:t>(In millions)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Land and improvements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Software</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Aircraft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6"/>
              </w:rPr>
              <w:t>(In millions)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Payroll and other compensation accruals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Advertising and promotional accruals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pension and postretirement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240" w:top="122" w:right="779" w:bottom="1440" w:gutter="0" w:footer="0" w:header="0"/>
        </w:sectPr>
      </w:pPr>
    </w:p>
    <w:p>
      <w:pPr>
        <w:spacing w:after="0" w:line="218"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880"/>
          </w:cols>
          <w:pgMar w:left="240" w:top="122" w:right="77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7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2010</w:t>
            </w:r>
          </w:p>
        </w:tc>
      </w:tr>
      <w:tr>
        <w:trPr>
          <w:trHeight w:val="196"/>
        </w:trPr>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w w:val="99"/>
              </w:rPr>
              <w:t>Unrecognized loss on derivatives, net of tax of $10.6, $9.6 and $7.9</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5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Pension and other postretirement liabilities, net of tax of $36.1, $33.5 and</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$40.4</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57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9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annual contribution payment is defined in the Marketing Agreement as $20 million.</w:t>
      </w:r>
    </w:p>
    <w:p>
      <w:pPr>
        <w:spacing w:after="0" w:line="1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six years as of September 30, 2012.</w:t>
      </w:r>
    </w:p>
    <w:p>
      <w:pPr>
        <w:spacing w:after="0" w:line="13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w:t>
      </w:r>
    </w:p>
    <w:p>
      <w:pPr>
        <w:spacing w:after="0" w:line="15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earned under the Marketing Agreement and reimbursements associated with the Marketing Agreement and included in “Net sales” were as follows:</w:t>
      </w:r>
    </w:p>
    <w:p>
      <w:pPr>
        <w:spacing w:after="0" w:line="341"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7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r>
      <w:tr>
        <w:trPr>
          <w:trHeight w:val="250"/>
        </w:trPr>
        <w:tc>
          <w:tcPr>
            <w:tcW w:w="5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Contribution expenses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5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marketing fee</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760" w:type="dxa"/>
            <w:vAlign w:val="bottom"/>
          </w:tcPr>
          <w:p>
            <w:pPr>
              <w:ind w:left="380"/>
              <w:spacing w:after="0"/>
              <w:rPr>
                <w:sz w:val="20"/>
                <w:szCs w:val="20"/>
                <w:color w:val="auto"/>
              </w:rPr>
            </w:pPr>
            <w:r>
              <w:rPr>
                <w:rFonts w:ascii="Arial" w:cs="Arial" w:eastAsia="Arial" w:hAnsi="Arial"/>
                <w:sz w:val="18"/>
                <w:szCs w:val="18"/>
                <w:color w:val="auto"/>
              </w:rPr>
              <w:t>Net commission income</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70.0</w:t>
            </w:r>
          </w:p>
        </w:tc>
      </w:tr>
      <w:tr>
        <w:trPr>
          <w:trHeight w:val="27"/>
        </w:trPr>
        <w:tc>
          <w:tcPr>
            <w:tcW w:w="5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Reimbursements associated with Marketing Agreement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r>
      <w:tr>
        <w:trPr>
          <w:trHeight w:val="237"/>
        </w:trPr>
        <w:tc>
          <w:tcPr>
            <w:tcW w:w="576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140.1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r>
      <w:tr>
        <w:trPr>
          <w:trHeight w:val="27"/>
        </w:trPr>
        <w:tc>
          <w:tcPr>
            <w:tcW w:w="5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current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Monsanto may also be able to terminate the Marketing Agreement within a given region, including North America, without paying a termination fee if unit volume sales to consumers in that region decline:</w:t>
      </w:r>
    </w:p>
    <w:p>
      <w:pPr>
        <w:spacing w:after="0" w:line="1" w:lineRule="exact"/>
        <w:rPr>
          <w:sz w:val="20"/>
          <w:szCs w:val="20"/>
          <w:color w:val="auto"/>
        </w:rPr>
      </w:pPr>
    </w:p>
    <w:p>
      <w:pPr>
        <w:jc w:val="both"/>
        <w:ind w:firstLine="8"/>
        <w:spacing w:after="0" w:line="255" w:lineRule="auto"/>
        <w:tabs>
          <w:tab w:leader="none" w:pos="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36"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ACQUISITIONS</w:t>
      </w:r>
    </w:p>
    <w:p>
      <w:pPr>
        <w:spacing w:after="0" w:line="9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During fiscal 2012 and fiscal 2011, the Company completed several acquisition within its home protection, growing media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 that individually and in the aggregate were not significant. The aggregate purchase price of these acquisitions was $6.7 million and $10.9 million in fiscal 2012 and fiscal 2011, respectively. The Consolidated Financial Statements include the results of operations from these business combinations from the date of each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sponsors a defined contribution 401(k) plan for substantially all U.S. associates. During 2010, the Company provided a base contribution equal to 2% of compensation up to 50% of the Social Security taxable wage base plus 4% of remaining compensation. Associates could also make pretax contributions from compensation that were matched by the Company at 100% of associates’ initial 3% contribution and 50% of their remaining contribution up to 5%. Beginning January 1, 2011, the Company stopped providing base contributions and began matching 150% of associates’ initial 4% contribution and 50% of their remaining contribution up to 6%. The Company recorded charges of $12.9 million, $13.2 million and $14.5 million under the plan in fiscal 2012, fiscal 2011 and fiscal 2010, respectively.</w:t>
      </w:r>
    </w:p>
    <w:p>
      <w:pPr>
        <w:spacing w:after="0" w:line="13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 In connection with the restructuring plan discussed in “NOTE 4. IMPAIRMENT, RESTRUCTURING AND OTHER CHARGES,” the Company recognized a plan curtailment charge of $0.2 million in fiscal 2012 and 1.2 million in fiscal 2011 for an increase in the benefit obligation associated with these plans.</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Germany, France and the Netherlands. These plans generally cover all associates of the respective businesses, with retirement benefits primarily based on years of service and compensation levels. Two of the Company’s previously-sponsored international defined benefit plans were transferred to ICL in connection with the sale of Global Pro on February 28, 2011.</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July 1, 2010, the Company froze its two U.K. defined benefit pension plans and transferred participants to an amended defined contribution plan. Under the frozen plans, participants are no longer credited for future service; however, future salary increases will continue to be factored into each participant’s final pension benefit. As a result of the freeze, the Company measured the unfunded status of the U.K. defined benefit pension plans as of July 3, 2010. The results of the freeze and remeasurement did not affect the Company’s results of operations or cash flows, and did not significantly affect the Company’s financial position.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plans are valued using a September 30 measurement date.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U.S. Defined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7"/>
              </w:rPr>
              <w:t>International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3"/>
          </w:tcPr>
          <w:p>
            <w:pPr>
              <w:jc w:val="center"/>
              <w:ind w:left="412"/>
              <w:spacing w:after="0" w:line="149" w:lineRule="exact"/>
              <w:rPr>
                <w:sz w:val="20"/>
                <w:szCs w:val="20"/>
                <w:color w:val="auto"/>
              </w:rPr>
            </w:pPr>
            <w:r>
              <w:rPr>
                <w:rFonts w:ascii="Arial" w:cs="Arial" w:eastAsia="Arial" w:hAnsi="Arial"/>
                <w:sz w:val="14"/>
                <w:szCs w:val="14"/>
                <w:b w:val="1"/>
                <w:bCs w:val="1"/>
                <w:color w:val="auto"/>
                <w:w w:val="93"/>
              </w:rPr>
              <w:t>Defined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Benefit Plans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2"/>
              </w:rPr>
              <w:t>Benefit Plans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Accumulated benefit obligation at end of year</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Underfunded status at end of year</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0"/>
              </w:rPr>
              <w:t>Information for pension plans with an accumulated benefit obligation 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excess of plan assets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95"/>
              </w:rPr>
              <w:t>Amounts recognized in the Consolidated Balance Sheets consist of:</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accrued</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1"/>
              </w:rPr>
              <w:t>Amounts recognized in accumulated other comprehensive loss consist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of:</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70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jc w:val="right"/>
              <w:ind w:right="134"/>
              <w:spacing w:after="0"/>
              <w:rPr>
                <w:sz w:val="20"/>
                <w:szCs w:val="20"/>
                <w:color w:val="auto"/>
              </w:rPr>
            </w:pPr>
            <w:r>
              <w:rPr>
                <w:rFonts w:ascii="Arial" w:cs="Arial" w:eastAsia="Arial" w:hAnsi="Arial"/>
                <w:sz w:val="14"/>
                <w:szCs w:val="14"/>
                <w:b w:val="1"/>
                <w:bCs w:val="1"/>
                <w:color w:val="auto"/>
              </w:rPr>
              <w:t>U.S. Defined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left="254"/>
              <w:spacing w:after="0"/>
              <w:rPr>
                <w:sz w:val="20"/>
                <w:szCs w:val="20"/>
                <w:color w:val="auto"/>
              </w:rPr>
            </w:pPr>
            <w:r>
              <w:rPr>
                <w:rFonts w:ascii="Arial" w:cs="Arial" w:eastAsia="Arial" w:hAnsi="Arial"/>
                <w:sz w:val="14"/>
                <w:szCs w:val="14"/>
                <w:b w:val="1"/>
                <w:bCs w:val="1"/>
                <w:color w:val="auto"/>
                <w:w w:val="95"/>
              </w:rPr>
              <w:t>International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5"/>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Defined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Benefit Plans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left="254"/>
              <w:spacing w:after="0"/>
              <w:rPr>
                <w:sz w:val="20"/>
                <w:szCs w:val="20"/>
                <w:color w:val="auto"/>
              </w:rPr>
            </w:pPr>
            <w:r>
              <w:rPr>
                <w:rFonts w:ascii="Arial" w:cs="Arial" w:eastAsia="Arial" w:hAnsi="Arial"/>
                <w:sz w:val="14"/>
                <w:szCs w:val="14"/>
                <w:b w:val="1"/>
                <w:bCs w:val="1"/>
                <w:color w:val="auto"/>
                <w:w w:val="90"/>
              </w:rPr>
              <w:t>Benefit Plans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12"/>
          </w:tcPr>
          <w:p>
            <w:pPr>
              <w:jc w:val="right"/>
              <w:ind w:right="380"/>
              <w:spacing w:after="0"/>
              <w:rPr>
                <w:sz w:val="20"/>
                <w:szCs w:val="20"/>
                <w:color w:val="auto"/>
              </w:rPr>
            </w:pPr>
            <w:r>
              <w:rPr>
                <w:rFonts w:ascii="Arial" w:cs="Arial" w:eastAsia="Arial" w:hAnsi="Arial"/>
                <w:sz w:val="14"/>
                <w:szCs w:val="14"/>
                <w:b w:val="1"/>
                <w:bCs w:val="1"/>
                <w:color w:val="auto"/>
              </w:rPr>
              <w:t>(In millions, except percentage figures)</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Pension benefit gain (loss) during the period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gridSpan w:val="2"/>
          </w:tcPr>
          <w:p>
            <w:pPr>
              <w:jc w:val="right"/>
              <w:ind w:right="78"/>
              <w:spacing w:after="0"/>
              <w:rPr>
                <w:sz w:val="20"/>
                <w:szCs w:val="20"/>
                <w:color w:val="auto"/>
              </w:rPr>
            </w:pPr>
            <w:r>
              <w:rPr>
                <w:rFonts w:ascii="Arial" w:cs="Arial" w:eastAsia="Arial" w:hAnsi="Arial"/>
                <w:sz w:val="18"/>
                <w:szCs w:val="18"/>
                <w:color w:val="auto"/>
              </w:rPr>
              <w:t>5.1</w:t>
            </w:r>
          </w:p>
        </w:tc>
        <w:tc>
          <w:tcPr>
            <w:tcW w:w="700" w:type="dxa"/>
            <w:vAlign w:val="bottom"/>
            <w:gridSpan w:val="3"/>
          </w:tcPr>
          <w:p>
            <w:pPr>
              <w:jc w:val="right"/>
              <w:ind w:right="37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w w:val="87"/>
              </w:rPr>
              <w:t>Amounts in accumulated other comprehensive loss expected to be</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5"/>
          </w:tcPr>
          <w:p>
            <w:pPr>
              <w:ind w:left="40"/>
              <w:spacing w:after="0"/>
              <w:rPr>
                <w:sz w:val="20"/>
                <w:szCs w:val="20"/>
                <w:color w:val="auto"/>
              </w:rPr>
            </w:pPr>
            <w:r>
              <w:rPr>
                <w:rFonts w:ascii="Arial" w:cs="Arial" w:eastAsia="Arial" w:hAnsi="Arial"/>
                <w:sz w:val="18"/>
                <w:szCs w:val="18"/>
                <w:b w:val="1"/>
                <w:bCs w:val="1"/>
                <w:color w:val="auto"/>
                <w:w w:val="89"/>
              </w:rPr>
              <w:t>recognized as components of net periodic benefit cost in fiscal 2013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are as follows: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Amount to be amortized into net periodic benefit cost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w w:val="89"/>
              </w:rPr>
              <w:t>Weighted average assumptions used in development of projected</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benefit obligation</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4.29%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78"/>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04"/>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U.S. Defined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Benefit Plans</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1"/>
              </w:rPr>
              <w:t>Defined Benefit Plans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60" w:type="dxa"/>
            <w:vAlign w:val="bottom"/>
            <w:gridSpan w:val="11"/>
          </w:tcPr>
          <w:p>
            <w:pPr>
              <w:jc w:val="right"/>
              <w:ind w:right="20"/>
              <w:spacing w:after="0"/>
              <w:rPr>
                <w:sz w:val="20"/>
                <w:szCs w:val="20"/>
                <w:color w:val="auto"/>
              </w:rPr>
            </w:pPr>
            <w:r>
              <w:rPr>
                <w:rFonts w:ascii="Arial" w:cs="Arial" w:eastAsia="Arial" w:hAnsi="Arial"/>
                <w:sz w:val="14"/>
                <w:szCs w:val="14"/>
                <w:b w:val="1"/>
                <w:bCs w:val="1"/>
                <w:color w:val="auto"/>
                <w:w w:val="93"/>
              </w:rPr>
              <w:t>(In millions, except percentage figures)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3"/>
          </w:tcPr>
          <w:p>
            <w:pPr>
              <w:jc w:val="right"/>
              <w:ind w:right="14"/>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74"/>
              <w:spacing w:after="0"/>
              <w:rPr>
                <w:sz w:val="20"/>
                <w:szCs w:val="20"/>
                <w:color w:val="auto"/>
              </w:rPr>
            </w:pPr>
            <w:r>
              <w:rPr>
                <w:rFonts w:ascii="Arial" w:cs="Arial" w:eastAsia="Arial" w:hAnsi="Arial"/>
                <w:sz w:val="18"/>
                <w:szCs w:val="18"/>
                <w:color w:val="auto"/>
              </w:rPr>
              <w:t>4.4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Contractual termination benefits</w:t>
            </w:r>
          </w:p>
        </w:tc>
        <w:tc>
          <w:tcPr>
            <w:tcW w:w="3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benefit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assumptions used in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development of net periodic benefit cost</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n/a</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59"/>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580" w:type="dxa"/>
            <w:vAlign w:val="bottom"/>
            <w:gridSpan w:val="2"/>
            <w:vMerge w:val="restart"/>
          </w:tcPr>
          <w:p>
            <w:pPr>
              <w:jc w:val="right"/>
              <w:ind w:right="331"/>
              <w:spacing w:after="0"/>
              <w:rPr>
                <w:sz w:val="20"/>
                <w:szCs w:val="20"/>
                <w:color w:val="auto"/>
              </w:rPr>
            </w:pPr>
            <w:r>
              <w:rPr>
                <w:rFonts w:ascii="Arial" w:cs="Arial" w:eastAsia="Arial" w:hAnsi="Arial"/>
                <w:sz w:val="14"/>
                <w:szCs w:val="14"/>
                <w:b w:val="1"/>
                <w:bCs w:val="1"/>
                <w:color w:val="auto"/>
              </w:rPr>
              <w:t>U.S. Defined</w:t>
            </w:r>
          </w:p>
        </w:tc>
        <w:tc>
          <w:tcPr>
            <w:tcW w:w="30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International</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Benefit</w:t>
            </w: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6"/>
              </w:rPr>
              <w:t>Plans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0"/>
              </w:rPr>
              <w:t>Benefit Plans</w:t>
            </w:r>
          </w:p>
        </w:tc>
        <w:tc>
          <w:tcPr>
            <w:tcW w:w="0" w:type="dxa"/>
            <w:vAlign w:val="bottom"/>
          </w:tcPr>
          <w:p>
            <w:pPr>
              <w:spacing w:after="0"/>
              <w:rPr>
                <w:sz w:val="1"/>
                <w:szCs w:val="1"/>
                <w:color w:val="auto"/>
              </w:rPr>
            </w:pPr>
          </w:p>
        </w:tc>
      </w:tr>
      <w:tr>
        <w:trPr>
          <w:trHeight w:val="250"/>
        </w:trPr>
        <w:tc>
          <w:tcPr>
            <w:tcW w:w="7160" w:type="dxa"/>
            <w:vAlign w:val="bottom"/>
          </w:tcPr>
          <w:p>
            <w:pPr>
              <w:spacing w:after="0"/>
              <w:rPr>
                <w:sz w:val="21"/>
                <w:szCs w:val="21"/>
                <w:color w:val="auto"/>
              </w:rPr>
            </w:pPr>
          </w:p>
        </w:tc>
        <w:tc>
          <w:tcPr>
            <w:tcW w:w="316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8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Plan asset allocations:</w:t>
            </w: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Target for September 30, 2013:</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Insurance Contracts</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September 30, 2012:</w:t>
            </w: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Debt securities</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2011:</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Insurance Contracts</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Expected company contributions in fiscal 2013</w:t>
            </w:r>
          </w:p>
        </w:tc>
        <w:tc>
          <w:tcPr>
            <w:tcW w:w="820" w:type="dxa"/>
            <w:vAlign w:val="bottom"/>
          </w:tcPr>
          <w:p>
            <w:pPr>
              <w:jc w:val="right"/>
              <w:ind w:right="62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future benefit payments:</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2013</w:t>
            </w:r>
          </w:p>
        </w:tc>
        <w:tc>
          <w:tcPr>
            <w:tcW w:w="820" w:type="dxa"/>
            <w:vAlign w:val="bottom"/>
          </w:tcPr>
          <w:p>
            <w:pPr>
              <w:jc w:val="right"/>
              <w:ind w:right="62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7.1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2015</w:t>
            </w:r>
          </w:p>
        </w:tc>
        <w:tc>
          <w:tcPr>
            <w:tcW w:w="82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2017</w:t>
            </w:r>
          </w:p>
        </w:tc>
        <w:tc>
          <w:tcPr>
            <w:tcW w:w="82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 2022</w:t>
            </w:r>
          </w:p>
        </w:tc>
        <w:tc>
          <w:tcPr>
            <w:tcW w:w="8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36.2</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7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 2012</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Significant Other</w:t>
            </w:r>
          </w:p>
        </w:tc>
        <w:tc>
          <w:tcPr>
            <w:tcW w:w="18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Markets for Identical</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 (Level 2)</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Plan Assets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International Defined Benefit Plan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Insurance contracts</w:t>
            </w:r>
          </w:p>
        </w:tc>
        <w:tc>
          <w:tcPr>
            <w:tcW w:w="1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240" w:top="122" w:right="579" w:bottom="1440" w:gutter="0" w:footer="0" w:header="0"/>
        </w:sectPr>
      </w:pPr>
    </w:p>
    <w:p>
      <w:pPr>
        <w:spacing w:after="0" w:line="19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080"/>
          </w:cols>
          <w:pgMar w:left="240" w:top="122" w:right="57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 2011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Significant Other</w:t>
            </w:r>
          </w:p>
        </w:tc>
        <w:tc>
          <w:tcPr>
            <w:tcW w:w="18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Markets for Identical</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 (Level 2)</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Plan Assets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International Defined Benefit Plan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Insurance contracts</w:t>
            </w:r>
          </w:p>
        </w:tc>
        <w:tc>
          <w:tcPr>
            <w:tcW w:w="1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fair value of the mutual funds are valued at the exchange-listed year end closing price or at the net asset value of shares held by the fund at the end of the year. Insurance contracts are valued by discounting the related cash flows using a current year end market rate or at cash surrender value, which is presumed to equal fair value. Funds of hedge funds are valued at the net asset value of shares held by the fund at the end of the year.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a summary of changes in the fair value of the Company’s level 3 pension plan assets:</w:t>
      </w:r>
    </w:p>
    <w:p>
      <w:pPr>
        <w:spacing w:after="0" w:line="150"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86"/>
              </w:rPr>
              <w:t>Level 3 Assets</w:t>
            </w:r>
          </w:p>
        </w:tc>
      </w:tr>
      <w:tr>
        <w:trPr>
          <w:trHeight w:val="192"/>
        </w:trPr>
        <w:tc>
          <w:tcPr>
            <w:tcW w:w="690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Insurance contracts</w:t>
            </w:r>
          </w:p>
        </w:tc>
      </w:tr>
      <w:tr>
        <w:trPr>
          <w:trHeight w:val="250"/>
        </w:trPr>
        <w:tc>
          <w:tcPr>
            <w:tcW w:w="6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2010</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Realized gain on plan assets</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sales, issuances and settlements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2011</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Unrealized gain on plan assets</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Purchases, sales, issuances and settlements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2012</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While the studies give appropriate consideration to recent fund performance and historical returns, the assumptions primarily represent expectations about future rates of return over the long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ASSOCIATE MEDICAL BENEFITS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information about the retiree medical plan for domestic associates. The retiree medical plan is valued using a September 30 measurement date.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3220" w:type="dxa"/>
            <w:vAlign w:val="bottom"/>
            <w:gridSpan w:val="5"/>
          </w:tcPr>
          <w:p>
            <w:pPr>
              <w:jc w:val="right"/>
              <w:ind w:right="311"/>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6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Benefits paid (net of federal subsidy of $0.3 and $0.3)</w:t>
            </w:r>
          </w:p>
        </w:tc>
        <w:tc>
          <w:tcPr>
            <w:tcW w:w="9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96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Gross benefits paid</w:t>
            </w:r>
          </w:p>
        </w:tc>
        <w:tc>
          <w:tcPr>
            <w:tcW w:w="9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9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Unfunded status at end of year</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3"/>
              </w:rPr>
              <w:t>(36.3)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3"/>
              </w:rPr>
              <w:t>(36.3)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Benefit losses during the period</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 amortized during the year</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2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The estimated actuarial gain that will be amortized from accumulated loss into net periodic benefit cost over the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next fiscal year is immaterial</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APBO</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8200" w:type="dxa"/>
            <w:vAlign w:val="bottom"/>
            <w:vMerge w:val="restart"/>
          </w:tcPr>
          <w:p>
            <w:pPr>
              <w:ind w:left="5620"/>
              <w:spacing w:after="0"/>
              <w:rPr>
                <w:sz w:val="20"/>
                <w:szCs w:val="20"/>
                <w:color w:val="auto"/>
              </w:rPr>
            </w:pPr>
            <w:r>
              <w:rPr>
                <w:rFonts w:ascii="Arial" w:cs="Arial" w:eastAsia="Arial" w:hAnsi="Arial"/>
                <w:sz w:val="18"/>
                <w:szCs w:val="18"/>
                <w:color w:val="auto"/>
              </w:rPr>
              <w:t>74</w:t>
            </w: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2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980" w:type="dxa"/>
            <w:vAlign w:val="bottom"/>
          </w:tcPr>
          <w:p>
            <w:pPr>
              <w:spacing w:after="0"/>
              <w:rPr>
                <w:sz w:val="21"/>
                <w:szCs w:val="2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postretirement benefit cost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connection with the restructuring plan discussed in “NOTE 4. IMPAIRMENT, RESTRUCTURING AND OTHER CHARGES,” the Company recognized a plan curtailment charge of $1.1 million in fiscal 2011 for an increase in the benefit obligation associated with its retiree medical plan.</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The APBO at September 30, 2012, has been reduced by a deferred actuarial gain in the amount of $0.5 million to reflect the effect of the subsidy related to benefits attributed to past service. The amortization of the actuarial gain and reduction of service and interest costs served to reduce net periodic post retirement benefit cost for fiscal 2012, fiscal 2011 and fiscal 2010 by $0.2 million, $1.1 million and $0.5 million, respectively.</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historically received a federal retiree drug subsidy as it offers retiree prescription drug coverage that is at a minimum as valuable as Medicare Part D coverage. The Patient Protection and Affordable Care Act (“PPACA”), which was enacted on March 23, 2010, repealed the existing rule that permitted a tax deduction for the portion of the drug coverage expense that was offset by the Medicare Part D subsidy received by the Company. This provision of PPACA was to be effective beginning with the Company’s fiscal 2012 tax year. On March 30, 2010, a companion bill, the Health Care and Education Reconciliation Act of 2010 (“HCERA”), was enacted. HCERA delayed the effective date of the reduction under PPACA until the Company’s fiscal 2014 tax year. As a result of this new legislation, the Company recorded a $1.9 million charge to tax expense during its second quarter of fiscal 2010 to reduce its deferred tax asset for the portion of the subsidy that will no longer be deductible when paid after fiscal 2013.</w:t>
      </w:r>
    </w:p>
    <w:p>
      <w:pPr>
        <w:spacing w:after="0" w:line="12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measurement as of September 30, 2012, management has assumed that health care costs will increase at an annual rate of 7.25% in fiscal 2012, decreasing 0.25% per year to an ultimate trend of 5.00% in 2021. A 1% increase in health cost trend rate assumptions would increase the APBO by $1.2 million as of September 30, 2012. A 1% decrease in health cost trend rate assumptions would decrease the APBO by $1.3 million as of September 30, 2012. A 1% increase or decrease in the same rate would not have a material effect on service or interest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Retiree</w:t>
            </w:r>
          </w:p>
        </w:tc>
        <w:tc>
          <w:tcPr>
            <w:tcW w:w="280" w:type="dxa"/>
            <w:vAlign w:val="bottom"/>
          </w:tcPr>
          <w:p>
            <w:pPr>
              <w:spacing w:after="0"/>
              <w:rPr>
                <w:sz w:val="14"/>
                <w:szCs w:val="14"/>
                <w:color w:val="auto"/>
              </w:rPr>
            </w:pPr>
          </w:p>
        </w:tc>
        <w:tc>
          <w:tcPr>
            <w:tcW w:w="1000" w:type="dxa"/>
            <w:vAlign w:val="bottom"/>
          </w:tcPr>
          <w:p>
            <w:pPr>
              <w:jc w:val="center"/>
              <w:ind w:right="176"/>
              <w:spacing w:after="0"/>
              <w:rPr>
                <w:sz w:val="20"/>
                <w:szCs w:val="20"/>
                <w:color w:val="auto"/>
              </w:rPr>
            </w:pPr>
            <w:r>
              <w:rPr>
                <w:rFonts w:ascii="Arial" w:cs="Arial" w:eastAsia="Arial" w:hAnsi="Arial"/>
                <w:sz w:val="14"/>
                <w:szCs w:val="14"/>
                <w:b w:val="1"/>
                <w:bCs w:val="1"/>
                <w:color w:val="auto"/>
                <w:w w:val="95"/>
              </w:rPr>
              <w:t>Medicare</w:t>
            </w:r>
          </w:p>
        </w:tc>
        <w:tc>
          <w:tcPr>
            <w:tcW w:w="260" w:type="dxa"/>
            <w:vAlign w:val="bottom"/>
          </w:tcPr>
          <w:p>
            <w:pPr>
              <w:spacing w:after="0"/>
              <w:rPr>
                <w:sz w:val="14"/>
                <w:szCs w:val="14"/>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Benefit</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rPr>
              <w:t>Part D</w:t>
            </w:r>
          </w:p>
        </w:tc>
        <w:tc>
          <w:tcPr>
            <w:tcW w:w="260" w:type="dxa"/>
            <w:vAlign w:val="bottom"/>
          </w:tcPr>
          <w:p>
            <w:pPr>
              <w:spacing w:after="0"/>
              <w:rPr>
                <w:sz w:val="12"/>
                <w:szCs w:val="12"/>
                <w:color w:val="auto"/>
              </w:rPr>
            </w:pPr>
          </w:p>
        </w:tc>
        <w:tc>
          <w:tcPr>
            <w:tcW w:w="98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0"/>
              </w:rPr>
              <w:t>Payments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Contributions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1"/>
              </w:rPr>
              <w:t>Subsidy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2018 – 2022</w:t>
            </w:r>
          </w:p>
        </w:tc>
        <w:tc>
          <w:tcPr>
            <w:tcW w:w="22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$28.7 million, $27.9 million and $27.6 million in fiscal 2012, fiscal 2011 and fiscal 2010,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r>
      <w:tr>
        <w:trPr>
          <w:trHeight w:val="196"/>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r>
      <w:tr>
        <w:trPr>
          <w:trHeight w:val="25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Revolving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387.2</w:t>
            </w: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Senior Notes – 7.25%</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200.0</w:t>
            </w: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6.625%</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w:t>
            </w:r>
          </w:p>
        </w:tc>
      </w:tr>
      <w:tr>
        <w:trPr>
          <w:trHeight w:val="27"/>
        </w:trPr>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795.0</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Less current portions</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w w:val="97"/>
              </w:rPr>
              <w:t>The Company’s debt matures as follows for each of the next five fiscal years and thereafter (in millions):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80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98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080" w:type="dxa"/>
            <w:vAlign w:val="bottom"/>
            <w:gridSpan w:val="2"/>
          </w:tcPr>
          <w:p>
            <w:pPr>
              <w:ind w:left="1020"/>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080" w:type="dxa"/>
            <w:vAlign w:val="bottom"/>
            <w:gridSpan w:val="2"/>
          </w:tcPr>
          <w:p>
            <w:pPr>
              <w:ind w:left="1020"/>
              <w:spacing w:after="0"/>
              <w:rPr>
                <w:sz w:val="20"/>
                <w:szCs w:val="20"/>
                <w:color w:val="auto"/>
              </w:rPr>
            </w:pPr>
            <w:r>
              <w:rPr>
                <w:rFonts w:ascii="Arial" w:cs="Arial" w:eastAsia="Arial" w:hAnsi="Arial"/>
                <w:sz w:val="18"/>
                <w:szCs w:val="18"/>
                <w:color w:val="auto"/>
              </w:rPr>
              <w:t>2016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377.6</w:t>
            </w:r>
          </w:p>
        </w:tc>
      </w:tr>
      <w:tr>
        <w:trPr>
          <w:trHeight w:val="27"/>
        </w:trPr>
        <w:tc>
          <w:tcPr>
            <w:tcW w:w="8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980" w:type="dxa"/>
            <w:vAlign w:val="bottom"/>
          </w:tcPr>
          <w:p>
            <w:pPr>
              <w:spacing w:after="0"/>
              <w:rPr>
                <w:sz w:val="21"/>
                <w:szCs w:val="21"/>
                <w:color w:val="auto"/>
              </w:rPr>
            </w:pPr>
          </w:p>
        </w:tc>
        <w:tc>
          <w:tcPr>
            <w:tcW w:w="7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7"/>
        </w:trPr>
        <w:tc>
          <w:tcPr>
            <w:tcW w:w="980" w:type="dxa"/>
            <w:vAlign w:val="bottom"/>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80" w:type="dxa"/>
            <w:vAlign w:val="bottom"/>
          </w:tcPr>
          <w:p>
            <w:pPr>
              <w:spacing w:after="0"/>
              <w:rPr>
                <w:sz w:val="22"/>
                <w:szCs w:val="22"/>
                <w:color w:val="auto"/>
              </w:rPr>
            </w:pPr>
          </w:p>
        </w:tc>
        <w:tc>
          <w:tcPr>
            <w:tcW w:w="7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r>
      <w:tr>
        <w:trPr>
          <w:trHeight w:val="20"/>
        </w:trPr>
        <w:tc>
          <w:tcPr>
            <w:tcW w:w="98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the Company may request up to an additional $450 million in revolving and/or term commitments, subject to certain specified conditions, including approval from the Company’s lenders. The credit facility replaced the Company’s previous senior secured credit facilities, which were comprised of: (a) a senior secured revolving loan facility in the aggregate principal amount of up to $1.59 billion and (b) a senior secured term loan facility totaling $560 million. The previous credit facilities were scheduled to expire in February 2012.</w:t>
      </w:r>
    </w:p>
    <w:p>
      <w:pPr>
        <w:spacing w:after="0" w:line="13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terms of the credit facility provide for customary representations and warranties and affirmative covenants. The credit facility also contains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which are limited to an aggregate of $125 million annually through fiscal 2013 and $150 million annually beginning in fiscal 2014 if our leverage ratio, after giving effect to any such annual dividend payment, exceeds 2.50. The credit facility is secured by collateral that includes the capital stock of specified subsidiaries of Scotts Miracle-Gro, substantially all domestic accounts receivable (exclusive of any “sold” receivables), inventory and equipment. The credit facility is guaranteed by substantially all of Scotts Miracle-Gro’s domestic subsidiaries.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Loans made under the credit facility bear interest, at the Company’s election, at a rate per annum equal to either the ABR or LIBOR rate, (both as defined) plus an applicable margin. Amounts outstanding under the credit facility at September 30, 2012 were at interest rates based on LIBOR applicable to the borrowed currencies plus 225 basis points. Under the credit facility, the Company has the ability to issue letter of credit commitments up to $75 million. At September 30, 2012, the Company had letters of credit in the aggregate face amount of $25.9 million outstanding, and $1.3 billion of availability under its credit facility.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Notes- 7.25%</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due 2018 (the “7.25% Senior Notes”). The net proceeds of the offering were used to reduce outstanding borrowings under the Company’s then existing credit facilities. The 7.25% Senior Notes represent general unsecured senior obligations of Scotts Miracle-Gro, and were sold to the public at 99.254% of the principal amount thereof, to yield 7.375% to maturity. The 7.25% Senior Notes have interest payment dates of January 15 and July 15 of each year,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or redemptions of Scotts Miracle-Gro stock and prepayments of subordinated debt, limitations on asset sales and restrictions on transactions with affiliates. The 7.25% Senior Notes mature on January 15, 2018. Substantially all of Scotts Miracle-Gro's domestic subsidiaries serve as guarantors of the 7.25% Senior Notes.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Notes- 6.625%</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December 16, 2010, Scotts Miracle-Gro issued $200 million aggregate principal amount of 6.625% Senior Notes due 2020 (the “6.625%" Senior Notes”) in a private placement exempt from the registration requirements under the Securities Act of 1933, as amended. The net proceeds of the offering were used to repay outstanding borrowings under the Company’s then existing credit facilities and for general corporate purposes. The 6.625% Senior Notes represent general unsecured senior obligations of Scotts Miracle-Gro and rank equal in right of payment with the Company’s existing and future unsecured senior debt, including, without limitation, the 7.25% Senior Notes. The 6.625% Senior Notes have interest payment dates of June 15 and December 15 of each year, which began on June 15, 2011, and may be redeemed prior to maturity at applicable redemption premiums. The 6.625% Senior Notes contain usual and customary incurrence-based covenants, as well as other usual and customary covenants, substantially similar to those contained in the 7.25% Senior Notes. The 6.625% Senior Notes mature on December 15, 2020. Substantially all of Scotts Miracle-Gro’s domestic subsidiaries serve as guarantors of the 6.625% Senior Notes.</w:t>
      </w:r>
    </w:p>
    <w:p>
      <w:pPr>
        <w:spacing w:after="0" w:line="14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was in compliance with the terms of all debt covenants at September 30, 2012. The credit facility contains, among other obligations, an affirmative covenant regarding the Company’s leverage ratio, calculated as average total indebtedness, as described in the Company’s credit facility, relative to the Company’s EBITDA, as adjusted pursuant to the terms of the credit facility (“Adjusted EBITDA”). Under the terms of the credit facility, the maximum leverage ratio was 3.50 as of September 30, 2012. The Company’s leverage ratio was 2.93 at September 30, 2012. The Company’s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year ended September 30, 2012. The Company’s interest coverage ratio was 4.90 for the year ended September 30, 2012. The weighted average interest rates on average debt were 6.0% and 5.9% for fiscal 2012 and fiscal 2011, respectively.</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2012, the Company had outstanding interest rate swap agreements with major financial institutions that effectively converted a portion of variable-rate debt denominated in U.S. dollars to a fixed rate. The swap agreements had a total U.S. dollar notional amount of $700 million at September 30, 2012.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8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4"/>
              <w:spacing w:after="0"/>
              <w:rPr>
                <w:sz w:val="20"/>
                <w:szCs w:val="20"/>
                <w:color w:val="auto"/>
              </w:rPr>
            </w:pPr>
            <w:r>
              <w:rPr>
                <w:rFonts w:ascii="Arial" w:cs="Arial" w:eastAsia="Arial" w:hAnsi="Arial"/>
                <w:sz w:val="14"/>
                <w:szCs w:val="14"/>
                <w:b w:val="1"/>
                <w:bCs w:val="1"/>
                <w:color w:val="auto"/>
              </w:rPr>
              <w:t>Notional Amount</w:t>
            </w:r>
          </w:p>
        </w:tc>
        <w:tc>
          <w:tcPr>
            <w:tcW w:w="3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Effective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4"/>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Date (a)</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57"/>
        </w:trPr>
        <w:tc>
          <w:tcPr>
            <w:tcW w:w="3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ind w:left="20"/>
              <w:spacing w:after="0"/>
              <w:rPr>
                <w:sz w:val="20"/>
                <w:szCs w:val="20"/>
                <w:color w:val="auto"/>
              </w:rPr>
            </w:pPr>
            <w:r>
              <w:rPr>
                <w:rFonts w:ascii="Arial" w:cs="Arial" w:eastAsia="Arial" w:hAnsi="Arial"/>
                <w:sz w:val="13"/>
                <w:szCs w:val="13"/>
                <w:color w:val="auto"/>
              </w:rPr>
              <w:t>(b)</w:t>
            </w:r>
          </w:p>
        </w:tc>
        <w:tc>
          <w:tcPr>
            <w:tcW w:w="1800" w:type="dxa"/>
            <w:vAlign w:val="bottom"/>
          </w:tcPr>
          <w:p>
            <w:pPr>
              <w:jc w:val="right"/>
              <w:spacing w:after="0"/>
              <w:rPr>
                <w:sz w:val="20"/>
                <w:szCs w:val="20"/>
                <w:color w:val="auto"/>
              </w:rPr>
            </w:pPr>
            <w:r>
              <w:rPr>
                <w:rFonts w:ascii="Arial" w:cs="Arial" w:eastAsia="Arial" w:hAnsi="Arial"/>
                <w:sz w:val="18"/>
                <w:szCs w:val="18"/>
                <w:color w:val="auto"/>
              </w:rPr>
              <w:t>2/7/2012</w:t>
            </w:r>
          </w:p>
        </w:tc>
        <w:tc>
          <w:tcPr>
            <w:tcW w:w="1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5/7/2016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3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ind w:left="20"/>
              <w:spacing w:after="0"/>
              <w:rPr>
                <w:sz w:val="20"/>
                <w:szCs w:val="20"/>
                <w:color w:val="auto"/>
              </w:rPr>
            </w:pPr>
            <w:r>
              <w:rPr>
                <w:rFonts w:ascii="Arial" w:cs="Arial" w:eastAsia="Arial" w:hAnsi="Arial"/>
                <w:sz w:val="13"/>
                <w:szCs w:val="13"/>
                <w:color w:val="auto"/>
              </w:rPr>
              <w:t>(b)</w:t>
            </w:r>
          </w:p>
        </w:tc>
        <w:tc>
          <w:tcPr>
            <w:tcW w:w="1800" w:type="dxa"/>
            <w:vAlign w:val="bottom"/>
          </w:tcPr>
          <w:p>
            <w:pPr>
              <w:jc w:val="right"/>
              <w:spacing w:after="0"/>
              <w:rPr>
                <w:sz w:val="20"/>
                <w:szCs w:val="20"/>
                <w:color w:val="auto"/>
              </w:rPr>
            </w:pPr>
            <w:r>
              <w:rPr>
                <w:rFonts w:ascii="Arial" w:cs="Arial" w:eastAsia="Arial" w:hAnsi="Arial"/>
                <w:sz w:val="18"/>
                <w:szCs w:val="18"/>
                <w:color w:val="auto"/>
              </w:rPr>
              <w:t>2/16/2010</w:t>
            </w:r>
          </w:p>
        </w:tc>
        <w:tc>
          <w:tcPr>
            <w:tcW w:w="1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3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ind w:left="20"/>
              <w:spacing w:after="0"/>
              <w:rPr>
                <w:sz w:val="20"/>
                <w:szCs w:val="20"/>
                <w:color w:val="auto"/>
              </w:rPr>
            </w:pPr>
            <w:r>
              <w:rPr>
                <w:rFonts w:ascii="Arial" w:cs="Arial" w:eastAsia="Arial" w:hAnsi="Arial"/>
                <w:sz w:val="13"/>
                <w:szCs w:val="13"/>
                <w:color w:val="auto"/>
              </w:rPr>
              <w:t>(c)</w:t>
            </w:r>
          </w:p>
        </w:tc>
        <w:tc>
          <w:tcPr>
            <w:tcW w:w="1800" w:type="dxa"/>
            <w:vAlign w:val="bottom"/>
          </w:tcPr>
          <w:p>
            <w:pPr>
              <w:jc w:val="right"/>
              <w:spacing w:after="0"/>
              <w:rPr>
                <w:sz w:val="20"/>
                <w:szCs w:val="20"/>
                <w:color w:val="auto"/>
              </w:rPr>
            </w:pPr>
            <w:r>
              <w:rPr>
                <w:rFonts w:ascii="Arial" w:cs="Arial" w:eastAsia="Arial" w:hAnsi="Arial"/>
                <w:sz w:val="18"/>
                <w:szCs w:val="18"/>
                <w:color w:val="auto"/>
              </w:rPr>
              <w:t>12/20/2011</w:t>
            </w:r>
          </w:p>
        </w:tc>
        <w:tc>
          <w:tcPr>
            <w:tcW w:w="1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6/20/2016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459"/>
        </w:trPr>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ind w:right="23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right="20" w:hanging="652"/>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November 15, 2012, the Company entered into a new Master Accounts Receivable Purchase Agreement (the “2012 MARP Agreement”), with an initial stated termination date of October 30, 2013, or such later date as may be mutually agreed by the Company and the banks party thereto. The 2012 MARP Agreement, which is uncommitted, provides for the discretionary sale by the Company, and the discretionary purchase by the banks, on a revolving basis, of accounts receivable generated by sales to three specified account debtors in an aggregate amount not to exceed $400 million, with debtor sublimits ranging from $100 million to $200 million. Under the terms of the 2012 MARP Agreement, the banks have the opportunity to purchase those accounts receivable offered by the Company at a discount (from the agreed base value thereof) effectively equal to the greater of 7-day or 3-month LIBOR plus 0.75%. The 2012 MARP Agreement replaced the Company’s previous Master Accounts Receivable Purchase Agreement, which provided for the discounted sale, on an uncommitted, revolving basis, of accounts receivable generated by two specified account debtors in an aggregate amount not to exceed $325 million and an interest rate effectively equal to the greater of 7-day or 3-month LIBOR plus 1.05%. The previous Master Accounts Receivable Purchase Agreement expired on September 21, 2012.</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accounts for the sale of receivables under its Master Accounts Receivable Purchase Agreements as short-term debt and continues to carry the receivables on its Consolidated Balance Sheet, primarily as a result of the Company’s right to repurchase receivables sold. There were no short-term borrowings under the Master Accounts Receivable Purchase Agreements as of September 30, 2012 and 2011.</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fair value of the 7.25% Senior Notes can be determined based on the trading of the 7.25% Senior Notes in the open market. The difference between the carrying value and the fair value of the 7.25% Senior Notes represents the premium or discount on that date. Based on the trading value on or around September 30, 2012 and September 30, 2011, the fair value of the 7.25% Senior Notes was approximately $212.0 million and $206.0 million, respectively. The fair value measurement for the 7.25% Senior Notes was classified in Level 1 of the fair value hierarchy.</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fair value of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September 30, 2012 and September 30, 2011, the fair value of the 6.625% Senior Notes was approximately $217.5 million and $198.1 million, respectively. The fair value measurement for the 6.625% Senior Notes was classified in Level 1 of the fair value hierarchy.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fair values of the Company’s debt instruments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64"/>
        </w:trPr>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r>
      <w:tr>
        <w:trPr>
          <w:trHeight w:val="152"/>
        </w:trPr>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840" w:type="dxa"/>
            <w:vAlign w:val="bottom"/>
            <w:gridSpan w:val="2"/>
          </w:tcPr>
          <w:p>
            <w:pPr>
              <w:jc w:val="right"/>
              <w:ind w:right="299"/>
              <w:spacing w:after="0" w:line="15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04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r>
      <w:tr>
        <w:trPr>
          <w:trHeight w:val="250"/>
        </w:trPr>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5"/>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6"/>
        </w:trPr>
        <w:tc>
          <w:tcPr>
            <w:tcW w:w="3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loans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r>
      <w:tr>
        <w:trPr>
          <w:trHeight w:val="243"/>
        </w:trPr>
        <w:tc>
          <w:tcPr>
            <w:tcW w:w="340" w:type="dxa"/>
            <w:vAlign w:val="bottom"/>
          </w:tcPr>
          <w:p>
            <w:pPr>
              <w:spacing w:after="0"/>
              <w:rPr>
                <w:sz w:val="21"/>
                <w:szCs w:val="21"/>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Senior Notes – 7.25%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r>
      <w:tr>
        <w:trPr>
          <w:trHeight w:val="27"/>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r>
      <w:tr>
        <w:trPr>
          <w:trHeight w:val="243"/>
        </w:trPr>
        <w:tc>
          <w:tcPr>
            <w:tcW w:w="340" w:type="dxa"/>
            <w:vAlign w:val="bottom"/>
          </w:tcPr>
          <w:p>
            <w:pPr>
              <w:spacing w:after="0"/>
              <w:rPr>
                <w:sz w:val="21"/>
                <w:szCs w:val="21"/>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459"/>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NOTE 12. SHAREHOLDERS’ EQUITY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Authorized and issued capital shares consisted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88"/>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64"/>
        </w:trPr>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2012</w:t>
            </w:r>
          </w:p>
        </w:tc>
        <w:tc>
          <w:tcPr>
            <w:tcW w:w="8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22"/>
                <w:szCs w:val="22"/>
                <w:color w:val="auto"/>
              </w:rPr>
            </w:pPr>
          </w:p>
        </w:tc>
      </w:tr>
      <w:tr>
        <w:trPr>
          <w:trHeight w:val="196"/>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shares, no par value:</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43"/>
        </w:trPr>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8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339"/>
              <w:spacing w:after="0"/>
              <w:rPr>
                <w:sz w:val="20"/>
                <w:szCs w:val="20"/>
                <w:color w:val="auto"/>
              </w:rPr>
            </w:pPr>
            <w:r>
              <w:rPr>
                <w:rFonts w:ascii="Arial" w:cs="Arial" w:eastAsia="Arial" w:hAnsi="Arial"/>
                <w:sz w:val="18"/>
                <w:szCs w:val="18"/>
                <w:color w:val="auto"/>
                <w:w w:val="90"/>
              </w:rPr>
              <w:t>0.2 shares</w:t>
            </w:r>
          </w:p>
        </w:tc>
        <w:tc>
          <w:tcPr>
            <w:tcW w:w="3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0.2 shares</w:t>
            </w:r>
          </w:p>
        </w:tc>
      </w:tr>
      <w:tr>
        <w:trPr>
          <w:trHeight w:val="27"/>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w w:val="90"/>
              </w:rPr>
              <w:t>0.0 shares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0.0 shares</w:t>
            </w:r>
          </w:p>
        </w:tc>
        <w:tc>
          <w:tcPr>
            <w:tcW w:w="2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Common shares, no par value, $.01 stated value per share</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gridSpan w:val="5"/>
          </w:tcPr>
          <w:p>
            <w:pPr>
              <w:spacing w:after="0"/>
              <w:rPr>
                <w:sz w:val="2"/>
                <w:szCs w:val="2"/>
                <w:color w:val="auto"/>
              </w:rPr>
            </w:pPr>
          </w:p>
        </w:tc>
        <w:tc>
          <w:tcPr>
            <w:tcW w:w="1360" w:type="dxa"/>
            <w:vAlign w:val="bottom"/>
            <w:gridSpan w:val="3"/>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Authorized</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5"/>
            <w:shd w:val="clear" w:color="auto" w:fill="CCEEFF"/>
          </w:tcPr>
          <w:p>
            <w:pPr>
              <w:jc w:val="right"/>
              <w:ind w:right="339"/>
              <w:spacing w:after="0"/>
              <w:rPr>
                <w:sz w:val="20"/>
                <w:szCs w:val="20"/>
                <w:color w:val="auto"/>
              </w:rPr>
            </w:pPr>
            <w:r>
              <w:rPr>
                <w:rFonts w:ascii="Arial" w:cs="Arial" w:eastAsia="Arial" w:hAnsi="Arial"/>
                <w:sz w:val="18"/>
                <w:szCs w:val="18"/>
                <w:color w:val="auto"/>
              </w:rPr>
              <w:t>100.0 shares</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shares</w:t>
            </w:r>
          </w:p>
        </w:tc>
        <w:tc>
          <w:tcPr>
            <w:tcW w:w="2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80" w:type="dxa"/>
            <w:vAlign w:val="bottom"/>
          </w:tcPr>
          <w:p>
            <w:pPr>
              <w:ind w:left="380"/>
              <w:spacing w:after="0"/>
              <w:rPr>
                <w:sz w:val="20"/>
                <w:szCs w:val="20"/>
                <w:color w:val="auto"/>
              </w:rPr>
            </w:pPr>
            <w:r>
              <w:rPr>
                <w:rFonts w:ascii="Arial" w:cs="Arial" w:eastAsia="Arial" w:hAnsi="Arial"/>
                <w:sz w:val="18"/>
                <w:szCs w:val="18"/>
                <w:color w:val="auto"/>
              </w:rPr>
              <w:t>Issued</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gridSpan w:val="4"/>
          </w:tcPr>
          <w:p>
            <w:pPr>
              <w:jc w:val="right"/>
              <w:ind w:right="339"/>
              <w:spacing w:after="0"/>
              <w:rPr>
                <w:sz w:val="20"/>
                <w:szCs w:val="20"/>
                <w:color w:val="auto"/>
              </w:rPr>
            </w:pPr>
            <w:r>
              <w:rPr>
                <w:rFonts w:ascii="Arial" w:cs="Arial" w:eastAsia="Arial" w:hAnsi="Arial"/>
                <w:sz w:val="18"/>
                <w:szCs w:val="18"/>
                <w:color w:val="auto"/>
                <w:w w:val="89"/>
              </w:rPr>
              <w:t>68.1 shares</w:t>
            </w:r>
          </w:p>
        </w:tc>
        <w:tc>
          <w:tcPr>
            <w:tcW w:w="3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2"/>
              </w:rPr>
              <w:t>68.1 shares</w:t>
            </w:r>
          </w:p>
        </w:tc>
      </w:tr>
    </w:tbl>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fiscal 1995, The Scotts Company merged with Stern’s Miracle-Gro Products, Inc. (“Miracle-Gro”). At September 30, 2012, the former shareholders of Miracle-Gro, including Hagedorn Partnership L.P., owned approximately 30% of Scotts Miracle-Gro’s outstanding common shares and, thus, have the ability to significantly influence the election of directors and other actions requiring the approval of Scotts Miracle-Gro’s shareholders.</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3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August 2010, the Scotts Miracle-Gro Board of Directors authorized the repurchase of up to $500 million of Scotts Miracle-Gro’s common shares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authorization provides the Company with flexibility to purchase the Common Shares from time to time in open market purchases or through privately negotiated transactions. All or part of the repurchases may be made under Rule 10b5-1 plans, which the Company may enter from time to time and which enable the repurchases to occur on a more regular basis, or pursuant to accelerated share repurchases. The share repurchase authorization, which expires September 30, 2014, may be suspended or discontinued at any time, and there can be no guarantee as to the timing or amount of any repurchases. Since the inception of this program in the fourth quarter of fiscal 2010 through September 30, 2012, Scotts Miracle-Gro has repurchased approximately 7.8 million Common Shares for $401.2 million to be held in treasury. Scotts Miracle-Gro repurchased 0.4 million Common Shares for $17.5 million</w:t>
      </w:r>
    </w:p>
    <w:p>
      <w:pPr>
        <w:sectPr>
          <w:pgSz w:w="11900" w:h="16838" w:orient="portrait"/>
          <w:cols w:equalWidth="0" w:num="1">
            <w:col w:w="11420"/>
          </w:cols>
          <w:pgMar w:left="240" w:top="121"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2012. Common Shares held in treasury totaling 1.1 million and 1.2 million were reissued in support of share-based compensation awards and employee purchases under the employee stock purchase plan during fiscal 2012 and fiscal 2011,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9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Scotts Miracle-Gro grants share-based awards annually to officers, certain other employees of the Company and non-employee directors of Scotts Miracle-Gro. The share-based awards typically consist of stock options, restricted stock, restricted stock units and deferred stock units. Performance-based awards have also been made. Stock appreciation rights (“SARs”)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Vesting of performance-based awards are dependent on service and achievement of specified performance targets. Share-based awards are forfeited if a holder terminates employment or service with the Company prior to the vesting date. The Company estimates that 10-15% of its share-based awards will be forfeited based on an analysis of historical trends. This assumption is re-evaluated on an annual basis and adjusted as appropriate. Stock options and SAR awards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1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 maximum of 18 million Common Shares are available for issuance under share-based award plans. At September 30, 2012, approximately 0.1 million Common Shares were not subject to outstanding awards and were available to underlie the grant of new share-based awards.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p>
      <w:pPr>
        <w:spacing w:after="0" w:line="352"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120" w:type="dxa"/>
            <w:vAlign w:val="bottom"/>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r>
      <w:tr>
        <w:trPr>
          <w:trHeight w:val="250"/>
        </w:trPr>
        <w:tc>
          <w:tcPr>
            <w:tcW w:w="1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760" w:type="dxa"/>
            <w:vAlign w:val="bottom"/>
          </w:tcPr>
          <w:p>
            <w:pPr>
              <w:ind w:left="380"/>
              <w:spacing w:after="0"/>
              <w:rPr>
                <w:sz w:val="20"/>
                <w:szCs w:val="20"/>
                <w:color w:val="auto"/>
              </w:rPr>
            </w:pPr>
            <w:r>
              <w:rPr>
                <w:rFonts w:ascii="Arial" w:cs="Arial" w:eastAsia="Arial" w:hAnsi="Arial"/>
                <w:sz w:val="18"/>
                <w:szCs w:val="18"/>
                <w:color w:val="auto"/>
              </w:rPr>
              <w:t>Options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464,061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429,700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367,600</w:t>
            </w:r>
          </w:p>
        </w:tc>
      </w:tr>
      <w:tr>
        <w:trPr>
          <w:trHeight w:val="27"/>
        </w:trPr>
        <w:tc>
          <w:tcPr>
            <w:tcW w:w="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259,353</w:t>
            </w:r>
          </w:p>
        </w:tc>
      </w:tr>
      <w:tr>
        <w:trPr>
          <w:trHeight w:val="243"/>
        </w:trPr>
        <w:tc>
          <w:tcPr>
            <w:tcW w:w="120" w:type="dxa"/>
            <w:vAlign w:val="bottom"/>
          </w:tcPr>
          <w:p>
            <w:pPr>
              <w:spacing w:after="0"/>
              <w:rPr>
                <w:sz w:val="21"/>
                <w:szCs w:val="21"/>
                <w:color w:val="auto"/>
              </w:rPr>
            </w:pPr>
          </w:p>
        </w:tc>
        <w:tc>
          <w:tcPr>
            <w:tcW w:w="5760" w:type="dxa"/>
            <w:vAlign w:val="bottom"/>
          </w:tcPr>
          <w:p>
            <w:pPr>
              <w:ind w:left="380"/>
              <w:spacing w:after="0"/>
              <w:rPr>
                <w:sz w:val="20"/>
                <w:szCs w:val="20"/>
                <w:color w:val="auto"/>
              </w:rPr>
            </w:pPr>
            <w:r>
              <w:rPr>
                <w:rFonts w:ascii="Arial" w:cs="Arial" w:eastAsia="Arial" w:hAnsi="Arial"/>
                <w:sz w:val="18"/>
                <w:szCs w:val="18"/>
                <w:color w:val="auto"/>
              </w:rPr>
              <w:t>Performance shares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4,200</w:t>
            </w:r>
          </w:p>
        </w:tc>
      </w:tr>
      <w:tr>
        <w:trPr>
          <w:trHeight w:val="27"/>
        </w:trPr>
        <w:tc>
          <w:tcPr>
            <w:tcW w:w="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28,854</w:t>
            </w:r>
          </w:p>
        </w:tc>
      </w:tr>
      <w:tr>
        <w:trPr>
          <w:trHeight w:val="237"/>
        </w:trPr>
        <w:tc>
          <w:tcPr>
            <w:tcW w:w="1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Total share-based awards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712,456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579,809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660,007</w:t>
            </w:r>
          </w:p>
        </w:tc>
      </w:tr>
      <w:tr>
        <w:trPr>
          <w:trHeight w:val="67"/>
        </w:trPr>
        <w:tc>
          <w:tcPr>
            <w:tcW w:w="120" w:type="dxa"/>
            <w:vAlign w:val="bottom"/>
          </w:tcPr>
          <w:p>
            <w:pPr>
              <w:spacing w:after="0"/>
              <w:rPr>
                <w:sz w:val="5"/>
                <w:szCs w:val="5"/>
                <w:color w:val="auto"/>
              </w:rPr>
            </w:pPr>
          </w:p>
        </w:tc>
        <w:tc>
          <w:tcPr>
            <w:tcW w:w="57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120" w:type="dxa"/>
            <w:vAlign w:val="bottom"/>
          </w:tcPr>
          <w:p>
            <w:pPr>
              <w:spacing w:after="0"/>
              <w:rPr>
                <w:sz w:val="20"/>
                <w:szCs w:val="20"/>
                <w:color w:val="auto"/>
              </w:rPr>
            </w:pPr>
          </w:p>
        </w:tc>
        <w:tc>
          <w:tcPr>
            <w:tcW w:w="5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Aggregate fair value at grant dates (in millions)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378"/>
        </w:trPr>
        <w:tc>
          <w:tcPr>
            <w:tcW w:w="5880" w:type="dxa"/>
            <w:vAlign w:val="bottom"/>
            <w:gridSpan w:val="2"/>
          </w:tcPr>
          <w:p>
            <w:pPr>
              <w:spacing w:after="0"/>
              <w:rPr>
                <w:sz w:val="20"/>
                <w:szCs w:val="20"/>
                <w:color w:val="auto"/>
              </w:rPr>
            </w:pPr>
            <w:r>
              <w:rPr>
                <w:rFonts w:ascii="Arial" w:cs="Arial" w:eastAsia="Arial" w:hAnsi="Arial"/>
                <w:sz w:val="18"/>
                <w:szCs w:val="18"/>
                <w:color w:val="auto"/>
              </w:rPr>
              <w:t>Total share-based compensation was as follows for the periods indicated: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1"/>
        </w:trPr>
        <w:tc>
          <w:tcPr>
            <w:tcW w:w="1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r>
      <w:tr>
        <w:trPr>
          <w:trHeight w:val="250"/>
        </w:trPr>
        <w:tc>
          <w:tcPr>
            <w:tcW w:w="1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12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r>
      <w:tr>
        <w:trPr>
          <w:trHeight w:val="243"/>
        </w:trPr>
        <w:tc>
          <w:tcPr>
            <w:tcW w:w="1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2012, total unrecognized compensation cost related to non-vested share-based awards amounted to $12.0 million. This cost is expected to be recognized over a weighted-average period of 1.9 years. The tax benefit realized from the tax deductions associated with the exercise of share-based awards and the vesting of restricted stock totaled $17.1 million for fiscal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Options/SARs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and SARs activity consisted of the following for the year ended September 30, 2012 (options/SARs in millions):</w:t>
      </w: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217"/>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4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Options/SARs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8"/>
                <w:szCs w:val="18"/>
                <w:color w:val="auto"/>
              </w:rPr>
              <w:t>Exercisable</w:t>
            </w: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40" w:type="dxa"/>
            <w:vAlign w:val="bottom"/>
            <w:vMerge w:val="continue"/>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September 30, 2012, the Company expects 1.0 million stock options (after forfeitures), with a weighted-average exercise price of $47.66, intrinsic value of $0.5 million and average remaining term of 8.5 years, to vest in the future. The following summarizes certain information pertaining to stock option and SAR awards outstanding and exercisable at September 30, 2012 (options/SARs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WTD.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Avg.</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SARs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$20.12 – $21.65</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$24.45 – $28.72</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ind w:right="48"/>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$29.01 – $31.62</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$33.25 – $37.48</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48"/>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$37.89 – $38.90</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$40.81 – $51.73</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jc w:val="right"/>
              <w:ind w:right="48"/>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 of the stock option and SAR awards outstanding and exercisable at September 30 were as follows (in millions):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88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Exercisable</w:t>
            </w:r>
          </w:p>
        </w:tc>
        <w:tc>
          <w:tcPr>
            <w:tcW w:w="3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25.3</w:t>
            </w:r>
          </w:p>
        </w:tc>
      </w:tr>
    </w:tbl>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are as follows for the periods indicated: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23495</wp:posOffset>
            </wp:positionV>
            <wp:extent cx="2992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03"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6500" w:type="dxa"/>
            <w:vAlign w:val="bottom"/>
            <w:gridSpan w:val="2"/>
          </w:tcPr>
          <w:p>
            <w:pPr>
              <w:ind w:left="6200"/>
              <w:spacing w:after="0"/>
              <w:rPr>
                <w:sz w:val="20"/>
                <w:szCs w:val="20"/>
                <w:color w:val="auto"/>
              </w:rPr>
            </w:pPr>
            <w:r>
              <w:rPr>
                <w:rFonts w:ascii="Arial" w:cs="Arial" w:eastAsia="Arial" w:hAnsi="Arial"/>
                <w:sz w:val="14"/>
                <w:szCs w:val="14"/>
                <w:b w:val="1"/>
                <w:bCs w:val="1"/>
                <w:color w:val="auto"/>
                <w:w w:val="89"/>
              </w:rPr>
              <w:t>2012</w:t>
            </w: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533"/>
              <w:spacing w:after="0"/>
              <w:rPr>
                <w:sz w:val="20"/>
                <w:szCs w:val="20"/>
                <w:color w:val="auto"/>
              </w:rPr>
            </w:pPr>
            <w:r>
              <w:rPr>
                <w:rFonts w:ascii="Arial" w:cs="Arial" w:eastAsia="Arial" w:hAnsi="Arial"/>
                <w:sz w:val="14"/>
                <w:szCs w:val="14"/>
                <w:b w:val="1"/>
                <w:bCs w:val="1"/>
                <w:color w:val="auto"/>
              </w:rPr>
              <w:t>2010</w:t>
            </w: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market price volatility</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Risk-free interest rates</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Expected life of stock options in years</w:t>
            </w: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6.00</w:t>
            </w:r>
          </w:p>
        </w:tc>
      </w:tr>
      <w:tr>
        <w:trPr>
          <w:trHeight w:val="27"/>
        </w:trPr>
        <w:tc>
          <w:tcPr>
            <w:tcW w:w="5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Estimated weighted-average fair value per stock option</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4"/>
              </w:rPr>
              <w:t>11.50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8"/>
              </w:rPr>
              <w:t>14.06</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12.90</w:t>
            </w:r>
          </w:p>
        </w:tc>
      </w:tr>
      <w:tr>
        <w:trPr>
          <w:trHeight w:val="27"/>
        </w:trPr>
        <w:tc>
          <w:tcPr>
            <w:tcW w:w="5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total intrinsic value of stock options exercised was $23.9 million, $22.4 million and $25.9 million during fiscal 2012, fiscal 2011and fiscal 2010, respectively. Cash received from the exercise of stock options for fiscal 2012 and fiscal 2011was $17.6 million and $31.5 million, respectively.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4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2009</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707,949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288,207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(26,600)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2010</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96,235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(103,400)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2011</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696,906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138,316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(36,891)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2012</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497,199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fair value of restricted stock vested was $3.6 million, $4.6 million and $5.2 million during fiscal 2012, fiscal 2011 and fiscal 2010, respectively. The total fair value of restricted stock units vested was $3.1 million, $0.6 million and $0.4 million during fiscal 2012, fiscal 2011 and fiscal 2010,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74"/>
              <w:spacing w:after="0"/>
              <w:rPr>
                <w:sz w:val="20"/>
                <w:szCs w:val="20"/>
                <w:color w:val="auto"/>
              </w:rPr>
            </w:pPr>
            <w:r>
              <w:rPr>
                <w:rFonts w:ascii="Arial" w:cs="Arial" w:eastAsia="Arial" w:hAnsi="Arial"/>
                <w:sz w:val="14"/>
                <w:szCs w:val="14"/>
                <w:b w:val="1"/>
                <w:bCs w:val="1"/>
                <w:color w:val="auto"/>
                <w:w w:val="99"/>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4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2009</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2010</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53,874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2011</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114,279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2012</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153,909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COMMON SHARE</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Basic earnings per common share are computed by dividing income from continuing operations, income from discontinued operations or net income by the weighted average number of common shares outstanding. Diluted earnings per common share are computed by dividing income from continuing operations, income from discontinued operations or net income by the weighted average number of common shares outstanding plus all potentially dilutive securities. Stock options with exercise prices greater than the average market price of the underlying common shares are excluded from the computation of diluted earnings per common share because they are out-of-the-money and the effect of their inclusion would be anti-dilutive. The number of common shares covered by out-of-the-money stock options was 0.7 million, 0.2 million and 0.2 million for the years ended September 30, 2012, 2011 and 2010, respectively. The following table presents information necessary to calculate basic and diluted earnings per common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80" w:type="dxa"/>
            <w:vAlign w:val="bottom"/>
            <w:gridSpan w:val="7"/>
          </w:tcPr>
          <w:p>
            <w:pPr>
              <w:jc w:val="center"/>
              <w:ind w:left="71"/>
              <w:spacing w:after="0"/>
              <w:rPr>
                <w:sz w:val="20"/>
                <w:szCs w:val="20"/>
                <w:color w:val="auto"/>
              </w:rPr>
            </w:pPr>
            <w:r>
              <w:rPr>
                <w:rFonts w:ascii="Arial" w:cs="Arial" w:eastAsia="Arial" w:hAnsi="Arial"/>
                <w:sz w:val="14"/>
                <w:szCs w:val="14"/>
                <w:b w:val="1"/>
                <w:bCs w:val="1"/>
                <w:color w:val="auto"/>
                <w:w w:val="92"/>
              </w:rPr>
              <w:t>(In millions, except per share data)</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113.2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106.5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88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during the period</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380"/>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vMerge w:val="continue"/>
          </w:tcPr>
          <w:p>
            <w:pPr>
              <w:spacing w:after="0"/>
              <w:rPr>
                <w:sz w:val="20"/>
                <w:szCs w:val="20"/>
                <w:color w:val="auto"/>
              </w:rPr>
            </w:pP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67"/>
        </w:trPr>
        <w:tc>
          <w:tcPr>
            <w:tcW w:w="564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COMMON SHARE:</w:t>
            </w: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380"/>
              <w:spacing w:after="0"/>
              <w:rPr>
                <w:sz w:val="20"/>
                <w:szCs w:val="20"/>
                <w:color w:val="auto"/>
              </w:rPr>
            </w:pPr>
            <w:r>
              <w:rPr>
                <w:rFonts w:ascii="Arial" w:cs="Arial" w:eastAsia="Arial" w:hAnsi="Arial"/>
                <w:sz w:val="18"/>
                <w:szCs w:val="18"/>
                <w:color w:val="auto"/>
              </w:rPr>
              <w:t>during the period</w:t>
            </w:r>
          </w:p>
        </w:tc>
        <w:tc>
          <w:tcPr>
            <w:tcW w:w="88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common shares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5640" w:type="dxa"/>
            <w:vAlign w:val="bottom"/>
          </w:tcPr>
          <w:p>
            <w:pPr>
              <w:ind w:left="380"/>
              <w:spacing w:after="0"/>
              <w:rPr>
                <w:sz w:val="20"/>
                <w:szCs w:val="20"/>
                <w:color w:val="auto"/>
              </w:rPr>
            </w:pPr>
            <w:r>
              <w:rPr>
                <w:rFonts w:ascii="Arial" w:cs="Arial" w:eastAsia="Arial" w:hAnsi="Arial"/>
                <w:sz w:val="18"/>
                <w:szCs w:val="18"/>
                <w:color w:val="auto"/>
              </w:rPr>
              <w:t>Weighted-average number of common shares</w:t>
            </w: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7"/>
        </w:trPr>
        <w:tc>
          <w:tcPr>
            <w:tcW w:w="5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 and dilutive potential common shares</w:t>
            </w: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 from continuing operations</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1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r>
      <w:tr>
        <w:trPr>
          <w:trHeight w:val="250"/>
        </w:trPr>
        <w:tc>
          <w:tcPr>
            <w:tcW w:w="1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12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120" w:type="dxa"/>
            <w:vAlign w:val="bottom"/>
          </w:tcPr>
          <w:p>
            <w:pPr>
              <w:spacing w:after="0"/>
              <w:rPr>
                <w:sz w:val="21"/>
                <w:szCs w:val="21"/>
                <w:color w:val="auto"/>
              </w:rPr>
            </w:pPr>
          </w:p>
        </w:tc>
        <w:tc>
          <w:tcPr>
            <w:tcW w:w="5760" w:type="dxa"/>
            <w:vAlign w:val="bottom"/>
          </w:tcPr>
          <w:p>
            <w:pPr>
              <w:ind w:left="380"/>
              <w:spacing w:after="0"/>
              <w:rPr>
                <w:sz w:val="20"/>
                <w:szCs w:val="20"/>
                <w:color w:val="auto"/>
              </w:rPr>
            </w:pPr>
            <w:r>
              <w:rPr>
                <w:rFonts w:ascii="Arial" w:cs="Arial" w:eastAsia="Arial" w:hAnsi="Arial"/>
                <w:sz w:val="18"/>
                <w:szCs w:val="18"/>
                <w:color w:val="auto"/>
              </w:rPr>
              <w:t>Federal</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87.6</w:t>
            </w:r>
          </w:p>
        </w:tc>
      </w:tr>
      <w:tr>
        <w:trPr>
          <w:trHeight w:val="27"/>
        </w:trPr>
        <w:tc>
          <w:tcPr>
            <w:tcW w:w="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r>
      <w:tr>
        <w:trPr>
          <w:trHeight w:val="243"/>
        </w:trPr>
        <w:tc>
          <w:tcPr>
            <w:tcW w:w="120" w:type="dxa"/>
            <w:vAlign w:val="bottom"/>
          </w:tcPr>
          <w:p>
            <w:pPr>
              <w:spacing w:after="0"/>
              <w:rPr>
                <w:sz w:val="21"/>
                <w:szCs w:val="21"/>
                <w:color w:val="auto"/>
              </w:rPr>
            </w:pPr>
          </w:p>
        </w:tc>
        <w:tc>
          <w:tcPr>
            <w:tcW w:w="5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120" w:type="dxa"/>
            <w:vAlign w:val="bottom"/>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w:t>
            </w:r>
          </w:p>
        </w:tc>
      </w:tr>
      <w:tr>
        <w:trPr>
          <w:trHeight w:val="223"/>
        </w:trPr>
        <w:tc>
          <w:tcPr>
            <w:tcW w:w="1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Deferred:</w:t>
            </w: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1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1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r>
      <w:tr>
        <w:trPr>
          <w:trHeight w:val="243"/>
        </w:trPr>
        <w:tc>
          <w:tcPr>
            <w:tcW w:w="120" w:type="dxa"/>
            <w:vAlign w:val="bottom"/>
          </w:tcPr>
          <w:p>
            <w:pPr>
              <w:spacing w:after="0"/>
              <w:rPr>
                <w:sz w:val="21"/>
                <w:szCs w:val="21"/>
                <w:color w:val="auto"/>
              </w:rPr>
            </w:pPr>
          </w:p>
        </w:tc>
        <w:tc>
          <w:tcPr>
            <w:tcW w:w="5760" w:type="dxa"/>
            <w:vAlign w:val="bottom"/>
          </w:tcPr>
          <w:p>
            <w:pPr>
              <w:ind w:left="38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r>
      <w:tr>
        <w:trPr>
          <w:trHeight w:val="237"/>
        </w:trPr>
        <w:tc>
          <w:tcPr>
            <w:tcW w:w="1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Deferred</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21.9</w:t>
            </w:r>
          </w:p>
        </w:tc>
      </w:tr>
      <w:tr>
        <w:trPr>
          <w:trHeight w:val="27"/>
        </w:trPr>
        <w:tc>
          <w:tcPr>
            <w:tcW w:w="120" w:type="dxa"/>
            <w:vAlign w:val="bottom"/>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12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w:t>
            </w:r>
          </w:p>
        </w:tc>
      </w:tr>
      <w:tr>
        <w:trPr>
          <w:trHeight w:val="20"/>
        </w:trPr>
        <w:tc>
          <w:tcPr>
            <w:tcW w:w="1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000" w:type="dxa"/>
            <w:vAlign w:val="bottom"/>
            <w:gridSpan w:val="8"/>
          </w:tcPr>
          <w:p>
            <w:pPr>
              <w:spacing w:after="0"/>
              <w:rPr>
                <w:sz w:val="20"/>
                <w:szCs w:val="20"/>
                <w:color w:val="auto"/>
              </w:rPr>
            </w:pPr>
            <w:r>
              <w:rPr>
                <w:rFonts w:ascii="Arial" w:cs="Arial" w:eastAsia="Arial" w:hAnsi="Arial"/>
                <w:sz w:val="18"/>
                <w:szCs w:val="18"/>
                <w:color w:val="auto"/>
                <w:w w:val="99"/>
              </w:rPr>
              <w:t>The domestic and foreign components of income from continuing operations before income taxes were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2"/>
        </w:trPr>
        <w:tc>
          <w:tcPr>
            <w:tcW w:w="1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r>
      <w:tr>
        <w:trPr>
          <w:trHeight w:val="250"/>
        </w:trPr>
        <w:tc>
          <w:tcPr>
            <w:tcW w:w="1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12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165.3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319.1</w:t>
            </w:r>
          </w:p>
        </w:tc>
      </w:tr>
      <w:tr>
        <w:trPr>
          <w:trHeight w:val="243"/>
        </w:trPr>
        <w:tc>
          <w:tcPr>
            <w:tcW w:w="1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12.1</w:t>
            </w:r>
          </w:p>
        </w:tc>
      </w:tr>
      <w:tr>
        <w:trPr>
          <w:trHeight w:val="27"/>
        </w:trPr>
        <w:tc>
          <w:tcPr>
            <w:tcW w:w="120" w:type="dxa"/>
            <w:vAlign w:val="bottom"/>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120" w:type="dxa"/>
            <w:vAlign w:val="bottom"/>
          </w:tcPr>
          <w:p>
            <w:pPr>
              <w:spacing w:after="0"/>
              <w:rPr>
                <w:sz w:val="22"/>
                <w:szCs w:val="22"/>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331.2</w:t>
            </w:r>
          </w:p>
        </w:tc>
      </w:tr>
      <w:tr>
        <w:trPr>
          <w:trHeight w:val="20"/>
        </w:trPr>
        <w:tc>
          <w:tcPr>
            <w:tcW w:w="1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240" w:top="121" w:right="779" w:bottom="1440" w:gutter="0" w:footer="0" w:header="0"/>
        </w:sectPr>
      </w:pPr>
    </w:p>
    <w:p>
      <w:pPr>
        <w:spacing w:after="0" w:line="24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880"/>
          </w:cols>
          <w:pgMar w:left="240" w:top="121" w:right="77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23495</wp:posOffset>
            </wp:positionV>
            <wp:extent cx="3070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6680" w:type="dxa"/>
            <w:vAlign w:val="bottom"/>
            <w:gridSpan w:val="2"/>
          </w:tcPr>
          <w:p>
            <w:pPr>
              <w:ind w:left="6340"/>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2010</w:t>
            </w:r>
          </w:p>
        </w:tc>
      </w:tr>
      <w:tr>
        <w:trPr>
          <w:trHeight w:val="25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7"/>
        </w:trPr>
        <w:tc>
          <w:tcPr>
            <w:tcW w:w="5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
        </w:trPr>
        <w:tc>
          <w:tcPr>
            <w:tcW w:w="5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37.7 %</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Included in "Effect of other permanent differences" in the effective tax rate reconciliation table above are nondeductible fines and penalties of $4.8 million and $7.7 million for the fiscal years ended September 30, 2012 and September 30, 2011, respectively, from the settlement of the product registration and recall matters more fully discussed at Note 3 herein. No related penalties were recorded in the fiscal year ended September 30, 2010 and none are expected to recur in future periods.</w:t>
      </w:r>
    </w:p>
    <w:p>
      <w:pPr>
        <w:spacing w:after="0" w:line="1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8"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4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Postretirement benefits</w:t>
            </w:r>
          </w:p>
        </w:tc>
        <w:tc>
          <w:tcPr>
            <w:tcW w:w="3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State NOL carryovers</w:t>
            </w:r>
          </w:p>
        </w:tc>
        <w:tc>
          <w:tcPr>
            <w:tcW w:w="3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NOL carryovers</w:t>
            </w:r>
          </w:p>
        </w:tc>
        <w:tc>
          <w:tcPr>
            <w:tcW w:w="3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Foreign tax credit carryovers</w:t>
            </w:r>
          </w:p>
        </w:tc>
        <w:tc>
          <w:tcPr>
            <w:tcW w:w="3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3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Other</w:t>
            </w:r>
          </w:p>
        </w:tc>
        <w:tc>
          <w:tcPr>
            <w:tcW w:w="3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3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152.8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3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382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35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(147.9)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asset</w:t>
            </w:r>
          </w:p>
        </w:tc>
        <w:tc>
          <w:tcPr>
            <w:tcW w:w="438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1994"/>
              <w:spacing w:after="0"/>
              <w:rPr>
                <w:sz w:val="20"/>
                <w:szCs w:val="20"/>
                <w:color w:val="auto"/>
              </w:rPr>
            </w:pPr>
            <w:r>
              <w:rPr>
                <w:rFonts w:ascii="Arial" w:cs="Arial" w:eastAsia="Arial" w:hAnsi="Arial"/>
                <w:sz w:val="18"/>
                <w:szCs w:val="18"/>
                <w:color w:val="auto"/>
              </w:rPr>
              <w:t>85</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were:</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r>
      <w:tr>
        <w:trPr>
          <w:trHeight w:val="250"/>
        </w:trPr>
        <w:tc>
          <w:tcPr>
            <w:tcW w:w="7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deferred tax assets (classified with prepaid and other assets)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88.1</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Net non-current deferred tax liabilities (classified with other liabilities)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7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$48.4 million and $44.3 million of deferred tax assets as of September 30, 2012 and 2011, respectively. Most of these valuation allowances relate to certain foreign net operating losses, and the remainder relates to certain state net operating losses and a capital loss carryover. Each of these items is explained more fully below.</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foreign net operating losses of these foreign disregarded entities were $176.3 million at September 30, 2012, the majority of which have indefinite carryforward periods. The statutory tax benefit of these net operating loss carryovers, and related full valuation allowances thereon, amounted to $46.4 million and $41.5 million for the fiscal years ended September 30, 2012 and 2011, respectively.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Foreign net operating losses of certain controlled foreign corporations were $7.2 million as of September 30, 2012, the majority of which have indefinite carryforward periods. Due to a history of losses in these entities, a full valuation allowance has also been placed against the statutory tax benefit associated with these losses amounting to $1.8 million and $1.2 million at September 30, 2012 and 2011, respectively.</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State net operating losses were $31.8 million as of September 30, 2012, with carryforward periods ranging from 5 to 20 years. Any losses not utilized within a specific state’s carryforward period will expire. State net operating loss carryforwards included $0.3 million and $0.4 million of tax benefits relating to Smith &amp; Hawken at September 30, 2012 and 2011, respectively. As these losses may only be used against income of Smith &amp; Hawken, and cannot be used to offset income of the consolidated group, a full valuation allowance has been recorded against this tax asset.</w:t>
      </w:r>
    </w:p>
    <w:p>
      <w:pPr>
        <w:spacing w:after="0" w:line="17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Tax benefits associated with state tax credits will expire if not utilized and amounted to $0.5 million at both September 30, 2012 and 2011. No valuation allowance has been placed against these credits as the Company should fully utilize the credits within their respective carryover periods.</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Lastly, with respect to valuation allowances, a $1.2 million valuation allowance was placed against a capital loss carryover during the fiscal year-ended September 30, 2011 related to the Company's minority interest in the stock of Turf-Seed Europe. This capital loss was ultimately utilized against capital gains from the sale of the Company's Global Professional business in the same year. As such, the capital loss and related valuation allowance no longer exist as of September 30, 2012.</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Deferred taxes have not been provided on unremitted earnings approximating $144.0 million of certain foreign subsidiaries and foreign corporate joint ventures as such earnings have been indefinitely reinvested. These foreign entities held cash and cash equivalents of $118.6 million and $121.1 million at September 30, 2012 and 2011, respectively. Our current plans do not demonstrate a need to, nor do we have plans to, repatriate the retained earnings from these subsidiaries as the earnings are indefinitely reinvested. However, in the future, if we determine it is necessary to repatriate these funds, or we sell or liquidate any of these subsidiaries, we may be required to pay associated taxes on the repatriation. We may also be required to withhold foreign taxes depending on the foreign jurisdiction from which the funds are repatriated. The effective rate of tax on such repatriations may materially differ from the federal statutory tax rate, thereby having a material impact on tax expense in the year of repatriation; however, the Company cannot reasonably estimate the amount of such a tax event.</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$7.0 million, $8.9 million and $7.8 million of gross unrecognized tax benefits related to uncertain tax positions at September 30, 2012, 2011 and 2010, respectively. Included in the September 30, 2012, 2011 and 2010 balances were $6.9 million, $7.3 million and $6.4 million, respectively, of unrecognized tax benefits that, if recognized, would have an impact on the effective tax rate.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760" w:type="dxa"/>
            <w:vAlign w:val="bottom"/>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2010</w:t>
            </w:r>
          </w:p>
        </w:tc>
      </w:tr>
      <w:tr>
        <w:trPr>
          <w:trHeight w:val="250"/>
        </w:trPr>
        <w:tc>
          <w:tcPr>
            <w:tcW w:w="5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5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Reductions for tax positions of the current year</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Settlements with tax authorities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Expiration of statutes of limitation</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r>
      <w:tr>
        <w:trPr>
          <w:trHeight w:val="27"/>
        </w:trPr>
        <w:tc>
          <w:tcPr>
            <w:tcW w:w="5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continues to recognize accrued interest and penalties related to unrecognized tax benefits as a component of the provision for income taxes. As of September 30, 2012, 2011 and 2010, respectively, the Company had $1.8 million, $1.6 million and $1.3 million accrued for the payment of interest that, if recognized, would impact the effective tax rate. As of September 30, 2012, 2011 and 2010, respectively, the Company had $0.8 million, $0.7 million and $0.7 million accrued for the payment of penalties that, if recognized, would impact the effective tax rate. For the year ended September 30, 2012, the Company recognized $0.3 million of tax interest and tax penalties in its statement of operations.</w:t>
      </w:r>
    </w:p>
    <w:p>
      <w:pPr>
        <w:spacing w:after="0" w:line="1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With few exceptions, which are discussed below, the Company is no longer subject to examinations by these tax authorities for fiscal years prior to 2009. The Company is currently under examination by certain foreign and U.S. state and local tax authorities. Regarding the foreign jurisdictions, audits are currently underway in Austria, Belgium, and Canada. Tax years under audit range from 2008 through 2011. A German audit closed during the fiscal year ended September 30, 2012 without impact on the balance of uncertain tax positions. In regard to the U.S. state and local audits, the tax periods under examinations are limited to fiscal years 1997 through 2009. In addition to these aforementioned audits, certain other tax deficiency notices and refund claims for previous years remain unresolved.</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and as such, the Company’s tax provision includes the impact of recording reserves and changes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At September 30, 2012, the notional amount of outstanding foreign currency swap contracts was $61.8 million, with a negative fair value of $1.0 million. At September 30,</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2011, the notional amount of outstanding foreign currency swap contracts was $217.9 million, with a fair value of $2.7 million. The fair value of foreign currency swap contracts is determined based on changes in spot rates. The unrealized loss on the foreign currency swap contracts approximates the unrealized gain on the intercompany loans recognized by the Company’s lending subsidiaries. The contracts will mature over the next fiscal year.</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The fair values are reflected in the Company’s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loss (“AOCI”) within the Consolidated Balance Sheets. The fair value of the swap agreements is determined based on the present value of the estimated future net cash flows using implied rates in the applicable yield curve as of the valuation date.</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September 30, 2012 and 2011, the Company had outstanding interest rate swap agreements with major financial institutions that effectively converted a portion of the Company’s variable-rate debt to a fixed rate. The swap agreements had a total U.S. dollar equivalent notional amount of $700.0 million and $900.0 million at September 30, 2012 and 2011 respectively. Refer to “NOTE 11. DEBT” for the terms of the swap agreements outstanding at 2012. Included in the AOCI balance at 2012 is a loss of $5.0 million related to interest rate swap agreements that is expected to be reclassified to earnings during the next 12 months, consistent with the timing of the underlying hedged transactions.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derivative contracts at September 30, 2012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September 30, 2012 was a gain of $0.7 million related to urea derivatives that is expected to be reclassified to earnings during the next 12 months, consistent with the timing of the underlying hedged transactions.</w:t>
      </w:r>
    </w:p>
    <w:p>
      <w:pPr>
        <w:spacing w:after="0" w:line="13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derivative contracts that do qualify for hedge accounting are recorded in accumulated other comprehensive income (expense),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September 30, 2012 was a gain of $0.1 million related to fuel derivatives that is expected to be reclassified to earnings during the next 12 months, consistent with the timing of the underlying hedged transactions.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720" w:type="dxa"/>
            <w:vAlign w:val="bottom"/>
            <w:tcBorders>
              <w:bottom w:val="single" w:sz="8" w:color="auto"/>
            </w:tcBorders>
            <w:gridSpan w:val="3"/>
          </w:tcPr>
          <w:p>
            <w:pPr>
              <w:ind w:left="166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4320" w:type="dxa"/>
            <w:vAlign w:val="bottom"/>
            <w:gridSpan w:val="2"/>
          </w:tcPr>
          <w:p>
            <w:pPr>
              <w:jc w:val="right"/>
              <w:ind w:right="794"/>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80" w:type="dxa"/>
            <w:vAlign w:val="bottom"/>
          </w:tcPr>
          <w:p>
            <w:pPr>
              <w:jc w:val="right"/>
              <w:ind w:right="774"/>
              <w:spacing w:after="0"/>
              <w:rPr>
                <w:sz w:val="20"/>
                <w:szCs w:val="20"/>
                <w:color w:val="auto"/>
              </w:rPr>
            </w:pPr>
            <w:r>
              <w:rPr>
                <w:rFonts w:ascii="Arial" w:cs="Arial" w:eastAsia="Arial" w:hAnsi="Arial"/>
                <w:sz w:val="14"/>
                <w:szCs w:val="14"/>
                <w:b w:val="1"/>
                <w:bCs w:val="1"/>
                <w:color w:val="auto"/>
              </w:rPr>
              <w:t>2011</w:t>
            </w:r>
          </w:p>
        </w:tc>
      </w:tr>
      <w:tr>
        <w:trPr>
          <w:trHeight w:val="250"/>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w:t>
            </w:r>
          </w:p>
        </w:tc>
        <w:tc>
          <w:tcPr>
            <w:tcW w:w="228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Urea</w:t>
            </w:r>
          </w:p>
        </w:tc>
        <w:tc>
          <w:tcPr>
            <w:tcW w:w="2280" w:type="dxa"/>
            <w:vAlign w:val="bottom"/>
          </w:tcPr>
          <w:p>
            <w:pPr>
              <w:spacing w:after="0"/>
              <w:rPr>
                <w:sz w:val="21"/>
                <w:szCs w:val="21"/>
                <w:color w:val="auto"/>
              </w:rPr>
            </w:pPr>
          </w:p>
        </w:tc>
        <w:tc>
          <w:tcPr>
            <w:tcW w:w="2720" w:type="dxa"/>
            <w:vAlign w:val="bottom"/>
            <w:gridSpan w:val="3"/>
          </w:tcPr>
          <w:p>
            <w:pPr>
              <w:jc w:val="right"/>
              <w:ind w:right="720"/>
              <w:spacing w:after="0"/>
              <w:rPr>
                <w:sz w:val="20"/>
                <w:szCs w:val="20"/>
                <w:color w:val="auto"/>
              </w:rPr>
            </w:pPr>
            <w:r>
              <w:rPr>
                <w:rFonts w:ascii="Arial" w:cs="Arial" w:eastAsia="Arial" w:hAnsi="Arial"/>
                <w:sz w:val="18"/>
                <w:szCs w:val="18"/>
                <w:color w:val="auto"/>
              </w:rPr>
              <w:t>34,500 tons</w:t>
            </w:r>
          </w:p>
        </w:tc>
        <w:tc>
          <w:tcPr>
            <w:tcW w:w="1480" w:type="dxa"/>
            <w:vAlign w:val="bottom"/>
          </w:tcPr>
          <w:p>
            <w:pPr>
              <w:jc w:val="right"/>
              <w:spacing w:after="0"/>
              <w:rPr>
                <w:sz w:val="20"/>
                <w:szCs w:val="20"/>
                <w:color w:val="auto"/>
              </w:rPr>
            </w:pPr>
            <w:r>
              <w:rPr>
                <w:rFonts w:ascii="Arial" w:cs="Arial" w:eastAsia="Arial" w:hAnsi="Arial"/>
                <w:sz w:val="18"/>
                <w:szCs w:val="18"/>
                <w:color w:val="auto"/>
              </w:rPr>
              <w:t>4,500 tons</w:t>
            </w:r>
          </w:p>
        </w:tc>
      </w:tr>
      <w:tr>
        <w:trPr>
          <w:trHeight w:val="27"/>
        </w:trPr>
        <w:tc>
          <w:tcPr>
            <w:tcW w:w="2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Diesel</w:t>
            </w:r>
          </w:p>
        </w:tc>
        <w:tc>
          <w:tcPr>
            <w:tcW w:w="2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6,552,000 gallons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3,738,000 gallons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Gasoline</w:t>
            </w:r>
          </w:p>
        </w:tc>
        <w:tc>
          <w:tcPr>
            <w:tcW w:w="2280" w:type="dxa"/>
            <w:vAlign w:val="bottom"/>
          </w:tcPr>
          <w:p>
            <w:pPr>
              <w:spacing w:after="0"/>
              <w:rPr>
                <w:sz w:val="21"/>
                <w:szCs w:val="21"/>
                <w:color w:val="auto"/>
              </w:rPr>
            </w:pPr>
          </w:p>
        </w:tc>
        <w:tc>
          <w:tcPr>
            <w:tcW w:w="2720" w:type="dxa"/>
            <w:vAlign w:val="bottom"/>
            <w:gridSpan w:val="3"/>
          </w:tcPr>
          <w:p>
            <w:pPr>
              <w:jc w:val="right"/>
              <w:ind w:right="720"/>
              <w:spacing w:after="0"/>
              <w:rPr>
                <w:sz w:val="20"/>
                <w:szCs w:val="20"/>
                <w:color w:val="auto"/>
              </w:rPr>
            </w:pPr>
            <w:r>
              <w:rPr>
                <w:rFonts w:ascii="Arial" w:cs="Arial" w:eastAsia="Arial" w:hAnsi="Arial"/>
                <w:sz w:val="18"/>
                <w:szCs w:val="18"/>
                <w:color w:val="auto"/>
              </w:rPr>
              <w:t>224,000 gallons</w:t>
            </w:r>
          </w:p>
        </w:tc>
        <w:tc>
          <w:tcPr>
            <w:tcW w:w="1480" w:type="dxa"/>
            <w:vAlign w:val="bottom"/>
          </w:tcPr>
          <w:p>
            <w:pPr>
              <w:jc w:val="right"/>
              <w:spacing w:after="0"/>
              <w:rPr>
                <w:sz w:val="20"/>
                <w:szCs w:val="20"/>
                <w:color w:val="auto"/>
              </w:rPr>
            </w:pPr>
            <w:r>
              <w:rPr>
                <w:rFonts w:ascii="Arial" w:cs="Arial" w:eastAsia="Arial" w:hAnsi="Arial"/>
                <w:sz w:val="18"/>
                <w:szCs w:val="18"/>
                <w:color w:val="auto"/>
              </w:rPr>
              <w:t>217,000 gallons</w:t>
            </w:r>
          </w:p>
        </w:tc>
      </w:tr>
      <w:tr>
        <w:trPr>
          <w:trHeight w:val="27"/>
        </w:trPr>
        <w:tc>
          <w:tcPr>
            <w:tcW w:w="2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Heating Oil</w:t>
            </w:r>
          </w:p>
        </w:tc>
        <w:tc>
          <w:tcPr>
            <w:tcW w:w="2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5,208,000 gallons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gallons</w:t>
            </w:r>
          </w:p>
        </w:tc>
      </w:tr>
      <w:tr>
        <w:trPr>
          <w:trHeight w:val="675"/>
        </w:trPr>
        <w:tc>
          <w:tcPr>
            <w:tcW w:w="2740" w:type="dxa"/>
            <w:vAlign w:val="bottom"/>
          </w:tcPr>
          <w:p>
            <w:pPr>
              <w:spacing w:after="0"/>
              <w:rPr>
                <w:sz w:val="24"/>
                <w:szCs w:val="24"/>
                <w:color w:val="auto"/>
              </w:rPr>
            </w:pPr>
          </w:p>
        </w:tc>
        <w:tc>
          <w:tcPr>
            <w:tcW w:w="2280" w:type="dxa"/>
            <w:vAlign w:val="bottom"/>
          </w:tcPr>
          <w:p>
            <w:pPr>
              <w:jc w:val="right"/>
              <w:ind w:right="239"/>
              <w:spacing w:after="0"/>
              <w:rPr>
                <w:sz w:val="20"/>
                <w:szCs w:val="20"/>
                <w:color w:val="auto"/>
              </w:rPr>
            </w:pPr>
            <w:r>
              <w:rPr>
                <w:rFonts w:ascii="Arial" w:cs="Arial" w:eastAsia="Arial" w:hAnsi="Arial"/>
                <w:sz w:val="18"/>
                <w:szCs w:val="18"/>
                <w:color w:val="auto"/>
              </w:rPr>
              <w:t>88</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fair values of the Company’s derivative instruments and the respective lines in which they were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142875</wp:posOffset>
            </wp:positionV>
            <wp:extent cx="36620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7"/>
              </w:rPr>
              <w:t>Assets / (Liabilities)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5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w w:val="96"/>
              </w:rPr>
              <w:t>Balance Sheet Location</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6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4"/>
                <w:szCs w:val="14"/>
                <w:b w:val="1"/>
                <w:bCs w:val="1"/>
                <w:color w:val="auto"/>
                <w:w w:val="96"/>
              </w:rPr>
              <w:t>Balance Sheet Location</w:t>
            </w:r>
          </w:p>
        </w:tc>
        <w:tc>
          <w:tcPr>
            <w:tcW w:w="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assets</w:t>
            </w:r>
          </w:p>
        </w:tc>
        <w:tc>
          <w:tcPr>
            <w:tcW w:w="146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derivatives</w:t>
            </w:r>
          </w:p>
        </w:tc>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vMerge w:val="continue"/>
          </w:tcPr>
          <w:p>
            <w:pPr>
              <w:spacing w:after="0"/>
              <w:rPr>
                <w:sz w:val="20"/>
                <w:szCs w:val="20"/>
                <w:color w:val="auto"/>
              </w:rPr>
            </w:pPr>
          </w:p>
        </w:tc>
        <w:tc>
          <w:tcPr>
            <w:tcW w:w="2180" w:type="dxa"/>
            <w:vAlign w:val="bottom"/>
          </w:tcPr>
          <w:p>
            <w:pPr>
              <w:spacing w:after="0"/>
              <w:rPr>
                <w:sz w:val="20"/>
                <w:szCs w:val="20"/>
                <w:color w:val="auto"/>
              </w:rPr>
            </w:pPr>
          </w:p>
        </w:tc>
        <w:tc>
          <w:tcPr>
            <w:tcW w:w="146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 of derivative instruments on AOCI and the Consolidated Statements of Operations for the year ended September 30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5"/>
              </w:rPr>
              <w:t>Amount of Gain/(Loss)</w:t>
            </w: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5"/>
              </w:rPr>
              <w:t>Recognized in AOCI</w:t>
            </w:r>
          </w:p>
        </w:tc>
        <w:tc>
          <w:tcPr>
            <w:tcW w:w="88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2011</w:t>
            </w: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
          </w:tcPr>
          <w:p>
            <w:pPr>
              <w:ind w:left="780"/>
              <w:spacing w:after="0"/>
              <w:rPr>
                <w:sz w:val="20"/>
                <w:szCs w:val="20"/>
                <w:color w:val="auto"/>
              </w:rPr>
            </w:pPr>
            <w:r>
              <w:rPr>
                <w:rFonts w:ascii="Arial" w:cs="Arial" w:eastAsia="Arial" w:hAnsi="Arial"/>
                <w:sz w:val="14"/>
                <w:szCs w:val="14"/>
                <w:b w:val="1"/>
                <w:bCs w:val="1"/>
                <w:color w:val="auto"/>
              </w:rPr>
              <w:t>Reclassified From AOCI Into</w:t>
            </w: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40" w:type="dxa"/>
            <w:vAlign w:val="bottom"/>
            <w:gridSpan w:val="2"/>
          </w:tcPr>
          <w:p>
            <w:pPr>
              <w:ind w:left="920"/>
              <w:spacing w:after="0"/>
              <w:rPr>
                <w:sz w:val="20"/>
                <w:szCs w:val="20"/>
                <w:color w:val="auto"/>
              </w:rPr>
            </w:pPr>
            <w:r>
              <w:rPr>
                <w:rFonts w:ascii="Arial" w:cs="Arial" w:eastAsia="Arial" w:hAnsi="Arial"/>
                <w:sz w:val="14"/>
                <w:szCs w:val="14"/>
                <w:b w:val="1"/>
                <w:bCs w:val="1"/>
                <w:color w:val="auto"/>
              </w:rPr>
              <w:t>Statement of Operations</w:t>
            </w: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2011</w:t>
            </w:r>
          </w:p>
        </w:tc>
      </w:tr>
      <w:tr>
        <w:trPr>
          <w:trHeight w:val="264"/>
        </w:trPr>
        <w:tc>
          <w:tcPr>
            <w:tcW w:w="4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Borders>
              <w:top w:val="single" w:sz="8" w:color="auto"/>
            </w:tcBorders>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4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in Statement of Operations</w:t>
            </w: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2011</w:t>
            </w:r>
          </w:p>
        </w:tc>
      </w:tr>
      <w:tr>
        <w:trPr>
          <w:trHeight w:val="264"/>
        </w:trPr>
        <w:tc>
          <w:tcPr>
            <w:tcW w:w="4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Borders>
              <w:top w:val="single" w:sz="8" w:color="auto"/>
            </w:tcBorders>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swap contracts</w:t>
            </w: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quoted prices included in Level 1, such as quoted prices for similar assets and liabilities in active markets; quoted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similar assets and liabilities in markets that are not active; or other inputs that are observable or can be corroborated by observable market data.</w:t>
      </w:r>
    </w:p>
    <w:p>
      <w:pPr>
        <w:spacing w:after="0" w:line="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our Consolidated Balance Sheets, except for derivative instruments expected to be settled within the next 12 months, which are included within prepaid and other assets and other current liabilities.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2"/>
                <w:szCs w:val="12"/>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2012 and describes the valuation methodologies used for non-financial assets and liabilities measured at fair value, as well as the general classification within the valuation hierarchy: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Quoted Prices in Active</w:t>
            </w:r>
          </w:p>
        </w:tc>
        <w:tc>
          <w:tcPr>
            <w:tcW w:w="240" w:type="dxa"/>
            <w:vAlign w:val="bottom"/>
          </w:tcPr>
          <w:p>
            <w:pPr>
              <w:spacing w:after="0"/>
              <w:rPr>
                <w:sz w:val="14"/>
                <w:szCs w:val="14"/>
                <w:color w:val="auto"/>
              </w:rPr>
            </w:pPr>
          </w:p>
        </w:tc>
        <w:tc>
          <w:tcPr>
            <w:tcW w:w="14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5"/>
              </w:rPr>
              <w:t>Significant Other</w:t>
            </w:r>
          </w:p>
        </w:tc>
        <w:tc>
          <w:tcPr>
            <w:tcW w:w="440" w:type="dxa"/>
            <w:vAlign w:val="bottom"/>
          </w:tcPr>
          <w:p>
            <w:pPr>
              <w:spacing w:after="0"/>
              <w:rPr>
                <w:sz w:val="14"/>
                <w:szCs w:val="14"/>
                <w:color w:val="auto"/>
              </w:rPr>
            </w:pPr>
          </w:p>
        </w:tc>
        <w:tc>
          <w:tcPr>
            <w:tcW w:w="1260" w:type="dxa"/>
            <w:vAlign w:val="bottom"/>
            <w:vMerge w:val="restart"/>
          </w:tcPr>
          <w:p>
            <w:pPr>
              <w:jc w:val="center"/>
              <w:ind w:right="304"/>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vMerge w:val="restart"/>
          </w:tcPr>
          <w:p>
            <w:pPr>
              <w:jc w:val="center"/>
              <w:ind w:right="2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2"/>
                <w:szCs w:val="12"/>
                <w:color w:val="auto"/>
              </w:rPr>
            </w:pPr>
          </w:p>
        </w:tc>
        <w:tc>
          <w:tcPr>
            <w:tcW w:w="14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440" w:type="dxa"/>
            <w:vAlign w:val="bottom"/>
          </w:tcPr>
          <w:p>
            <w:pPr>
              <w:spacing w:after="0"/>
              <w:rPr>
                <w:sz w:val="12"/>
                <w:szCs w:val="12"/>
                <w:color w:val="auto"/>
              </w:rPr>
            </w:pPr>
          </w:p>
        </w:tc>
        <w:tc>
          <w:tcPr>
            <w:tcW w:w="126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(Level 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of MAT 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Certain property, plant and equipment and other assets were written down to their fair value, resulting in an impairment charge of $5.3 million, which was included in earnings for the period. The value of the property, plant and equipment was determined using the market approach, which is a valuation technique based on what other purchasers and sellers in the market have agreed to as prices for comparable assets, adjusted for such factors as age, condition and location of the respective assets being valued. The intangible asset was determined to be fully impaired based on the estimated future cash flows associated with this active ingredient in relation its carrying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2011 and describes the valuation methodologies used for non-financial assets and liabilities measured at fair value, as well as the general classification within the valuation hierarchy: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4"/>
              </w:rPr>
              <w:t>Quoted Prices in Active</w:t>
            </w:r>
          </w:p>
        </w:tc>
        <w:tc>
          <w:tcPr>
            <w:tcW w:w="1900" w:type="dxa"/>
            <w:vAlign w:val="bottom"/>
            <w:vMerge w:val="restart"/>
          </w:tcPr>
          <w:p>
            <w:pPr>
              <w:jc w:val="center"/>
              <w:ind w:right="542"/>
              <w:spacing w:after="0"/>
              <w:rPr>
                <w:sz w:val="20"/>
                <w:szCs w:val="20"/>
                <w:color w:val="auto"/>
              </w:rPr>
            </w:pPr>
            <w:r>
              <w:rPr>
                <w:rFonts w:ascii="Arial" w:cs="Arial" w:eastAsia="Arial" w:hAnsi="Arial"/>
                <w:sz w:val="14"/>
                <w:szCs w:val="14"/>
                <w:b w:val="1"/>
                <w:bCs w:val="1"/>
                <w:color w:val="auto"/>
                <w:w w:val="95"/>
              </w:rPr>
              <w:t>Significant Other</w:t>
            </w:r>
          </w:p>
        </w:tc>
        <w:tc>
          <w:tcPr>
            <w:tcW w:w="1260" w:type="dxa"/>
            <w:vAlign w:val="bottom"/>
            <w:vMerge w:val="restart"/>
          </w:tcPr>
          <w:p>
            <w:pPr>
              <w:jc w:val="center"/>
              <w:ind w:right="301"/>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9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2"/>
              </w:rPr>
              <w:t>Assets</w:t>
            </w:r>
          </w:p>
        </w:tc>
        <w:tc>
          <w:tcPr>
            <w:tcW w:w="190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12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w w:val="94"/>
              </w:rPr>
              <w:t>(Level 1)</w:t>
            </w:r>
          </w:p>
        </w:tc>
        <w:tc>
          <w:tcPr>
            <w:tcW w:w="190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91"/>
              </w:rPr>
              <w:t>(Level 2)</w:t>
            </w:r>
          </w:p>
        </w:tc>
        <w:tc>
          <w:tcPr>
            <w:tcW w:w="126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900" w:type="dxa"/>
            <w:vAlign w:val="bottom"/>
          </w:tcPr>
          <w:p>
            <w:pPr>
              <w:ind w:left="1120"/>
              <w:spacing w:after="0"/>
              <w:rPr>
                <w:sz w:val="20"/>
                <w:szCs w:val="20"/>
                <w:color w:val="auto"/>
              </w:rPr>
            </w:pPr>
            <w:r>
              <w:rPr>
                <w:rFonts w:ascii="Arial" w:cs="Arial" w:eastAsia="Arial" w:hAnsi="Arial"/>
                <w:sz w:val="14"/>
                <w:szCs w:val="14"/>
                <w:b w:val="1"/>
                <w:bCs w:val="1"/>
                <w:color w:val="auto"/>
                <w:w w:val="96"/>
              </w:rPr>
              <w:t>(In millions)</w:t>
            </w: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of Wild Bird Food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tradenames</w:t>
            </w:r>
          </w:p>
        </w:tc>
        <w:tc>
          <w:tcPr>
            <w:tcW w:w="120" w:type="dxa"/>
            <w:vAlign w:val="bottom"/>
          </w:tcPr>
          <w:p>
            <w:pPr>
              <w:spacing w:after="0"/>
              <w:rPr>
                <w:sz w:val="21"/>
                <w:szCs w:val="21"/>
                <w:color w:val="auto"/>
              </w:rPr>
            </w:pPr>
          </w:p>
        </w:tc>
        <w:tc>
          <w:tcPr>
            <w:tcW w:w="1760" w:type="dxa"/>
            <w:vAlign w:val="bottom"/>
          </w:tcPr>
          <w:p>
            <w:pPr>
              <w:ind w:left="1200"/>
              <w:spacing w:after="0"/>
              <w:rPr>
                <w:sz w:val="20"/>
                <w:szCs w:val="20"/>
                <w:color w:val="auto"/>
              </w:rPr>
            </w:pPr>
            <w:r>
              <w:rPr>
                <w:rFonts w:ascii="Arial" w:cs="Arial" w:eastAsia="Arial" w:hAnsi="Arial"/>
                <w:sz w:val="18"/>
                <w:szCs w:val="18"/>
                <w:color w:val="auto"/>
              </w:rPr>
              <w:t>—</w:t>
            </w:r>
          </w:p>
        </w:tc>
        <w:tc>
          <w:tcPr>
            <w:tcW w:w="1900" w:type="dxa"/>
            <w:vAlign w:val="bottom"/>
          </w:tcPr>
          <w:p>
            <w:pPr>
              <w:ind w:left="1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Certain property, plant and equipment, tradenames, goodwill and other long-lived assets were written down to their fair value, resulting in an impairment charge of 28.5 million, which was included in earnings for the period. The value of the property, plant and equipment was determined using the cost approach, which is a valuation technique based on the amounts that currently would be required to replace the service capacity of the respective assets (often referred to as current replacement cost). The value of the tradenames was determined using a royalty savings methodology similar to that employed when the associated businesses were acquired but using updated estimates of sales, cash flow and profitability. The value of the goodwill was determined under the income-based approach utilizing discounted cash flows and assumptions the Company believes marketplace participants would utilize.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OPERATING LEASES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2012, were as follows (in millions):</w:t>
      </w:r>
    </w:p>
    <w:p>
      <w:pPr>
        <w:spacing w:after="0" w:line="269" w:lineRule="exact"/>
        <w:rPr>
          <w:sz w:val="20"/>
          <w:szCs w:val="20"/>
          <w:color w:val="auto"/>
        </w:rPr>
      </w:pPr>
    </w:p>
    <w:tbl>
      <w:tblPr>
        <w:tblLayout w:type="fixed"/>
        <w:tblInd w:w="540" w:type="dxa"/>
        <w:tblCellMar>
          <w:top w:w="0" w:type="dxa"/>
          <w:left w:w="0" w:type="dxa"/>
          <w:bottom w:w="0" w:type="dxa"/>
          <w:right w:w="0" w:type="dxa"/>
        </w:tblCellMar>
      </w:tblPr>
      <w:tr>
        <w:trPr>
          <w:trHeight w:val="270"/>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8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8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44.1</w:t>
            </w:r>
          </w:p>
        </w:tc>
      </w:tr>
      <w:tr>
        <w:trPr>
          <w:trHeight w:val="27"/>
        </w:trPr>
        <w:tc>
          <w:tcPr>
            <w:tcW w:w="89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2012, the Company’s residual value guarantee would have approximated $7.2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80" w:type="dxa"/>
            <w:vAlign w:val="bottom"/>
          </w:tcPr>
          <w:p>
            <w:pPr>
              <w:jc w:val="center"/>
              <w:ind w:left="381"/>
              <w:spacing w:after="0"/>
              <w:rPr>
                <w:sz w:val="20"/>
                <w:szCs w:val="20"/>
                <w:color w:val="auto"/>
              </w:rPr>
            </w:pPr>
            <w:r>
              <w:rPr>
                <w:rFonts w:ascii="Arial" w:cs="Arial" w:eastAsia="Arial" w:hAnsi="Arial"/>
                <w:sz w:val="14"/>
                <w:szCs w:val="14"/>
                <w:b w:val="1"/>
                <w:bCs w:val="1"/>
                <w:color w:val="auto"/>
                <w:w w:val="94"/>
              </w:rPr>
              <w:t>Amount 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r>
      <w:tr>
        <w:trPr>
          <w:trHeight w:val="192"/>
        </w:trPr>
        <w:tc>
          <w:tcPr>
            <w:tcW w:w="6720" w:type="dxa"/>
            <w:vAlign w:val="bottom"/>
          </w:tcPr>
          <w:p>
            <w:pPr>
              <w:spacing w:after="0"/>
              <w:rPr>
                <w:sz w:val="16"/>
                <w:szCs w:val="16"/>
                <w:color w:val="auto"/>
              </w:rPr>
            </w:pPr>
          </w:p>
        </w:tc>
        <w:tc>
          <w:tcPr>
            <w:tcW w:w="128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95"/>
              </w:rPr>
              <w:t>Guarantee</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64"/>
        </w:trPr>
        <w:tc>
          <w:tcPr>
            <w:tcW w:w="6720" w:type="dxa"/>
            <w:vAlign w:val="bottom"/>
          </w:tcPr>
          <w:p>
            <w:pPr>
              <w:spacing w:after="0"/>
              <w:rPr>
                <w:sz w:val="22"/>
                <w:szCs w:val="22"/>
                <w:color w:val="auto"/>
              </w:rPr>
            </w:pPr>
          </w:p>
        </w:tc>
        <w:tc>
          <w:tcPr>
            <w:tcW w:w="128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6"/>
        </w:trPr>
        <w:tc>
          <w:tcPr>
            <w:tcW w:w="672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w:t>
            </w: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Corporate aircraft</w:t>
            </w:r>
          </w:p>
        </w:tc>
        <w:tc>
          <w:tcPr>
            <w:tcW w:w="1280" w:type="dxa"/>
            <w:vAlign w:val="bottom"/>
          </w:tcPr>
          <w:p>
            <w:pPr>
              <w:jc w:val="right"/>
              <w:ind w:right="110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14.9</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2013</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fiscal 2012, fiscal 2011 and fiscal 2010 totaled $69.0 million, $67.2 million and $65.3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2012 (in millions):</w:t>
      </w:r>
    </w:p>
    <w:p>
      <w:pPr>
        <w:spacing w:after="0" w:line="333" w:lineRule="exact"/>
        <w:rPr>
          <w:sz w:val="20"/>
          <w:szCs w:val="20"/>
          <w:color w:val="auto"/>
        </w:rPr>
      </w:pPr>
    </w:p>
    <w:tbl>
      <w:tblPr>
        <w:tblLayout w:type="fixed"/>
        <w:tblInd w:w="560" w:type="dxa"/>
        <w:tblCellMar>
          <w:top w:w="0" w:type="dxa"/>
          <w:left w:w="0" w:type="dxa"/>
          <w:bottom w:w="0" w:type="dxa"/>
          <w:right w:w="0" w:type="dxa"/>
        </w:tblCellMar>
      </w:tblPr>
      <w:tr>
        <w:trPr>
          <w:trHeight w:val="270"/>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w:t>
      </w:r>
    </w:p>
    <w:p>
      <w:pPr>
        <w:spacing w:after="0" w:line="11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In addition, the Company leases certain property and equipment from third parties under various non-cancelable operating lease agreements. Future minimum lease payments for non-cancelable operating leases not included above are included in “NOTE 17. OPERATING LEASES.”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CONTINGENCIES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 The following are the more significant of the Company’s identified contingencies: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2012, $4.9 million was accrued in the “Other liabilities” line in the Consolidated Balance Sheet for compliance-related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None of the cases seek damages from the Company alone.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6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noted in the discussion in "ITEM 1. BUSINESS - Regulatory Considerations" of this Annual Report on Form 10-K, we have been named as a defendant in four putative class actions associated with the Company's sale of wild bird food, which have now been consolidated in one action.</w:t>
      </w:r>
    </w:p>
    <w:p>
      <w:pPr>
        <w:spacing w:after="0" w:line="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CONCENTRATIONS OF CREDIT RISK</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principally of trade accounts receivable. The Company sells its consumer products to a wide variety of retailers, including home centers, mass merchandisers, warehouse clubs, large hardware chains, independent hardware stores, nurseries, garden centers and food and drug stores. Concentrations of accounts receivable at September 30 were as follows:</w:t>
      </w:r>
    </w:p>
    <w:p>
      <w:pPr>
        <w:spacing w:after="0" w:line="341"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8200" w:type="dxa"/>
            <w:vAlign w:val="bottom"/>
            <w:gridSpan w:val="2"/>
          </w:tcPr>
          <w:p>
            <w:pPr>
              <w:ind w:left="780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50"/>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from customers geographically located in North America</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8200" w:type="dxa"/>
            <w:vAlign w:val="bottom"/>
            <w:gridSpan w:val="2"/>
          </w:tcPr>
          <w:p>
            <w:pPr>
              <w:ind w:left="380"/>
              <w:spacing w:after="0"/>
              <w:rPr>
                <w:sz w:val="20"/>
                <w:szCs w:val="20"/>
                <w:color w:val="auto"/>
              </w:rPr>
            </w:pPr>
            <w:r>
              <w:rPr>
                <w:rFonts w:ascii="Arial" w:cs="Arial" w:eastAsia="Arial" w:hAnsi="Arial"/>
                <w:sz w:val="18"/>
                <w:szCs w:val="18"/>
                <w:color w:val="auto"/>
              </w:rPr>
              <w:t>Applicable to the Global Consumer business</w:t>
            </w: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20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Applicable primarily to Scotts LawnService</w:t>
            </w:r>
            <w:r>
              <w:rPr>
                <w:rFonts w:ascii="Arial" w:cs="Arial" w:eastAsia="Arial" w:hAnsi="Arial"/>
                <w:sz w:val="25"/>
                <w:szCs w:val="25"/>
                <w:color w:val="auto"/>
                <w:vertAlign w:val="superscript"/>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Top 3 customers as a percent of total North America Consumer accounts receivable</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remainder of the Company’s accounts receivable at September 30, 2012 and 2011 were generated from customers located outside of North America, primarily retailers, distributors and nurseries in Europe. No concentrations of these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or individual customers within this group accounted for more than 10% of the Company’s accounts receivable at either balance sheet date.</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three largest customers are reported within the Global Consumer segment and are the only customers that individually represent more than 10% of reported consolidated net sales for each of the last three fiscal years. These three customers accounted for the following percentages of consolidated net sales for the fiscal years ended September 30:</w:t>
      </w:r>
    </w:p>
    <w:p>
      <w:pPr>
        <w:spacing w:after="0" w:line="375"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Home Depot</w:t>
            </w: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w w:val="89"/>
              </w:rPr>
              <w:t>Lowe's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74"/>
              <w:spacing w:after="0"/>
              <w:rPr>
                <w:sz w:val="20"/>
                <w:szCs w:val="20"/>
                <w:color w:val="auto"/>
              </w:rPr>
            </w:pPr>
            <w:r>
              <w:rPr>
                <w:rFonts w:ascii="Arial" w:cs="Arial" w:eastAsia="Arial" w:hAnsi="Arial"/>
                <w:sz w:val="14"/>
                <w:szCs w:val="14"/>
                <w:b w:val="1"/>
                <w:bCs w:val="1"/>
                <w:color w:val="auto"/>
              </w:rPr>
              <w:t>Wal-mart</w:t>
            </w:r>
          </w:p>
        </w:tc>
      </w:tr>
      <w:tr>
        <w:trPr>
          <w:trHeight w:val="250"/>
        </w:trPr>
        <w:tc>
          <w:tcPr>
            <w:tcW w:w="5600" w:type="dxa"/>
            <w:vAlign w:val="bottom"/>
            <w:tcBorders>
              <w:top w:val="single" w:sz="8" w:color="CCEEFF"/>
              <w:bottom w:val="single" w:sz="8" w:color="CCEEFF"/>
            </w:tcBorders>
            <w:shd w:val="clear" w:color="auto" w:fill="CCEEFF"/>
          </w:tcPr>
          <w:p>
            <w:pPr>
              <w:jc w:val="right"/>
              <w:ind w:right="5130"/>
              <w:spacing w:after="0"/>
              <w:rPr>
                <w:sz w:val="20"/>
                <w:szCs w:val="20"/>
                <w:color w:val="auto"/>
              </w:rPr>
            </w:pPr>
            <w:r>
              <w:rPr>
                <w:rFonts w:ascii="Arial" w:cs="Arial" w:eastAsia="Arial" w:hAnsi="Arial"/>
                <w:sz w:val="18"/>
                <w:szCs w:val="18"/>
                <w:color w:val="auto"/>
                <w:w w:val="89"/>
              </w:rPr>
              <w:t>2012</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5600" w:type="dxa"/>
            <w:vAlign w:val="bottom"/>
          </w:tcPr>
          <w:p>
            <w:pPr>
              <w:jc w:val="right"/>
              <w:ind w:right="5130"/>
              <w:spacing w:after="0"/>
              <w:rPr>
                <w:sz w:val="20"/>
                <w:szCs w:val="20"/>
                <w:color w:val="auto"/>
              </w:rPr>
            </w:pPr>
            <w:r>
              <w:rPr>
                <w:rFonts w:ascii="Arial" w:cs="Arial" w:eastAsia="Arial" w:hAnsi="Arial"/>
                <w:sz w:val="18"/>
                <w:szCs w:val="18"/>
                <w:color w:val="auto"/>
                <w:w w:val="89"/>
              </w:rPr>
              <w:t>2011</w:t>
            </w:r>
          </w:p>
        </w:tc>
        <w:tc>
          <w:tcPr>
            <w:tcW w:w="15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18.0%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600" w:type="dxa"/>
            <w:vAlign w:val="bottom"/>
            <w:shd w:val="clear" w:color="auto" w:fill="CCEEFF"/>
          </w:tcPr>
          <w:p>
            <w:pPr>
              <w:jc w:val="right"/>
              <w:ind w:right="5130"/>
              <w:spacing w:after="0"/>
              <w:rPr>
                <w:sz w:val="20"/>
                <w:szCs w:val="20"/>
                <w:color w:val="auto"/>
              </w:rPr>
            </w:pPr>
            <w:r>
              <w:rPr>
                <w:rFonts w:ascii="Arial" w:cs="Arial" w:eastAsia="Arial" w:hAnsi="Arial"/>
                <w:sz w:val="18"/>
                <w:szCs w:val="18"/>
                <w:color w:val="auto"/>
                <w:w w:val="89"/>
              </w:rPr>
              <w:t>2010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6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INCOME,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760" w:type="dxa"/>
            <w:vAlign w:val="bottom"/>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r>
      <w:tr>
        <w:trPr>
          <w:trHeight w:val="250"/>
        </w:trPr>
        <w:tc>
          <w:tcPr>
            <w:tcW w:w="5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income, net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Gain from peat transaction</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fees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Foreign currency losses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5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9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The Company divides its business into the following segments—Global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The Company has made reclassifications to prior period segment amounts as a result of the change in internal organization structure associated with the disposal of the Company's professional seed business, which is now reported in discontinued operations. For additional information regarding the sale, refer to “NOTE 2. DISCONTINUED OPERATIONS.”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Global Consumer segment consists of the U.S.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Europe, Latin America and Australia.</w:t>
      </w:r>
    </w:p>
    <w:p>
      <w:pPr>
        <w:spacing w:after="0" w:line="119"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provides residential and commercial lawn fertilization, disease and insect control and other related services such as core aeration, tree and shrub fertilization and limited pest control services through Company-owned branches and independent franchisees in the United States.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evaluate segment performance because the Company believes this measure is the most indicative of performance trends and the overall earnings potential of each segment. Total assets reported for the Company’s operating segments include the intangible assets for the acquired businesses within those segments. The accounting policies of the segments are the same as those described in the “NOTE 1. SUMMARY OF SIGNIFICANT ACCOUNTING POLICIES.”</w:t>
      </w:r>
    </w:p>
    <w:p>
      <w:pPr>
        <w:spacing w:after="0" w:line="139"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Corporate &amp; Other consists of the Company’s revenues and expenses associated with the Company’s supply agreements with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w:t>
      </w:r>
    </w:p>
    <w:p>
      <w:pPr>
        <w:sectPr>
          <w:pgSz w:w="11900" w:h="16838" w:orient="portrait"/>
          <w:cols w:equalWidth="0" w:num="1">
            <w:col w:w="11420"/>
          </w:cols>
          <w:pgMar w:left="240" w:top="122"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include deferred financing and debt issuance costs and corporate intangible assets, as well as deferred tax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summarized financial information concerning the Company’s reportable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left="21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2,539.2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2,533.2</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2,649.7</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235.6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Segment total</w:t>
            </w:r>
          </w:p>
        </w:tc>
        <w:tc>
          <w:tcPr>
            <w:tcW w:w="38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2,785.0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2,768.8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2,826.1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2,799.7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2,873.0</w:t>
            </w:r>
          </w:p>
        </w:tc>
        <w:tc>
          <w:tcPr>
            <w:tcW w:w="0" w:type="dxa"/>
            <w:vAlign w:val="bottom"/>
          </w:tcPr>
          <w:p>
            <w:pPr>
              <w:spacing w:after="0"/>
              <w:rPr>
                <w:sz w:val="1"/>
                <w:szCs w:val="1"/>
                <w:color w:val="auto"/>
              </w:rPr>
            </w:pPr>
          </w:p>
        </w:tc>
      </w:tr>
      <w:tr>
        <w:trPr>
          <w:trHeight w:val="67"/>
        </w:trPr>
        <w:tc>
          <w:tcPr>
            <w:tcW w:w="560" w:type="dxa"/>
            <w:vAlign w:val="bottom"/>
            <w:tcBorders>
              <w:bottom w:val="single" w:sz="8" w:color="CCEEFF"/>
            </w:tcBorders>
          </w:tcPr>
          <w:p>
            <w:pPr>
              <w:spacing w:after="0"/>
              <w:rPr>
                <w:sz w:val="5"/>
                <w:szCs w:val="5"/>
                <w:color w:val="auto"/>
              </w:rPr>
            </w:pPr>
          </w:p>
        </w:tc>
        <w:tc>
          <w:tcPr>
            <w:tcW w:w="61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338.3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Segment total</w:t>
            </w:r>
          </w:p>
        </w:tc>
        <w:tc>
          <w:tcPr>
            <w:tcW w:w="38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3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5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181.8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6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0"/>
        </w:trPr>
        <w:tc>
          <w:tcPr>
            <w:tcW w:w="674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tcPr>
          <w:p>
            <w:pPr>
              <w:spacing w:after="0"/>
              <w:rPr>
                <w:sz w:val="23"/>
                <w:szCs w:val="23"/>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67"/>
        </w:trPr>
        <w:tc>
          <w:tcPr>
            <w:tcW w:w="560" w:type="dxa"/>
            <w:vAlign w:val="bottom"/>
            <w:tcBorders>
              <w:bottom w:val="single" w:sz="8" w:color="CCEEFF"/>
            </w:tcBorders>
          </w:tcPr>
          <w:p>
            <w:pPr>
              <w:spacing w:after="0"/>
              <w:rPr>
                <w:sz w:val="5"/>
                <w:szCs w:val="5"/>
                <w:color w:val="auto"/>
              </w:rPr>
            </w:pPr>
          </w:p>
        </w:tc>
        <w:tc>
          <w:tcPr>
            <w:tcW w:w="61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64.6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Pr>
          <w:p>
            <w:pPr>
              <w:spacing w:after="0"/>
              <w:rPr>
                <w:sz w:val="21"/>
                <w:szCs w:val="21"/>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left="157"/>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4"/>
          </w:tcPr>
          <w:p>
            <w:pPr>
              <w:jc w:val="center"/>
              <w:ind w:left="157"/>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61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Pr>
          <w:p>
            <w:pPr>
              <w:spacing w:after="0"/>
              <w:rPr>
                <w:sz w:val="21"/>
                <w:szCs w:val="21"/>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1,676.4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1,552.4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Pr>
          <w:p>
            <w:pPr>
              <w:spacing w:after="0"/>
              <w:rPr>
                <w:sz w:val="23"/>
                <w:szCs w:val="23"/>
                <w:color w:val="auto"/>
              </w:rPr>
            </w:pPr>
          </w:p>
        </w:tc>
        <w:tc>
          <w:tcPr>
            <w:tcW w:w="61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61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315.5</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2,074.4</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2,052.2</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 for the Global Consumer segment:</w:t>
      </w:r>
    </w:p>
    <w:p>
      <w:pPr>
        <w:spacing w:after="0" w:line="230"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Year Ended September 30,</w:t>
            </w:r>
          </w:p>
        </w:tc>
      </w:tr>
      <w:tr>
        <w:trPr>
          <w:trHeight w:val="263"/>
        </w:trPr>
        <w:tc>
          <w:tcPr>
            <w:tcW w:w="4500" w:type="dxa"/>
            <w:vAlign w:val="bottom"/>
          </w:tcPr>
          <w:p>
            <w:pPr>
              <w:spacing w:after="0"/>
              <w:rPr>
                <w:sz w:val="22"/>
                <w:szCs w:val="22"/>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
        </w:trPr>
        <w:tc>
          <w:tcPr>
            <w:tcW w:w="4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50"/>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500" w:type="dxa"/>
            <w:vAlign w:val="bottom"/>
          </w:tcPr>
          <w:p>
            <w:pPr>
              <w:ind w:left="360"/>
              <w:spacing w:after="0"/>
              <w:rPr>
                <w:sz w:val="20"/>
                <w:szCs w:val="20"/>
                <w:color w:val="auto"/>
              </w:rPr>
            </w:pPr>
            <w:r>
              <w:rPr>
                <w:rFonts w:ascii="Arial" w:cs="Arial" w:eastAsia="Arial" w:hAnsi="Arial"/>
                <w:sz w:val="18"/>
                <w:szCs w:val="18"/>
                <w:color w:val="auto"/>
              </w:rPr>
              <w:t>Growing media</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29</w:t>
            </w:r>
          </w:p>
        </w:tc>
      </w:tr>
      <w:tr>
        <w:trPr>
          <w:trHeight w:val="27"/>
        </w:trPr>
        <w:tc>
          <w:tcPr>
            <w:tcW w:w="4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Home protection</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r>
      <w:tr>
        <w:trPr>
          <w:trHeight w:val="243"/>
        </w:trPr>
        <w:tc>
          <w:tcPr>
            <w:tcW w:w="4500" w:type="dxa"/>
            <w:vAlign w:val="bottom"/>
          </w:tcPr>
          <w:p>
            <w:pPr>
              <w:ind w:left="360"/>
              <w:spacing w:after="0"/>
              <w:rPr>
                <w:sz w:val="20"/>
                <w:szCs w:val="20"/>
                <w:color w:val="auto"/>
              </w:rPr>
            </w:pPr>
            <w:r>
              <w:rPr>
                <w:rFonts w:ascii="Arial" w:cs="Arial" w:eastAsia="Arial" w:hAnsi="Arial"/>
                <w:sz w:val="18"/>
                <w:szCs w:val="18"/>
                <w:color w:val="auto"/>
              </w:rPr>
              <w:t>Roundup® Marketing Agreement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5</w:t>
            </w:r>
          </w:p>
        </w:tc>
      </w:tr>
      <w:tr>
        <w:trPr>
          <w:trHeight w:val="27"/>
        </w:trPr>
        <w:tc>
          <w:tcPr>
            <w:tcW w:w="4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Wild bird food</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r>
      <w:tr>
        <w:trPr>
          <w:trHeight w:val="243"/>
        </w:trPr>
        <w:tc>
          <w:tcPr>
            <w:tcW w:w="4500" w:type="dxa"/>
            <w:vAlign w:val="bottom"/>
          </w:tcPr>
          <w:p>
            <w:pPr>
              <w:ind w:left="360"/>
              <w:spacing w:after="0"/>
              <w:rPr>
                <w:sz w:val="20"/>
                <w:szCs w:val="20"/>
                <w:color w:val="auto"/>
              </w:rPr>
            </w:pPr>
            <w:r>
              <w:rPr>
                <w:rFonts w:ascii="Arial" w:cs="Arial" w:eastAsia="Arial" w:hAnsi="Arial"/>
                <w:sz w:val="18"/>
                <w:szCs w:val="18"/>
                <w:color w:val="auto"/>
              </w:rPr>
              <w:t>Other, primarily gardening and landscape</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14</w:t>
            </w:r>
          </w:p>
        </w:tc>
      </w:tr>
      <w:tr>
        <w:trPr>
          <w:trHeight w:val="27"/>
        </w:trPr>
        <w:tc>
          <w:tcPr>
            <w:tcW w:w="4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total product sales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presents net sales and long-lived assets (property, plant and equipment and finite-lived intangibles) by geographic area:</w:t>
      </w:r>
    </w:p>
    <w:p>
      <w:pPr>
        <w:spacing w:after="0" w:line="242"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2,340.9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2,294.4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2,799.7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2,873.0</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5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Long-lived assets:</w:t>
            </w:r>
          </w:p>
        </w:tc>
        <w:tc>
          <w:tcPr>
            <w:tcW w:w="25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432.0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411.3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560" w:type="dxa"/>
            <w:vAlign w:val="bottom"/>
            <w:vMerge w:val="restart"/>
          </w:tcPr>
          <w:p>
            <w:pPr>
              <w:jc w:val="right"/>
              <w:ind w:right="430"/>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121" w:right="77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unaudited quarterly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1,170.4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1,122.9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approximately 75% of net sales occurring in the second and third fiscal quarters.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Unusual items during fiscal 2012 consisted of product registration and recall charges and impairment, restructuring and other charges. These items are reflected in the quarterly financial information as follows: first quarter product registration and recall charges of $0.3 million and impairment, restructuring and other charges of $2.5 million; second quarter product registration and recall charges of $3.5 million and impairment, restructuring and other charges of $5.0 million; third quarter product registration</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recall charges of $4.0 million and an adjustment to impairment, restructuring and other charges of $(0.4) million; and fourth quarter product registration and recall charges of $0.4 million. 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 The Company recorded restructuring and other charges of $0.1 million and $3.4 million in fiscal 2012 and fiscal 2011, respectively related to termination benefits provided to employees and other restructuring charges. The company also recorded a $0.5 million impairment charge related to the investment in Turf-Seed (Europe) Limited in fiscal 2012.In addition, in the third quarter of fiscal 2012, the Company recorded an adjustment of $1.7 million as a change in estimate on the tax due on the sale of Global Pro.</w:t>
      </w:r>
    </w:p>
    <w:p>
      <w:pPr>
        <w:spacing w:after="0" w:line="1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Unusual items during fiscal 2011 consisted of impairment and product registration and recall charges. These items are reflected in the quarterly financial information as follows: first quarter product registration and recall charges of $1.7 million; second quarter product registration and recall charges of $2.5 million; third quarter product registration and recall charges of $6.8 million and impairment, restructuring and other charges of $3.6 million; and fourth quarter product registration and recall charges of $3.6 million and impairment, restructuring and other charges of $52.3 million. Unusual items in discontinued operations consisted of the sale of Global Pro to ICL for $270.9 million, net proceeds or $253.6 million after transaction costs. Results from discontinued operations for fiscal 2011 include an after-tax gain on the sale of Global Pro of $39.5 million, During the fourth quarter of 2011, an out-of-period adjustment of approximately $13.6 million was recorded to correct the tax provision recognized for discontinued operations in the second quarter of 2011.</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INFORMATION FOR SUBSIDIARY GUARANTORS AND NON-GUARANTORS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following 100% directly or indirectly owned subsidiaries fully and unconditionally guarantee the Senior Notes on a joint and several basis: EG Systems, Inc., dba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 SMG Brands, Inc. was added as a Guarantor of the Senior Notes on September 28, 2011. Accordingly, SMG Brands, Inc. has been classified as a Guarantor for all periods presented in the condensed, consolidating financial information accompanying this Note 24.</w:t>
      </w:r>
    </w:p>
    <w:p>
      <w:pPr>
        <w:spacing w:after="0" w:line="12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following information presents condensed, consolidating Statements of Operations and Statements of Cash Flows for each of the three years ended September 30, 2012, and condensed, consolidating Balance Sheets as of September 30, 2012 and 2011. The consolidating financial information presents, in separate columns, financial information for: Scotts Miracle-Gro on a Parent-only basis, carrying its investment in subsidiaries under the equity method; Guarantors on a combined basis, carrying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1,864.4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705.7</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68.6</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Subsidiary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Guarantors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Guarantors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Guarantors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Guarantors</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330.9</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122.3</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427.4</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307.1</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r>
      <w:tr>
        <w:trPr>
          <w:trHeight w:val="67"/>
        </w:trPr>
        <w:tc>
          <w:tcPr>
            <w:tcW w:w="368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680" w:type="dxa"/>
            <w:vAlign w:val="bottom"/>
            <w:shd w:val="clear" w:color="auto" w:fill="CCEEFF"/>
          </w:tcPr>
          <w:p>
            <w:pPr>
              <w:spacing w:after="0"/>
              <w:rPr>
                <w:sz w:val="19"/>
                <w:szCs w:val="19"/>
                <w:color w:val="auto"/>
              </w:rPr>
            </w:pPr>
          </w:p>
        </w:tc>
        <w:tc>
          <w:tcPr>
            <w:tcW w:w="15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LIABILITIES AND</w:t>
            </w:r>
          </w:p>
        </w:tc>
        <w:tc>
          <w:tcPr>
            <w:tcW w:w="13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w w:val="75"/>
              </w:rPr>
              <w:t>SHAREHOLDERS’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152.3</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433.6</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257.8</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1,472.5</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601.9</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1,769.0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686.3</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Subsidiary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Guarantors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Guarantors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6"/>
              </w:rPr>
              <w:t>Proceeds from sale of business, net of transaction costs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253.6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Contingent consideration and related payments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1,610.1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issuance of Senior Notes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130.9</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Guarantors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Guarantors</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323.5</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151.1</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394.7</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319.6</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2,052.2</w:t>
            </w:r>
          </w:p>
        </w:tc>
      </w:tr>
      <w:tr>
        <w:trPr>
          <w:trHeight w:val="67"/>
        </w:trPr>
        <w:tc>
          <w:tcPr>
            <w:tcW w:w="368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680" w:type="dxa"/>
            <w:vAlign w:val="bottom"/>
            <w:shd w:val="clear" w:color="auto" w:fill="CCEEFF"/>
          </w:tcPr>
          <w:p>
            <w:pPr>
              <w:spacing w:after="0"/>
              <w:rPr>
                <w:sz w:val="19"/>
                <w:szCs w:val="19"/>
                <w:color w:val="auto"/>
              </w:rPr>
            </w:pPr>
          </w:p>
        </w:tc>
        <w:tc>
          <w:tcPr>
            <w:tcW w:w="15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LIABILITIES AND</w:t>
            </w:r>
          </w:p>
        </w:tc>
        <w:tc>
          <w:tcPr>
            <w:tcW w:w="13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w w:val="75"/>
              </w:rPr>
              <w:t>SHAREHOLDERS’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232.0</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559.8</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1,784.4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37"/>
        </w:trPr>
        <w:tc>
          <w:tcPr>
            <w:tcW w:w="5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1,085.6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692.6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204.1</w:t>
            </w: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CASH (USED IN)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295.9</w:t>
            </w: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5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5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9"/>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 and term</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1,021.4</w:t>
            </w:r>
          </w:p>
        </w:tc>
      </w:tr>
      <w:tr>
        <w:trPr>
          <w:trHeight w:val="229"/>
        </w:trPr>
        <w:tc>
          <w:tcPr>
            <w:tcW w:w="5260" w:type="dxa"/>
            <w:vAlign w:val="bottom"/>
          </w:tcPr>
          <w:p>
            <w:pPr>
              <w:ind w:left="380"/>
              <w:spacing w:after="0"/>
              <w:rPr>
                <w:sz w:val="20"/>
                <w:szCs w:val="20"/>
                <w:color w:val="auto"/>
              </w:rPr>
            </w:pPr>
            <w:r>
              <w:rPr>
                <w:rFonts w:ascii="Arial" w:cs="Arial" w:eastAsia="Arial" w:hAnsi="Arial"/>
                <w:sz w:val="18"/>
                <w:szCs w:val="18"/>
                <w:color w:val="auto"/>
                <w:w w:val="98"/>
              </w:rPr>
              <w:t>Repayments under revolving and bank lines of credit and 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(1,391.4)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Senior Notes, net of discount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Excess tax benefits from share-based payment arrangements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70.6</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1"/>
              </w:rPr>
              <w:t>Schedule II—Valuation and Qualifying Accounts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8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88"/>
              </w:rPr>
              <w:t>for the fiscal year ended September 30, 2011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24"/>
                <w:szCs w:val="2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1"/>
              </w:rPr>
              <w:t>Schedule II—Valuation and Qualifying Accounts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89"/>
              </w:rPr>
              <w:t>for the fiscal year ended September 30, 2010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24"/>
                <w:szCs w:val="2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402"/>
              <w:spacing w:after="0"/>
              <w:rPr>
                <w:sz w:val="20"/>
                <w:szCs w:val="20"/>
                <w:color w:val="auto"/>
              </w:rPr>
            </w:pPr>
            <w:r>
              <w:rPr>
                <w:rFonts w:ascii="Arial" w:cs="Arial" w:eastAsia="Arial" w:hAnsi="Arial"/>
                <w:sz w:val="18"/>
                <w:szCs w:val="18"/>
                <w:color w:val="auto"/>
                <w:w w:val="86"/>
              </w:rPr>
              <w:t>108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8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3.1(a)</w:t>
            </w:r>
          </w:p>
        </w:tc>
        <w:tc>
          <w:tcPr>
            <w:tcW w:w="4880" w:type="dxa"/>
            <w:vAlign w:val="bottom"/>
          </w:tcPr>
          <w:p>
            <w:pPr>
              <w:ind w:left="20"/>
              <w:spacing w:after="0"/>
              <w:rPr>
                <w:sz w:val="20"/>
                <w:szCs w:val="20"/>
                <w:color w:val="auto"/>
              </w:rPr>
            </w:pPr>
            <w:r>
              <w:rPr>
                <w:rFonts w:ascii="Arial" w:cs="Arial" w:eastAsia="Arial" w:hAnsi="Arial"/>
                <w:sz w:val="18"/>
                <w:szCs w:val="18"/>
                <w:color w:val="auto"/>
              </w:rPr>
              <w:t>Initial  Articles  of  Incorporation  of  The  Scotts  Miracle-Gro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4"/>
              </w:rPr>
              <w:t>Company as filed with the Ohio Secretary of State on November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22, 2004</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880" w:type="dxa"/>
            <w:vAlign w:val="bottom"/>
          </w:tcPr>
          <w:p>
            <w:pPr>
              <w:ind w:left="20"/>
              <w:spacing w:after="0"/>
              <w:rPr>
                <w:sz w:val="20"/>
                <w:szCs w:val="20"/>
                <w:color w:val="auto"/>
              </w:rPr>
            </w:pPr>
            <w:r>
              <w:rPr>
                <w:rFonts w:ascii="Arial" w:cs="Arial" w:eastAsia="Arial" w:hAnsi="Arial"/>
                <w:sz w:val="18"/>
                <w:szCs w:val="18"/>
                <w:color w:val="auto"/>
              </w:rPr>
              <w:t>Certificate  of  Amendment  by  Shareholders  to  Articles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7"/>
              </w:rPr>
              <w:t>Incorporation of The Scotts Miracle-Gro Company as filed with</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the Ohio Secretary of State on March 18, 2005</w:t>
            </w:r>
          </w:p>
        </w:tc>
        <w:tc>
          <w:tcPr>
            <w:tcW w:w="0" w:type="dxa"/>
            <w:vAlign w:val="bottom"/>
          </w:tcPr>
          <w:p>
            <w:pPr>
              <w:spacing w:after="0"/>
              <w:rPr>
                <w:sz w:val="1"/>
                <w:szCs w:val="1"/>
                <w:color w:val="auto"/>
              </w:rPr>
            </w:pPr>
          </w:p>
        </w:tc>
      </w:tr>
      <w:tr>
        <w:trPr>
          <w:trHeight w:val="392"/>
        </w:trPr>
        <w:tc>
          <w:tcPr>
            <w:tcW w:w="136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Code of Regulations of The Scotts Miracle-Gro Company</w:t>
            </w:r>
          </w:p>
        </w:tc>
        <w:tc>
          <w:tcPr>
            <w:tcW w:w="0" w:type="dxa"/>
            <w:vAlign w:val="bottom"/>
          </w:tcPr>
          <w:p>
            <w:pPr>
              <w:spacing w:after="0"/>
              <w:rPr>
                <w:sz w:val="1"/>
                <w:szCs w:val="1"/>
                <w:color w:val="auto"/>
              </w:rPr>
            </w:pPr>
          </w:p>
        </w:tc>
      </w:tr>
      <w:tr>
        <w:trPr>
          <w:trHeight w:val="81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880" w:type="dxa"/>
            <w:vAlign w:val="bottom"/>
          </w:tcPr>
          <w:p>
            <w:pPr>
              <w:ind w:left="20"/>
              <w:spacing w:after="0"/>
              <w:rPr>
                <w:sz w:val="20"/>
                <w:szCs w:val="20"/>
                <w:color w:val="auto"/>
              </w:rPr>
            </w:pPr>
            <w:r>
              <w:rPr>
                <w:rFonts w:ascii="Arial" w:cs="Arial" w:eastAsia="Arial" w:hAnsi="Arial"/>
                <w:sz w:val="18"/>
                <w:szCs w:val="18"/>
                <w:color w:val="auto"/>
                <w:w w:val="91"/>
              </w:rPr>
              <w:t>Indenture, dated January 14, 2010, among The Scotts Miracle-Gro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Company, the guarantors from time to time party thereto and U.S.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Bank National Association, as trustee</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880" w:type="dxa"/>
            <w:vAlign w:val="bottom"/>
          </w:tcPr>
          <w:p>
            <w:pPr>
              <w:ind w:left="20"/>
              <w:spacing w:after="0"/>
              <w:rPr>
                <w:sz w:val="20"/>
                <w:szCs w:val="20"/>
                <w:color w:val="auto"/>
              </w:rPr>
            </w:pPr>
            <w:r>
              <w:rPr>
                <w:rFonts w:ascii="Arial" w:cs="Arial" w:eastAsia="Arial" w:hAnsi="Arial"/>
                <w:sz w:val="18"/>
                <w:szCs w:val="18"/>
                <w:color w:val="auto"/>
                <w:w w:val="91"/>
              </w:rPr>
              <w:t>First Supplemental Indenture, dated January 14, 2010, among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6"/>
              </w:rPr>
              <w:t>Scotts Miracle-Gro Company, the subsidiary guarantors named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therein and U.S. Bank National Association, as trustee</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880" w:type="dxa"/>
            <w:vAlign w:val="bottom"/>
          </w:tcPr>
          <w:p>
            <w:pPr>
              <w:ind w:left="20"/>
              <w:spacing w:after="0"/>
              <w:rPr>
                <w:sz w:val="20"/>
                <w:szCs w:val="20"/>
                <w:color w:val="auto"/>
              </w:rPr>
            </w:pPr>
            <w:r>
              <w:rPr>
                <w:rFonts w:ascii="Arial" w:cs="Arial" w:eastAsia="Arial" w:hAnsi="Arial"/>
                <w:sz w:val="18"/>
                <w:szCs w:val="18"/>
                <w:color w:val="auto"/>
                <w:w w:val="93"/>
              </w:rPr>
              <w:t>Second  Supplemental  Indenture,  dated  September  28,  2011,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among  The  Scotts  Miracle-Gro  Company,  the  subsidiary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guarantors named therein and U.S. Bank National Association, as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4.1(d)</w:t>
            </w:r>
          </w:p>
        </w:tc>
        <w:tc>
          <w:tcPr>
            <w:tcW w:w="4880" w:type="dxa"/>
            <w:vAlign w:val="bottom"/>
          </w:tcPr>
          <w:p>
            <w:pPr>
              <w:ind w:left="20"/>
              <w:spacing w:after="0"/>
              <w:rPr>
                <w:sz w:val="20"/>
                <w:szCs w:val="20"/>
                <w:color w:val="auto"/>
              </w:rPr>
            </w:pPr>
            <w:r>
              <w:rPr>
                <w:rFonts w:ascii="Arial" w:cs="Arial" w:eastAsia="Arial" w:hAnsi="Arial"/>
                <w:sz w:val="18"/>
                <w:szCs w:val="18"/>
                <w:color w:val="auto"/>
              </w:rPr>
              <w:t>Form of 7.25% Senior Notes due 2018</w:t>
            </w:r>
          </w:p>
        </w:tc>
        <w:tc>
          <w:tcPr>
            <w:tcW w:w="0" w:type="dxa"/>
            <w:vAlign w:val="bottom"/>
          </w:tcPr>
          <w:p>
            <w:pPr>
              <w:spacing w:after="0"/>
              <w:rPr>
                <w:sz w:val="1"/>
                <w:szCs w:val="1"/>
                <w:color w:val="auto"/>
              </w:rPr>
            </w:pPr>
          </w:p>
        </w:tc>
      </w:tr>
      <w:tr>
        <w:trPr>
          <w:trHeight w:val="81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4.2(a)</w:t>
            </w:r>
          </w:p>
        </w:tc>
        <w:tc>
          <w:tcPr>
            <w:tcW w:w="4880" w:type="dxa"/>
            <w:vAlign w:val="bottom"/>
          </w:tcPr>
          <w:p>
            <w:pPr>
              <w:ind w:left="20"/>
              <w:spacing w:after="0"/>
              <w:rPr>
                <w:sz w:val="20"/>
                <w:szCs w:val="20"/>
                <w:color w:val="auto"/>
              </w:rPr>
            </w:pPr>
            <w:r>
              <w:rPr>
                <w:rFonts w:ascii="Arial" w:cs="Arial" w:eastAsia="Arial" w:hAnsi="Arial"/>
                <w:sz w:val="18"/>
                <w:szCs w:val="18"/>
                <w:color w:val="auto"/>
                <w:w w:val="97"/>
              </w:rPr>
              <w:t>Indenture, dated as of December 16, 2010, by and among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Scotts Miracle-Gro Company, the Guarantors (as defined therein)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and U.S. Bank National Association, as trustee</w:t>
            </w:r>
          </w:p>
        </w:tc>
        <w:tc>
          <w:tcPr>
            <w:tcW w:w="0" w:type="dxa"/>
            <w:vAlign w:val="bottom"/>
          </w:tcPr>
          <w:p>
            <w:pPr>
              <w:spacing w:after="0"/>
              <w:rPr>
                <w:sz w:val="1"/>
                <w:szCs w:val="1"/>
                <w:color w:val="auto"/>
              </w:rPr>
            </w:pP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880" w:type="dxa"/>
            <w:vAlign w:val="bottom"/>
          </w:tcPr>
          <w:p>
            <w:pPr>
              <w:ind w:left="20"/>
              <w:spacing w:after="0"/>
              <w:rPr>
                <w:sz w:val="20"/>
                <w:szCs w:val="20"/>
                <w:color w:val="auto"/>
              </w:rPr>
            </w:pPr>
            <w:r>
              <w:rPr>
                <w:rFonts w:ascii="Arial" w:cs="Arial" w:eastAsia="Arial" w:hAnsi="Arial"/>
                <w:sz w:val="18"/>
                <w:szCs w:val="18"/>
                <w:color w:val="auto"/>
                <w:w w:val="91"/>
              </w:rPr>
              <w:t>First Supplemental Indenture, dated as of September 28, 2011, by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2"/>
              </w:rPr>
              <w:t>and among The Scotts Miracle-Gro Company, the Guarantors (as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4.2(c)</w:t>
            </w:r>
          </w:p>
        </w:tc>
        <w:tc>
          <w:tcPr>
            <w:tcW w:w="4880" w:type="dxa"/>
            <w:vAlign w:val="bottom"/>
          </w:tcPr>
          <w:p>
            <w:pPr>
              <w:ind w:left="20"/>
              <w:spacing w:after="0"/>
              <w:rPr>
                <w:sz w:val="20"/>
                <w:szCs w:val="20"/>
                <w:color w:val="auto"/>
              </w:rPr>
            </w:pPr>
            <w:r>
              <w:rPr>
                <w:rFonts w:ascii="Arial" w:cs="Arial" w:eastAsia="Arial" w:hAnsi="Arial"/>
                <w:sz w:val="18"/>
                <w:szCs w:val="18"/>
                <w:color w:val="auto"/>
              </w:rPr>
              <w:t>Form of 6.625% Senior Notes due 2020</w:t>
            </w:r>
          </w:p>
        </w:tc>
        <w:tc>
          <w:tcPr>
            <w:tcW w:w="0" w:type="dxa"/>
            <w:vAlign w:val="bottom"/>
          </w:tcPr>
          <w:p>
            <w:pPr>
              <w:spacing w:after="0"/>
              <w:rPr>
                <w:sz w:val="1"/>
                <w:szCs w:val="1"/>
                <w:color w:val="auto"/>
              </w:rPr>
            </w:pPr>
          </w:p>
        </w:tc>
      </w:tr>
      <w:tr>
        <w:trPr>
          <w:trHeight w:val="81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4.2(d)</w:t>
            </w:r>
          </w:p>
        </w:tc>
        <w:tc>
          <w:tcPr>
            <w:tcW w:w="4880" w:type="dxa"/>
            <w:vAlign w:val="bottom"/>
          </w:tcPr>
          <w:p>
            <w:pPr>
              <w:ind w:left="20"/>
              <w:spacing w:after="0"/>
              <w:rPr>
                <w:sz w:val="20"/>
                <w:szCs w:val="20"/>
                <w:color w:val="auto"/>
              </w:rPr>
            </w:pPr>
            <w:r>
              <w:rPr>
                <w:rFonts w:ascii="Arial" w:cs="Arial" w:eastAsia="Arial" w:hAnsi="Arial"/>
                <w:sz w:val="18"/>
                <w:szCs w:val="18"/>
                <w:color w:val="auto"/>
                <w:w w:val="94"/>
              </w:rPr>
              <w:t>Registration Rights Agreement, dated as of December 16, 2010,</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w w:val="94"/>
              </w:rPr>
              <w:t>by and among The Scotts Miracle-Gro Company, the guarantors</w:t>
            </w:r>
          </w:p>
        </w:tc>
        <w:tc>
          <w:tcPr>
            <w:tcW w:w="0" w:type="dxa"/>
            <w:vAlign w:val="bottom"/>
          </w:tcPr>
          <w:p>
            <w:pPr>
              <w:spacing w:after="0"/>
              <w:rPr>
                <w:sz w:val="1"/>
                <w:szCs w:val="1"/>
                <w:color w:val="auto"/>
              </w:rPr>
            </w:pPr>
          </w:p>
        </w:tc>
      </w:tr>
    </w:tbl>
    <w:p>
      <w:pPr>
        <w:jc w:val="both"/>
        <w:ind w:left="1520" w:right="20"/>
        <w:spacing w:after="0" w:line="255" w:lineRule="auto"/>
        <w:rPr>
          <w:sz w:val="20"/>
          <w:szCs w:val="20"/>
          <w:color w:val="auto"/>
        </w:rPr>
      </w:pPr>
      <w:r>
        <w:rPr>
          <w:rFonts w:ascii="Arial" w:cs="Arial" w:eastAsia="Arial" w:hAnsi="Arial"/>
          <w:sz w:val="18"/>
          <w:szCs w:val="18"/>
          <w:color w:val="auto"/>
        </w:rPr>
        <w:t>named therein and Merrill Lynch, Pierce, Fenner &amp; Smith Incorporated, as representative of the several initial purchasers named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filed March 24, 2005 (File No. 1-11593) [Exhibit 3.1]</w:t>
      </w:r>
    </w:p>
    <w:p>
      <w:pPr>
        <w:spacing w:after="0" w:line="1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4.2]</w:t>
      </w:r>
    </w:p>
    <w:p>
      <w:pPr>
        <w:spacing w:after="0" w:line="3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4.1(c)]</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[Included in Exhibit 4.2]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4.1]</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4.2(b)]</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[Included in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4.3]</w:t>
      </w:r>
    </w:p>
    <w:p>
      <w:pPr>
        <w:spacing w:after="0" w:line="573" w:lineRule="exact"/>
        <w:rPr>
          <w:sz w:val="20"/>
          <w:szCs w:val="20"/>
          <w:color w:val="auto"/>
        </w:rPr>
      </w:pPr>
    </w:p>
    <w:p>
      <w:pPr>
        <w:sectPr>
          <w:pgSz w:w="11900" w:h="16838" w:orient="portrait"/>
          <w:cols w:equalWidth="0" w:num="2">
            <w:col w:w="6380" w:space="16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4.3</w:t>
            </w:r>
          </w:p>
        </w:tc>
        <w:tc>
          <w:tcPr>
            <w:tcW w:w="5740" w:type="dxa"/>
            <w:vAlign w:val="bottom"/>
          </w:tcPr>
          <w:p>
            <w:pPr>
              <w:ind w:left="620"/>
              <w:spacing w:after="0"/>
              <w:rPr>
                <w:sz w:val="20"/>
                <w:szCs w:val="20"/>
                <w:color w:val="auto"/>
              </w:rPr>
            </w:pPr>
            <w:r>
              <w:rPr>
                <w:rFonts w:ascii="Arial" w:cs="Arial" w:eastAsia="Arial" w:hAnsi="Arial"/>
                <w:sz w:val="18"/>
                <w:szCs w:val="18"/>
                <w:color w:val="auto"/>
                <w:w w:val="96"/>
              </w:rPr>
              <w:t>Agreement  to  furnish  copies  of  instruments  and  agreements  *</w:t>
            </w:r>
          </w:p>
        </w:tc>
      </w:tr>
      <w:tr>
        <w:trPr>
          <w:trHeight w:val="230"/>
        </w:trPr>
        <w:tc>
          <w:tcPr>
            <w:tcW w:w="860" w:type="dxa"/>
            <w:vAlign w:val="bottom"/>
          </w:tcPr>
          <w:p>
            <w:pPr>
              <w:spacing w:after="0"/>
              <w:rPr>
                <w:sz w:val="20"/>
                <w:szCs w:val="20"/>
                <w:color w:val="auto"/>
              </w:rPr>
            </w:pPr>
          </w:p>
        </w:tc>
        <w:tc>
          <w:tcPr>
            <w:tcW w:w="5740" w:type="dxa"/>
            <w:vAlign w:val="bottom"/>
          </w:tcPr>
          <w:p>
            <w:pPr>
              <w:ind w:left="620"/>
              <w:spacing w:after="0"/>
              <w:rPr>
                <w:sz w:val="20"/>
                <w:szCs w:val="20"/>
                <w:color w:val="auto"/>
              </w:rPr>
            </w:pPr>
            <w:r>
              <w:rPr>
                <w:rFonts w:ascii="Arial" w:cs="Arial" w:eastAsia="Arial" w:hAnsi="Arial"/>
                <w:sz w:val="18"/>
                <w:szCs w:val="18"/>
                <w:color w:val="auto"/>
              </w:rPr>
              <w:t>defining rights of holders of long-term debt</w:t>
            </w:r>
          </w:p>
        </w:tc>
      </w:tr>
      <w:tr>
        <w:trPr>
          <w:trHeight w:val="608"/>
        </w:trPr>
        <w:tc>
          <w:tcPr>
            <w:tcW w:w="860" w:type="dxa"/>
            <w:vAlign w:val="bottom"/>
          </w:tcPr>
          <w:p>
            <w:pPr>
              <w:spacing w:after="0"/>
              <w:rPr>
                <w:sz w:val="24"/>
                <w:szCs w:val="24"/>
                <w:color w:val="auto"/>
              </w:rPr>
            </w:pPr>
          </w:p>
        </w:tc>
        <w:tc>
          <w:tcPr>
            <w:tcW w:w="5740" w:type="dxa"/>
            <w:vAlign w:val="bottom"/>
          </w:tcPr>
          <w:p>
            <w:pPr>
              <w:jc w:val="right"/>
              <w:ind w:right="710"/>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1400"/>
          </w:cols>
          <w:pgMar w:left="240" w:top="121" w:right="259" w:bottom="1440" w:gutter="0" w:footer="0" w:header="0"/>
          <w:type w:val="continuous"/>
        </w:sectPr>
      </w:pPr>
    </w:p>
    <w:bookmarkStart w:id="109" w:name="page110"/>
    <w:bookmarkEnd w:id="109"/>
    <w:p>
      <w:pPr>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10.1(a)</w:t>
            </w:r>
          </w:p>
        </w:tc>
        <w:tc>
          <w:tcPr>
            <w:tcW w:w="5300" w:type="dxa"/>
            <w:vAlign w:val="bottom"/>
          </w:tcPr>
          <w:p>
            <w:pPr>
              <w:ind w:left="480"/>
              <w:spacing w:after="0"/>
              <w:rPr>
                <w:sz w:val="20"/>
                <w:szCs w:val="20"/>
                <w:color w:val="auto"/>
              </w:rPr>
            </w:pPr>
            <w:r>
              <w:rPr>
                <w:rFonts w:ascii="Arial" w:cs="Arial" w:eastAsia="Arial" w:hAnsi="Arial"/>
                <w:sz w:val="18"/>
                <w:szCs w:val="18"/>
                <w:color w:val="auto"/>
                <w:w w:val="88"/>
              </w:rPr>
              <w:t>Amended and Restated Agreement and Plan of Merger, dated as of</w:t>
            </w:r>
          </w:p>
        </w:tc>
      </w:tr>
      <w:tr>
        <w:trPr>
          <w:trHeight w:val="230"/>
        </w:trPr>
        <w:tc>
          <w:tcPr>
            <w:tcW w:w="1000" w:type="dxa"/>
            <w:vAlign w:val="bottom"/>
          </w:tcPr>
          <w:p>
            <w:pPr>
              <w:spacing w:after="0"/>
              <w:rPr>
                <w:sz w:val="20"/>
                <w:szCs w:val="20"/>
                <w:color w:val="auto"/>
              </w:rPr>
            </w:pPr>
          </w:p>
        </w:tc>
        <w:tc>
          <w:tcPr>
            <w:tcW w:w="5300" w:type="dxa"/>
            <w:vAlign w:val="bottom"/>
          </w:tcPr>
          <w:p>
            <w:pPr>
              <w:ind w:left="480"/>
              <w:spacing w:after="0"/>
              <w:rPr>
                <w:sz w:val="20"/>
                <w:szCs w:val="20"/>
                <w:color w:val="auto"/>
              </w:rPr>
            </w:pPr>
            <w:r>
              <w:rPr>
                <w:rFonts w:ascii="Arial" w:cs="Arial" w:eastAsia="Arial" w:hAnsi="Arial"/>
                <w:sz w:val="18"/>
                <w:szCs w:val="18"/>
                <w:color w:val="auto"/>
                <w:w w:val="93"/>
              </w:rPr>
              <w:t>May 19, 1995, among Stern’s Miracle-Gro Products, Inc., Stern’s</w:t>
            </w:r>
          </w:p>
        </w:tc>
      </w:tr>
    </w:tbl>
    <w:p>
      <w:pPr>
        <w:jc w:val="both"/>
        <w:ind w:left="1520"/>
        <w:spacing w:after="0" w:line="253" w:lineRule="auto"/>
        <w:rPr>
          <w:sz w:val="20"/>
          <w:szCs w:val="20"/>
          <w:color w:val="auto"/>
        </w:rPr>
      </w:pPr>
      <w:r>
        <w:rPr>
          <w:rFonts w:ascii="Arial" w:cs="Arial" w:eastAsia="Arial" w:hAnsi="Arial"/>
          <w:sz w:val="18"/>
          <w:szCs w:val="18"/>
          <w:color w:val="auto"/>
        </w:rPr>
        <w:t>Nurseries, Inc., Miracle-Gro Lawn Products Inc., Miracle-Gro Products Limited, Hagedorn Partnership, L.P., the general partners of Hagedorn Partnership, L.P., Horace Hagedorn, Community Funds, Inc., and John Kenlon, The Scotts Company and ZYX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(File No. 0-19768) [Exhibit 2(b)]</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5320" w:type="dxa"/>
            <w:vAlign w:val="bottom"/>
          </w:tcPr>
          <w:p>
            <w:pPr>
              <w:ind w:left="480"/>
              <w:spacing w:after="0"/>
              <w:rPr>
                <w:sz w:val="20"/>
                <w:szCs w:val="20"/>
                <w:color w:val="auto"/>
              </w:rPr>
            </w:pPr>
            <w:r>
              <w:rPr>
                <w:rFonts w:ascii="Arial" w:cs="Arial" w:eastAsia="Arial" w:hAnsi="Arial"/>
                <w:sz w:val="18"/>
                <w:szCs w:val="18"/>
                <w:color w:val="auto"/>
                <w:w w:val="92"/>
              </w:rPr>
              <w:t>First Amendment to Amended and Restated Agreement and Plan</w:t>
            </w:r>
          </w:p>
        </w:tc>
      </w:tr>
      <w:tr>
        <w:trPr>
          <w:trHeight w:val="230"/>
        </w:trPr>
        <w:tc>
          <w:tcPr>
            <w:tcW w:w="100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4"/>
              </w:rPr>
              <w:t>of Merger, made and entered into as of October 1, 1999, among</w:t>
            </w:r>
          </w:p>
        </w:tc>
      </w:tr>
    </w:tbl>
    <w:p>
      <w:pPr>
        <w:jc w:val="both"/>
        <w:ind w:left="1520"/>
        <w:spacing w:after="0" w:line="252" w:lineRule="auto"/>
        <w:rPr>
          <w:sz w:val="20"/>
          <w:szCs w:val="20"/>
          <w:color w:val="auto"/>
        </w:rPr>
      </w:pPr>
      <w:r>
        <w:rPr>
          <w:rFonts w:ascii="Arial" w:cs="Arial" w:eastAsia="Arial" w:hAnsi="Arial"/>
          <w:sz w:val="18"/>
          <w:szCs w:val="18"/>
          <w:color w:val="auto"/>
        </w:rPr>
        <w:t>The Scotts Company, Scotts’ Miracle-Gro Products, Inc. (as 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(File No. 1-13292) [Exhibit 2]</w:t>
      </w:r>
    </w:p>
    <w:p>
      <w:pPr>
        <w:spacing w:after="0" w:line="1437"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10.2</w:t>
            </w:r>
          </w:p>
        </w:tc>
        <w:tc>
          <w:tcPr>
            <w:tcW w:w="5400" w:type="dxa"/>
            <w:vAlign w:val="bottom"/>
          </w:tcPr>
          <w:p>
            <w:pPr>
              <w:ind w:left="580"/>
              <w:spacing w:after="0"/>
              <w:rPr>
                <w:sz w:val="20"/>
                <w:szCs w:val="20"/>
                <w:color w:val="auto"/>
              </w:rPr>
            </w:pPr>
            <w:r>
              <w:rPr>
                <w:rFonts w:ascii="Arial" w:cs="Arial" w:eastAsia="Arial" w:hAnsi="Arial"/>
                <w:sz w:val="18"/>
                <w:szCs w:val="18"/>
                <w:color w:val="auto"/>
                <w:w w:val="88"/>
              </w:rPr>
              <w:t>Second Amended and Restated Credit Agreement, dated as of June</w:t>
            </w:r>
          </w:p>
        </w:tc>
      </w:tr>
      <w:tr>
        <w:trPr>
          <w:trHeight w:val="216"/>
        </w:trPr>
        <w:tc>
          <w:tcPr>
            <w:tcW w:w="900" w:type="dxa"/>
            <w:vAlign w:val="bottom"/>
          </w:tcPr>
          <w:p>
            <w:pPr>
              <w:spacing w:after="0"/>
              <w:rPr>
                <w:sz w:val="18"/>
                <w:szCs w:val="18"/>
                <w:color w:val="auto"/>
              </w:rPr>
            </w:pPr>
          </w:p>
        </w:tc>
        <w:tc>
          <w:tcPr>
            <w:tcW w:w="5400" w:type="dxa"/>
            <w:vAlign w:val="bottom"/>
          </w:tcPr>
          <w:p>
            <w:pPr>
              <w:ind w:left="580"/>
              <w:spacing w:after="0"/>
              <w:rPr>
                <w:sz w:val="20"/>
                <w:szCs w:val="20"/>
                <w:color w:val="auto"/>
              </w:rPr>
            </w:pPr>
            <w:r>
              <w:rPr>
                <w:rFonts w:ascii="Arial" w:cs="Arial" w:eastAsia="Arial" w:hAnsi="Arial"/>
                <w:sz w:val="18"/>
                <w:szCs w:val="18"/>
                <w:color w:val="auto"/>
                <w:w w:val="92"/>
              </w:rPr>
              <w:t>30, 2011, by and among The Scotts Miracle-Gro Company as the</w:t>
            </w:r>
          </w:p>
        </w:tc>
      </w:tr>
      <w:tr>
        <w:trPr>
          <w:trHeight w:val="230"/>
        </w:trPr>
        <w:tc>
          <w:tcPr>
            <w:tcW w:w="900" w:type="dxa"/>
            <w:vAlign w:val="bottom"/>
          </w:tcPr>
          <w:p>
            <w:pPr>
              <w:spacing w:after="0"/>
              <w:rPr>
                <w:sz w:val="20"/>
                <w:szCs w:val="20"/>
                <w:color w:val="auto"/>
              </w:rPr>
            </w:pPr>
          </w:p>
        </w:tc>
        <w:tc>
          <w:tcPr>
            <w:tcW w:w="5400" w:type="dxa"/>
            <w:vAlign w:val="bottom"/>
          </w:tcPr>
          <w:p>
            <w:pPr>
              <w:ind w:left="580"/>
              <w:spacing w:after="0"/>
              <w:rPr>
                <w:sz w:val="20"/>
                <w:szCs w:val="20"/>
                <w:color w:val="auto"/>
              </w:rPr>
            </w:pPr>
            <w:r>
              <w:rPr>
                <w:rFonts w:ascii="Arial" w:cs="Arial" w:eastAsia="Arial" w:hAnsi="Arial"/>
                <w:sz w:val="18"/>
                <w:szCs w:val="18"/>
                <w:color w:val="auto"/>
                <w:w w:val="95"/>
              </w:rPr>
              <w:t>“Borrower” the Subsidiary Borrowers (as defined in the Second</w:t>
            </w:r>
          </w:p>
        </w:tc>
      </w:tr>
    </w:tbl>
    <w:p>
      <w:pPr>
        <w:jc w:val="both"/>
        <w:ind w:left="1520"/>
        <w:spacing w:after="0" w:line="268" w:lineRule="auto"/>
        <w:rPr>
          <w:sz w:val="20"/>
          <w:szCs w:val="20"/>
          <w:color w:val="auto"/>
        </w:rPr>
      </w:pPr>
      <w:r>
        <w:rPr>
          <w:rFonts w:ascii="Arial" w:cs="Arial" w:eastAsia="Arial" w:hAnsi="Arial"/>
          <w:sz w:val="17"/>
          <w:szCs w:val="17"/>
          <w:color w:val="auto"/>
        </w:rPr>
        <w:t>Amended and Restated Credit Agreement); the several banks and other financial institutions from time to time parties to the Second Amended and Restated Credit Agreement (the “Lenders”); Bank of America, N.A., as Syndication Agent; Cobank, ACB, BNP Paribas, Credit Agricole Corporate and Investment Bank, Rabobank Nederland, Citizens Bank of Pennsylvania, The Bank of Nova Scotia and Wells Fargo Bank, N.A., as Documentation Agents; and JPMorgan Chase Bank, N.A., as Administrative Agent</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4.1]</w:t>
      </w:r>
    </w:p>
    <w:p>
      <w:pPr>
        <w:spacing w:after="0" w:line="2243"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10.3</w:t>
            </w:r>
          </w:p>
        </w:tc>
        <w:tc>
          <w:tcPr>
            <w:tcW w:w="2000" w:type="dxa"/>
            <w:vAlign w:val="bottom"/>
          </w:tcPr>
          <w:p>
            <w:pPr>
              <w:ind w:left="580"/>
              <w:spacing w:after="0"/>
              <w:rPr>
                <w:sz w:val="20"/>
                <w:szCs w:val="20"/>
                <w:color w:val="auto"/>
              </w:rPr>
            </w:pPr>
            <w:r>
              <w:rPr>
                <w:rFonts w:ascii="Arial" w:cs="Arial" w:eastAsia="Arial" w:hAnsi="Arial"/>
                <w:sz w:val="18"/>
                <w:szCs w:val="18"/>
                <w:color w:val="auto"/>
                <w:w w:val="94"/>
              </w:rPr>
              <w:t>Second  Amended</w:t>
            </w:r>
          </w:p>
        </w:tc>
        <w:tc>
          <w:tcPr>
            <w:tcW w:w="480" w:type="dxa"/>
            <w:vAlign w:val="bottom"/>
          </w:tcPr>
          <w:p>
            <w:pPr>
              <w:ind w:left="140"/>
              <w:spacing w:after="0"/>
              <w:rPr>
                <w:sz w:val="20"/>
                <w:szCs w:val="20"/>
                <w:color w:val="auto"/>
              </w:rPr>
            </w:pPr>
            <w:r>
              <w:rPr>
                <w:rFonts w:ascii="Arial" w:cs="Arial" w:eastAsia="Arial" w:hAnsi="Arial"/>
                <w:sz w:val="18"/>
                <w:szCs w:val="18"/>
                <w:color w:val="auto"/>
              </w:rPr>
              <w:t>and</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Restated</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Guarantee</w:t>
            </w:r>
          </w:p>
        </w:tc>
        <w:tc>
          <w:tcPr>
            <w:tcW w:w="3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860" w:type="dxa"/>
            <w:vAlign w:val="bottom"/>
          </w:tcPr>
          <w:p>
            <w:pPr>
              <w:jc w:val="right"/>
              <w:spacing w:after="0"/>
              <w:rPr>
                <w:sz w:val="20"/>
                <w:szCs w:val="20"/>
                <w:color w:val="auto"/>
              </w:rPr>
            </w:pPr>
            <w:r>
              <w:rPr>
                <w:rFonts w:ascii="Arial" w:cs="Arial" w:eastAsia="Arial" w:hAnsi="Arial"/>
                <w:sz w:val="18"/>
                <w:szCs w:val="18"/>
                <w:color w:val="auto"/>
              </w:rPr>
              <w:t>Collateral</w:t>
            </w:r>
          </w:p>
        </w:tc>
      </w:tr>
      <w:tr>
        <w:trPr>
          <w:trHeight w:val="230"/>
        </w:trPr>
        <w:tc>
          <w:tcPr>
            <w:tcW w:w="900" w:type="dxa"/>
            <w:vAlign w:val="bottom"/>
          </w:tcPr>
          <w:p>
            <w:pPr>
              <w:spacing w:after="0"/>
              <w:rPr>
                <w:sz w:val="20"/>
                <w:szCs w:val="20"/>
                <w:color w:val="auto"/>
              </w:rPr>
            </w:pPr>
          </w:p>
        </w:tc>
        <w:tc>
          <w:tcPr>
            <w:tcW w:w="2000" w:type="dxa"/>
            <w:vAlign w:val="bottom"/>
          </w:tcPr>
          <w:p>
            <w:pPr>
              <w:ind w:left="580"/>
              <w:spacing w:after="0"/>
              <w:rPr>
                <w:sz w:val="20"/>
                <w:szCs w:val="20"/>
                <w:color w:val="auto"/>
              </w:rPr>
            </w:pPr>
            <w:r>
              <w:rPr>
                <w:rFonts w:ascii="Arial" w:cs="Arial" w:eastAsia="Arial" w:hAnsi="Arial"/>
                <w:sz w:val="18"/>
                <w:szCs w:val="18"/>
                <w:color w:val="auto"/>
                <w:w w:val="97"/>
              </w:rPr>
              <w:t>Agreement, dated</w:t>
            </w:r>
          </w:p>
        </w:tc>
        <w:tc>
          <w:tcPr>
            <w:tcW w:w="480" w:type="dxa"/>
            <w:vAlign w:val="bottom"/>
          </w:tcPr>
          <w:p>
            <w:pPr>
              <w:ind w:left="20"/>
              <w:spacing w:after="0"/>
              <w:rPr>
                <w:sz w:val="20"/>
                <w:szCs w:val="20"/>
                <w:color w:val="auto"/>
              </w:rPr>
            </w:pPr>
            <w:r>
              <w:rPr>
                <w:rFonts w:ascii="Arial" w:cs="Arial" w:eastAsia="Arial" w:hAnsi="Arial"/>
                <w:sz w:val="18"/>
                <w:szCs w:val="18"/>
                <w:color w:val="auto"/>
              </w:rPr>
              <w:t>as of</w:t>
            </w:r>
          </w:p>
        </w:tc>
        <w:tc>
          <w:tcPr>
            <w:tcW w:w="780" w:type="dxa"/>
            <w:vAlign w:val="bottom"/>
          </w:tcPr>
          <w:p>
            <w:pPr>
              <w:jc w:val="right"/>
              <w:spacing w:after="0"/>
              <w:rPr>
                <w:sz w:val="20"/>
                <w:szCs w:val="20"/>
                <w:color w:val="auto"/>
              </w:rPr>
            </w:pPr>
            <w:r>
              <w:rPr>
                <w:rFonts w:ascii="Arial" w:cs="Arial" w:eastAsia="Arial" w:hAnsi="Arial"/>
                <w:sz w:val="18"/>
                <w:szCs w:val="18"/>
                <w:color w:val="auto"/>
              </w:rPr>
              <w:t>June 30,</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2011, made</w:t>
            </w:r>
          </w:p>
        </w:tc>
        <w:tc>
          <w:tcPr>
            <w:tcW w:w="320" w:type="dxa"/>
            <w:vAlign w:val="bottom"/>
          </w:tcPr>
          <w:p>
            <w:pPr>
              <w:jc w:val="center"/>
              <w:spacing w:after="0"/>
              <w:rPr>
                <w:sz w:val="20"/>
                <w:szCs w:val="20"/>
                <w:color w:val="auto"/>
              </w:rPr>
            </w:pPr>
            <w:r>
              <w:rPr>
                <w:rFonts w:ascii="Arial" w:cs="Arial" w:eastAsia="Arial" w:hAnsi="Arial"/>
                <w:sz w:val="18"/>
                <w:szCs w:val="18"/>
                <w:color w:val="auto"/>
                <w:w w:val="94"/>
              </w:rPr>
              <w:t>by</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The Scotts</w:t>
            </w:r>
          </w:p>
        </w:tc>
      </w:tr>
    </w:tbl>
    <w:p>
      <w:pPr>
        <w:jc w:val="both"/>
        <w:ind w:left="1520"/>
        <w:spacing w:after="0" w:line="273" w:lineRule="auto"/>
        <w:rPr>
          <w:sz w:val="20"/>
          <w:szCs w:val="20"/>
          <w:color w:val="auto"/>
        </w:rPr>
      </w:pPr>
      <w:r>
        <w:rPr>
          <w:rFonts w:ascii="Arial" w:cs="Arial" w:eastAsia="Arial" w:hAnsi="Arial"/>
          <w:sz w:val="17"/>
          <w:szCs w:val="17"/>
          <w:color w:val="auto"/>
        </w:rPr>
        <w:t>Miracle-Gro Company, each domestic Subsidiary Borrower under the Second Amended and Restated Credit Agreement, and certain of its and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4.2]</w:t>
      </w:r>
    </w:p>
    <w:p>
      <w:pPr>
        <w:spacing w:after="0" w:line="947"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10.4(a)†</w:t>
            </w: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The Scotts Miracle-Gro Company Amended and Restated 1996</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Stock Option Plan (effective as of October 30, 2007)</w:t>
            </w:r>
          </w:p>
        </w:tc>
      </w:tr>
      <w:tr>
        <w:trPr>
          <w:trHeight w:val="593"/>
        </w:trPr>
        <w:tc>
          <w:tcPr>
            <w:tcW w:w="1120" w:type="dxa"/>
            <w:vAlign w:val="bottom"/>
          </w:tcPr>
          <w:p>
            <w:pPr>
              <w:spacing w:after="0"/>
              <w:rPr>
                <w:sz w:val="20"/>
                <w:szCs w:val="20"/>
                <w:color w:val="auto"/>
              </w:rPr>
            </w:pPr>
            <w:r>
              <w:rPr>
                <w:rFonts w:ascii="Arial" w:cs="Arial" w:eastAsia="Arial" w:hAnsi="Arial"/>
                <w:sz w:val="18"/>
                <w:szCs w:val="18"/>
                <w:color w:val="auto"/>
              </w:rPr>
              <w:t>10.4(b)†</w:t>
            </w:r>
          </w:p>
        </w:tc>
        <w:tc>
          <w:tcPr>
            <w:tcW w:w="5240" w:type="dxa"/>
            <w:vAlign w:val="bottom"/>
          </w:tcPr>
          <w:p>
            <w:pPr>
              <w:ind w:left="400"/>
              <w:spacing w:after="0"/>
              <w:rPr>
                <w:sz w:val="20"/>
                <w:szCs w:val="20"/>
                <w:color w:val="auto"/>
              </w:rPr>
            </w:pPr>
            <w:r>
              <w:rPr>
                <w:rFonts w:ascii="Arial" w:cs="Arial" w:eastAsia="Arial" w:hAnsi="Arial"/>
                <w:sz w:val="18"/>
                <w:szCs w:val="18"/>
                <w:color w:val="auto"/>
                <w:w w:val="99"/>
              </w:rPr>
              <w:t>Specimen form of Stock Option Agreement for Non-Qualified</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3"/>
              </w:rPr>
              <w:t>Stock Options granted to employees under The Scotts Company</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1996 Stock Option Plan (now known as The Scotts Miracle-Gro</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Company Amended and Restated 1996 Stock Option Plan)</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10.5(a)†</w:t>
            </w: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The Scotts Miracle-Gro Company Amended and Restated 2003</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Stock  Option  and  Incentive  Equity  Plan  (effective  as  of</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October 30, 2007)</w:t>
            </w:r>
          </w:p>
        </w:tc>
      </w:tr>
      <w:tr>
        <w:trPr>
          <w:trHeight w:val="377"/>
        </w:trPr>
        <w:tc>
          <w:tcPr>
            <w:tcW w:w="1120" w:type="dxa"/>
            <w:vAlign w:val="bottom"/>
          </w:tcPr>
          <w:p>
            <w:pPr>
              <w:ind w:left="40"/>
              <w:spacing w:after="0"/>
              <w:rPr>
                <w:sz w:val="20"/>
                <w:szCs w:val="20"/>
                <w:color w:val="auto"/>
              </w:rPr>
            </w:pPr>
            <w:r>
              <w:rPr>
                <w:rFonts w:ascii="Arial" w:cs="Arial" w:eastAsia="Arial" w:hAnsi="Arial"/>
                <w:sz w:val="18"/>
                <w:szCs w:val="18"/>
                <w:color w:val="auto"/>
              </w:rPr>
              <w:t>10.5(b)(i)</w:t>
            </w:r>
          </w:p>
        </w:tc>
        <w:tc>
          <w:tcPr>
            <w:tcW w:w="5240" w:type="dxa"/>
            <w:vAlign w:val="bottom"/>
          </w:tcPr>
          <w:p>
            <w:pPr>
              <w:ind w:left="400"/>
              <w:spacing w:after="0"/>
              <w:rPr>
                <w:sz w:val="20"/>
                <w:szCs w:val="20"/>
                <w:color w:val="auto"/>
              </w:rPr>
            </w:pPr>
            <w:r>
              <w:rPr>
                <w:rFonts w:ascii="Arial" w:cs="Arial" w:eastAsia="Arial" w:hAnsi="Arial"/>
                <w:sz w:val="18"/>
                <w:szCs w:val="18"/>
                <w:color w:val="auto"/>
                <w:w w:val="96"/>
              </w:rPr>
              <w:t>Specimen  form  of  Award  Agreement  for  Directors  used  to</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evidence grants of Nonqualified Stock Options made under The</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Scotts Company 2003 Stock Option and Incentive Equity Plan</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4"/>
              </w:rPr>
              <w:t>(now known as The Scotts Miracle-Gro Company Amended and</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8"/>
              </w:rPr>
              <w:t>Restated 2003 Stock Option and Incentive Equity Plan) [2003</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version]</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10(d)(4)]</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10.7]</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10(j)(3)]</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10.9]</w:t>
      </w:r>
    </w:p>
    <w:p>
      <w:pPr>
        <w:spacing w:after="0" w:line="827"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00"/>
          </w:cols>
          <w:pgMar w:left="240" w:top="121" w:right="259" w:bottom="1440" w:gutter="0" w:footer="0" w:header="0"/>
          <w:type w:val="continuous"/>
        </w:sectPr>
      </w:pPr>
    </w:p>
    <w:bookmarkStart w:id="110" w:name="page111"/>
    <w:bookmarkEnd w:id="110"/>
    <w:p>
      <w:pPr>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10.5(b)(ii)</w:t>
            </w:r>
          </w:p>
        </w:tc>
        <w:tc>
          <w:tcPr>
            <w:tcW w:w="5180" w:type="dxa"/>
            <w:vAlign w:val="bottom"/>
          </w:tcPr>
          <w:p>
            <w:pPr>
              <w:ind w:left="360"/>
              <w:spacing w:after="0"/>
              <w:rPr>
                <w:sz w:val="20"/>
                <w:szCs w:val="20"/>
                <w:color w:val="auto"/>
              </w:rPr>
            </w:pPr>
            <w:r>
              <w:rPr>
                <w:rFonts w:ascii="Arial" w:cs="Arial" w:eastAsia="Arial" w:hAnsi="Arial"/>
                <w:sz w:val="18"/>
                <w:szCs w:val="18"/>
                <w:color w:val="auto"/>
                <w:w w:val="96"/>
              </w:rPr>
              <w:t>Specimen  form  of  Award  Agreement  for  Directors  used  to</w:t>
            </w:r>
          </w:p>
        </w:tc>
      </w:tr>
      <w:tr>
        <w:trPr>
          <w:trHeight w:val="216"/>
        </w:trPr>
        <w:tc>
          <w:tcPr>
            <w:tcW w:w="11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4"/>
              </w:rPr>
              <w:t>evidence grants of Nonqualified Stock Options made under The</w:t>
            </w:r>
          </w:p>
        </w:tc>
      </w:tr>
      <w:tr>
        <w:trPr>
          <w:trHeight w:val="230"/>
        </w:trPr>
        <w:tc>
          <w:tcPr>
            <w:tcW w:w="112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6"/>
              </w:rPr>
              <w:t>Scotts Miracle-Gro Company 2003 Stock Option and Incentive</w:t>
            </w:r>
          </w:p>
        </w:tc>
      </w:tr>
    </w:tbl>
    <w:p>
      <w:pPr>
        <w:jc w:val="both"/>
        <w:ind w:left="1520"/>
        <w:spacing w:after="0" w:line="255" w:lineRule="auto"/>
        <w:rPr>
          <w:sz w:val="20"/>
          <w:szCs w:val="20"/>
          <w:color w:val="auto"/>
        </w:rPr>
      </w:pPr>
      <w:r>
        <w:rPr>
          <w:rFonts w:ascii="Arial" w:cs="Arial" w:eastAsia="Arial" w:hAnsi="Arial"/>
          <w:sz w:val="18"/>
          <w:szCs w:val="18"/>
          <w:color w:val="auto"/>
        </w:rPr>
        <w:t>Equity Plan (now known as The Scotts Miracle-Gro Company Amended and Restated 2003 Stock Option and Incentive Equity Plan) [post-2003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10(v)]</w:t>
      </w:r>
    </w:p>
    <w:p>
      <w:pPr>
        <w:spacing w:after="0" w:line="789"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10.5(c)(i)†</w:t>
            </w:r>
          </w:p>
        </w:tc>
        <w:tc>
          <w:tcPr>
            <w:tcW w:w="5180" w:type="dxa"/>
            <w:vAlign w:val="bottom"/>
          </w:tcPr>
          <w:p>
            <w:pPr>
              <w:ind w:left="360"/>
              <w:spacing w:after="0"/>
              <w:rPr>
                <w:sz w:val="20"/>
                <w:szCs w:val="20"/>
                <w:color w:val="auto"/>
              </w:rPr>
            </w:pPr>
            <w:r>
              <w:rPr>
                <w:rFonts w:ascii="Arial" w:cs="Arial" w:eastAsia="Arial" w:hAnsi="Arial"/>
                <w:sz w:val="18"/>
                <w:szCs w:val="18"/>
                <w:color w:val="auto"/>
                <w:w w:val="98"/>
              </w:rPr>
              <w:t>Specimen form of Award Agreement for Nondirectors used to</w:t>
            </w:r>
          </w:p>
        </w:tc>
      </w:tr>
      <w:tr>
        <w:trPr>
          <w:trHeight w:val="216"/>
        </w:trPr>
        <w:tc>
          <w:tcPr>
            <w:tcW w:w="116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5"/>
              </w:rPr>
              <w:t>evidence grants of Incentive Stock Options, Nonqualified Stock</w:t>
            </w:r>
          </w:p>
        </w:tc>
      </w:tr>
      <w:tr>
        <w:trPr>
          <w:trHeight w:val="216"/>
        </w:trPr>
        <w:tc>
          <w:tcPr>
            <w:tcW w:w="116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9"/>
              </w:rPr>
              <w:t>Options,  Stock  Appreciation  Rights,  Restricted  Stock  and</w:t>
            </w:r>
          </w:p>
        </w:tc>
      </w:tr>
      <w:tr>
        <w:trPr>
          <w:trHeight w:val="230"/>
        </w:trPr>
        <w:tc>
          <w:tcPr>
            <w:tcW w:w="116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1"/>
              </w:rPr>
              <w:t>Performance Stock made under The Scotts Company 2003 Stock</w:t>
            </w:r>
          </w:p>
        </w:tc>
      </w:tr>
    </w:tbl>
    <w:p>
      <w:pPr>
        <w:jc w:val="both"/>
        <w:ind w:left="1520"/>
        <w:spacing w:after="0" w:line="302" w:lineRule="auto"/>
        <w:rPr>
          <w:sz w:val="20"/>
          <w:szCs w:val="20"/>
          <w:color w:val="auto"/>
        </w:rPr>
      </w:pPr>
      <w:r>
        <w:rPr>
          <w:rFonts w:ascii="Arial" w:cs="Arial" w:eastAsia="Arial" w:hAnsi="Arial"/>
          <w:sz w:val="16"/>
          <w:szCs w:val="16"/>
          <w:color w:val="auto"/>
        </w:rPr>
        <w:t>Option and Incentive Equity Plan (now known as The Scotts Miracle-Gro Company Amended and Restated 2003 Stock Option and Incentive Equity Plan) [pre-December 1, 2004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10.8]</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10.5(c)(ii)†</w:t>
      </w:r>
      <w:r>
        <w:rPr>
          <w:sz w:val="20"/>
          <w:szCs w:val="20"/>
          <w:color w:val="auto"/>
        </w:rPr>
        <w:tab/>
      </w:r>
      <w:r>
        <w:rPr>
          <w:rFonts w:ascii="Arial" w:cs="Arial" w:eastAsia="Arial" w:hAnsi="Arial"/>
          <w:sz w:val="17"/>
          <w:szCs w:val="17"/>
          <w:color w:val="auto"/>
        </w:rPr>
        <w:t>Specimen form of Award Agreement for Nondirectors used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evidence grants of Incentive Stock Options, Nonqualified Stock</w:t>
      </w:r>
    </w:p>
    <w:p>
      <w:pPr>
        <w:spacing w:after="0" w:line="21" w:lineRule="exact"/>
        <w:rPr>
          <w:sz w:val="20"/>
          <w:szCs w:val="20"/>
          <w:color w:val="auto"/>
        </w:rPr>
      </w:pPr>
    </w:p>
    <w:p>
      <w:pPr>
        <w:ind w:left="1520"/>
        <w:spacing w:after="0"/>
        <w:tabs>
          <w:tab w:leader="none" w:pos="2280" w:val="left"/>
          <w:tab w:leader="none" w:pos="2840" w:val="left"/>
          <w:tab w:leader="none" w:pos="3940" w:val="left"/>
          <w:tab w:leader="none" w:pos="4620" w:val="left"/>
          <w:tab w:leader="none" w:pos="5500" w:val="left"/>
          <w:tab w:leader="none" w:pos="6060" w:val="left"/>
        </w:tabs>
        <w:rPr>
          <w:sz w:val="20"/>
          <w:szCs w:val="20"/>
          <w:color w:val="auto"/>
        </w:rPr>
      </w:pPr>
      <w:r>
        <w:rPr>
          <w:rFonts w:ascii="Arial" w:cs="Arial" w:eastAsia="Arial" w:hAnsi="Arial"/>
          <w:sz w:val="18"/>
          <w:szCs w:val="18"/>
          <w:color w:val="auto"/>
        </w:rPr>
        <w:t>Options,</w:t>
        <w:tab/>
        <w:t>Stock</w:t>
        <w:tab/>
        <w:t>Appreciation</w:t>
        <w:tab/>
        <w:t>Rights,</w:t>
        <w:tab/>
        <w:t>Restricted</w:t>
        <w:tab/>
        <w:t>Stock</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Performance Shares made under The Scotts Miracle-Gro Company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2003 Stock Option and Incentive Equity Plan (now known as The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Scotts Miracle-Gro Company Amended and Restated 2003 Stock</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Option and Incentive Equity Plan) [effective December 1, 2004]</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10(u)]</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10.6(a)(i)†</w:t>
            </w:r>
          </w:p>
        </w:tc>
        <w:tc>
          <w:tcPr>
            <w:tcW w:w="5180" w:type="dxa"/>
            <w:vAlign w:val="bottom"/>
          </w:tcPr>
          <w:p>
            <w:pPr>
              <w:ind w:left="340"/>
              <w:spacing w:after="0"/>
              <w:rPr>
                <w:sz w:val="20"/>
                <w:szCs w:val="20"/>
                <w:color w:val="auto"/>
              </w:rPr>
            </w:pPr>
            <w:r>
              <w:rPr>
                <w:rFonts w:ascii="Arial" w:cs="Arial" w:eastAsia="Arial" w:hAnsi="Arial"/>
                <w:sz w:val="18"/>
                <w:szCs w:val="18"/>
                <w:color w:val="auto"/>
                <w:w w:val="95"/>
              </w:rPr>
              <w:t>The Scotts Miracle-Gro Company Amended and Restated 2006</w:t>
            </w:r>
          </w:p>
        </w:tc>
      </w:tr>
      <w:tr>
        <w:trPr>
          <w:trHeight w:val="230"/>
        </w:trPr>
        <w:tc>
          <w:tcPr>
            <w:tcW w:w="118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Long-Term Incentive Plan (effective as of October 30, 2007)</w:t>
            </w:r>
          </w:p>
        </w:tc>
      </w:tr>
      <w:tr>
        <w:trPr>
          <w:trHeight w:val="593"/>
        </w:trPr>
        <w:tc>
          <w:tcPr>
            <w:tcW w:w="1180" w:type="dxa"/>
            <w:vAlign w:val="bottom"/>
          </w:tcPr>
          <w:p>
            <w:pPr>
              <w:spacing w:after="0"/>
              <w:rPr>
                <w:sz w:val="20"/>
                <w:szCs w:val="20"/>
                <w:color w:val="auto"/>
              </w:rPr>
            </w:pPr>
            <w:r>
              <w:rPr>
                <w:rFonts w:ascii="Arial" w:cs="Arial" w:eastAsia="Arial" w:hAnsi="Arial"/>
                <w:sz w:val="18"/>
                <w:szCs w:val="18"/>
                <w:color w:val="auto"/>
              </w:rPr>
              <w:t>10.6(a)(ii)†</w:t>
            </w:r>
          </w:p>
        </w:tc>
        <w:tc>
          <w:tcPr>
            <w:tcW w:w="5180" w:type="dxa"/>
            <w:vAlign w:val="bottom"/>
          </w:tcPr>
          <w:p>
            <w:pPr>
              <w:ind w:left="340"/>
              <w:spacing w:after="0"/>
              <w:rPr>
                <w:sz w:val="20"/>
                <w:szCs w:val="20"/>
                <w:color w:val="auto"/>
              </w:rPr>
            </w:pPr>
            <w:r>
              <w:rPr>
                <w:rFonts w:ascii="Arial" w:cs="Arial" w:eastAsia="Arial" w:hAnsi="Arial"/>
                <w:sz w:val="18"/>
                <w:szCs w:val="18"/>
                <w:color w:val="auto"/>
                <w:w w:val="94"/>
              </w:rPr>
              <w:t>First Amendment to The Scotts Miracle-Gro Company Amended</w:t>
            </w:r>
          </w:p>
        </w:tc>
      </w:tr>
      <w:tr>
        <w:trPr>
          <w:trHeight w:val="216"/>
        </w:trPr>
        <w:tc>
          <w:tcPr>
            <w:tcW w:w="118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9"/>
              </w:rPr>
              <w:t>and Restated 2006 Long-Term Incentive Plan (effective as of</w:t>
            </w:r>
          </w:p>
        </w:tc>
      </w:tr>
      <w:tr>
        <w:trPr>
          <w:trHeight w:val="230"/>
        </w:trPr>
        <w:tc>
          <w:tcPr>
            <w:tcW w:w="118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January 20, 2010)</w:t>
            </w:r>
          </w:p>
        </w:tc>
      </w:tr>
      <w:tr>
        <w:trPr>
          <w:trHeight w:val="377"/>
        </w:trPr>
        <w:tc>
          <w:tcPr>
            <w:tcW w:w="1180" w:type="dxa"/>
            <w:vAlign w:val="bottom"/>
          </w:tcPr>
          <w:p>
            <w:pPr>
              <w:ind w:left="40"/>
              <w:spacing w:after="0"/>
              <w:rPr>
                <w:sz w:val="20"/>
                <w:szCs w:val="20"/>
                <w:color w:val="auto"/>
              </w:rPr>
            </w:pPr>
            <w:r>
              <w:rPr>
                <w:rFonts w:ascii="Arial" w:cs="Arial" w:eastAsia="Arial" w:hAnsi="Arial"/>
                <w:sz w:val="18"/>
                <w:szCs w:val="18"/>
                <w:color w:val="auto"/>
              </w:rPr>
              <w:t>10.6(b)</w:t>
            </w:r>
          </w:p>
        </w:tc>
        <w:tc>
          <w:tcPr>
            <w:tcW w:w="5180" w:type="dxa"/>
            <w:vAlign w:val="bottom"/>
          </w:tcPr>
          <w:p>
            <w:pPr>
              <w:ind w:left="340"/>
              <w:spacing w:after="0"/>
              <w:rPr>
                <w:sz w:val="20"/>
                <w:szCs w:val="20"/>
                <w:color w:val="auto"/>
              </w:rPr>
            </w:pPr>
            <w:r>
              <w:rPr>
                <w:rFonts w:ascii="Arial" w:cs="Arial" w:eastAsia="Arial" w:hAnsi="Arial"/>
                <w:sz w:val="18"/>
                <w:szCs w:val="18"/>
                <w:color w:val="auto"/>
                <w:w w:val="94"/>
              </w:rPr>
              <w:t>Specimen form of Award Agreement for Nonemployee Directors</w:t>
            </w:r>
          </w:p>
        </w:tc>
      </w:tr>
      <w:tr>
        <w:trPr>
          <w:trHeight w:val="216"/>
        </w:trPr>
        <w:tc>
          <w:tcPr>
            <w:tcW w:w="118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5"/>
              </w:rPr>
              <w:t>used  to  evidence  grants  of  Time-Based  Nonqualified  Stock</w:t>
            </w:r>
          </w:p>
        </w:tc>
      </w:tr>
      <w:tr>
        <w:trPr>
          <w:trHeight w:val="216"/>
        </w:trPr>
        <w:tc>
          <w:tcPr>
            <w:tcW w:w="118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Options which may be made under The Scotts Miracle-Gro</w:t>
            </w:r>
          </w:p>
        </w:tc>
      </w:tr>
      <w:tr>
        <w:trPr>
          <w:trHeight w:val="216"/>
        </w:trPr>
        <w:tc>
          <w:tcPr>
            <w:tcW w:w="118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7"/>
              </w:rPr>
              <w:t>Company 2006 Long-Term Incentive Plan (now known as The</w:t>
            </w:r>
          </w:p>
        </w:tc>
      </w:tr>
      <w:tr>
        <w:trPr>
          <w:trHeight w:val="216"/>
        </w:trPr>
        <w:tc>
          <w:tcPr>
            <w:tcW w:w="118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2"/>
              </w:rPr>
              <w:t>Scotts Miracle-Gro Company Amended and Restated 2006 Long-</w:t>
            </w:r>
          </w:p>
        </w:tc>
      </w:tr>
      <w:tr>
        <w:trPr>
          <w:trHeight w:val="230"/>
        </w:trPr>
        <w:tc>
          <w:tcPr>
            <w:tcW w:w="118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Term Incentive Plan)</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10(r)(2)]</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3, 2010 (File No. 1-11593) [Exhibit 10.1]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1-11593) [Exhibit 10.3]</w:t>
      </w:r>
    </w:p>
    <w:p>
      <w:pPr>
        <w:spacing w:after="0" w:line="78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10.6(c)(i)</w:t>
            </w:r>
          </w:p>
        </w:tc>
        <w:tc>
          <w:tcPr>
            <w:tcW w:w="5240" w:type="dxa"/>
            <w:vAlign w:val="bottom"/>
          </w:tcPr>
          <w:p>
            <w:pPr>
              <w:ind w:left="40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0"/>
              </w:rPr>
              <w:t>to evidence grants of Deferred Stock Units made under The Scotts</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4"/>
              </w:rPr>
              <w:t>Miracle-Gro Company Amended and Restated 2006 Long-Term</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Incentive Plan (February 4, 2008 through January 22, 2009</w:t>
            </w:r>
          </w:p>
        </w:tc>
      </w:tr>
      <w:tr>
        <w:trPr>
          <w:trHeight w:val="230"/>
        </w:trPr>
        <w:tc>
          <w:tcPr>
            <w:tcW w:w="108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version)</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1-11593) [Exhibit 10(m)]</w:t>
      </w:r>
    </w:p>
    <w:p>
      <w:pPr>
        <w:spacing w:after="0" w:line="78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10.6(c)(ii)</w:t>
            </w:r>
          </w:p>
        </w:tc>
        <w:tc>
          <w:tcPr>
            <w:tcW w:w="5200" w:type="dxa"/>
            <w:vAlign w:val="bottom"/>
          </w:tcPr>
          <w:p>
            <w:pPr>
              <w:ind w:left="38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3"/>
              </w:rPr>
              <w:t>under The Scotts Miracle-Gro Company Amended and Restated</w:t>
            </w:r>
          </w:p>
        </w:tc>
      </w:tr>
      <w:tr>
        <w:trPr>
          <w:trHeight w:val="216"/>
        </w:trPr>
        <w:tc>
          <w:tcPr>
            <w:tcW w:w="11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5"/>
              </w:rPr>
              <w:t>2006  Long-Term  Incentive  Plan  (January  23,  2009  through</w:t>
            </w:r>
          </w:p>
        </w:tc>
      </w:tr>
      <w:tr>
        <w:trPr>
          <w:trHeight w:val="230"/>
        </w:trPr>
        <w:tc>
          <w:tcPr>
            <w:tcW w:w="1100" w:type="dxa"/>
            <w:vAlign w:val="bottom"/>
          </w:tcPr>
          <w:p>
            <w:pPr>
              <w:spacing w:after="0"/>
              <w:rPr>
                <w:sz w:val="20"/>
                <w:szCs w:val="20"/>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January 19, 2012)</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2009 (File No. 1-11593) [Exhibit 10.1]</w:t>
      </w:r>
    </w:p>
    <w:p>
      <w:pPr>
        <w:spacing w:after="0" w:line="788"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10.6(c)(iii)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Nonemployee Directors (with Related Dividend Equivalents) used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to evidence grants of Deferred Stock Units which may be made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under The Scotts Miracle-Gro Company Amended and Restated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2006 Long-Term Incentive Plan (post-January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10.4]</w:t>
      </w:r>
    </w:p>
    <w:p>
      <w:pPr>
        <w:spacing w:after="0" w:line="591"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00"/>
          </w:cols>
          <w:pgMar w:left="240" w:top="121" w:right="259" w:bottom="1440" w:gutter="0" w:footer="0" w:header="0"/>
          <w:type w:val="continuous"/>
        </w:sectPr>
      </w:pPr>
    </w:p>
    <w:bookmarkStart w:id="111" w:name="page112"/>
    <w:bookmarkEnd w:id="111"/>
    <w:p>
      <w:pPr>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10.6(c)(iv)</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4"/>
              </w:rPr>
              <w:t>to evidence grants of Deferred Stock Units made on January 20,</w:t>
            </w:r>
          </w:p>
        </w:tc>
      </w:tr>
      <w:tr>
        <w:trPr>
          <w:trHeight w:val="230"/>
        </w:trPr>
        <w:tc>
          <w:tcPr>
            <w:tcW w:w="112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3"/>
              </w:rPr>
              <w:t>2012 to Adam Hanft and William G. Jurgensen under The Scotts</w:t>
            </w:r>
          </w:p>
        </w:tc>
      </w:tr>
    </w:tbl>
    <w:p>
      <w:pPr>
        <w:ind w:left="1520" w:right="20"/>
        <w:spacing w:after="0" w:line="261" w:lineRule="auto"/>
        <w:rPr>
          <w:sz w:val="20"/>
          <w:szCs w:val="20"/>
          <w:color w:val="auto"/>
        </w:rPr>
      </w:pPr>
      <w:r>
        <w:rPr>
          <w:rFonts w:ascii="Arial" w:cs="Arial" w:eastAsia="Arial" w:hAnsi="Arial"/>
          <w:sz w:val="18"/>
          <w:szCs w:val="18"/>
          <w:color w:val="auto"/>
        </w:rPr>
        <w:t>Miracle-Gro Company Amended and Restated Long-Term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10.5]</w:t>
      </w:r>
    </w:p>
    <w:p>
      <w:pPr>
        <w:spacing w:after="0" w:line="802"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10.6(d)(i)</w:t>
            </w:r>
          </w:p>
        </w:tc>
        <w:tc>
          <w:tcPr>
            <w:tcW w:w="5240" w:type="dxa"/>
            <w:vAlign w:val="bottom"/>
          </w:tcPr>
          <w:p>
            <w:pPr>
              <w:ind w:left="40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30"/>
        </w:trPr>
        <w:tc>
          <w:tcPr>
            <w:tcW w:w="108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0"/>
              </w:rPr>
              <w:t>to evidence grants of Deferred Stock Units made under The Scotts</w:t>
            </w:r>
          </w:p>
        </w:tc>
      </w:tr>
    </w:tbl>
    <w:p>
      <w:pPr>
        <w:jc w:val="both"/>
        <w:ind w:left="1520" w:right="20"/>
        <w:spacing w:after="0" w:line="255" w:lineRule="auto"/>
        <w:rPr>
          <w:sz w:val="20"/>
          <w:szCs w:val="20"/>
          <w:color w:val="auto"/>
        </w:rPr>
      </w:pPr>
      <w:r>
        <w:rPr>
          <w:rFonts w:ascii="Arial" w:cs="Arial" w:eastAsia="Arial" w:hAnsi="Arial"/>
          <w:sz w:val="18"/>
          <w:szCs w:val="18"/>
          <w:color w:val="auto"/>
        </w:rPr>
        <w:t>Miracle-Gro Company Amended and Restated 2006 Long-Term Incentive Plan (Deferral of Cash Retainer — January 22, 2010 through January 20, 2011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10.1]</w:t>
      </w:r>
    </w:p>
    <w:p>
      <w:pPr>
        <w:spacing w:after="0" w:line="789"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10.6(d)(ii)</w:t>
            </w:r>
          </w:p>
        </w:tc>
        <w:tc>
          <w:tcPr>
            <w:tcW w:w="518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30"/>
        </w:trPr>
        <w:tc>
          <w:tcPr>
            <w:tcW w:w="112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3"/>
              </w:rPr>
              <w:t>under The Scotts Miracle-Gro Company Amended and Restated</w:t>
            </w:r>
          </w:p>
        </w:tc>
      </w:tr>
    </w:tbl>
    <w:p>
      <w:pPr>
        <w:ind w:left="1520"/>
        <w:spacing w:after="0" w:line="261" w:lineRule="auto"/>
        <w:rPr>
          <w:sz w:val="20"/>
          <w:szCs w:val="20"/>
          <w:color w:val="auto"/>
        </w:rPr>
      </w:pPr>
      <w:r>
        <w:rPr>
          <w:rFonts w:ascii="Arial" w:cs="Arial" w:eastAsia="Arial" w:hAnsi="Arial"/>
          <w:sz w:val="18"/>
          <w:szCs w:val="18"/>
          <w:color w:val="auto"/>
        </w:rPr>
        <w:t>2006 Long-Term Incentive Plan (Deferral of Cash Retainer — January 21, 2011 through January 19, 2012)</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10.4]</w:t>
      </w:r>
    </w:p>
    <w:p>
      <w:pPr>
        <w:spacing w:after="0" w:line="788" w:lineRule="exact"/>
        <w:rPr>
          <w:sz w:val="20"/>
          <w:szCs w:val="20"/>
          <w:color w:val="auto"/>
        </w:rPr>
      </w:pPr>
    </w:p>
    <w:p>
      <w:pPr>
        <w:sectPr>
          <w:pgSz w:w="11900" w:h="16838" w:orient="portrait"/>
          <w:cols w:equalWidth="0" w:num="2">
            <w:col w:w="6340" w:space="200"/>
            <w:col w:w="4860"/>
          </w:cols>
          <w:pgMar w:left="240" w:top="122"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10.6(d)(iii)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Nonemployee Directors (with Related Dividend Equivalents) used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to evidence grants of Deferred Stock Units which may be made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under The Scotts Miracle-Gro Company Amended and Restated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2006 Long-Term Incentive Plan (Deferral of Cash Retainer - post-</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10.6]</w:t>
      </w:r>
    </w:p>
    <w:p>
      <w:pPr>
        <w:spacing w:after="0" w:line="802" w:lineRule="exact"/>
        <w:rPr>
          <w:sz w:val="20"/>
          <w:szCs w:val="20"/>
          <w:color w:val="auto"/>
        </w:rPr>
      </w:pPr>
    </w:p>
    <w:p>
      <w:pPr>
        <w:sectPr>
          <w:pgSz w:w="11900" w:h="16838" w:orient="portrait"/>
          <w:cols w:equalWidth="0" w:num="2">
            <w:col w:w="6340" w:space="200"/>
            <w:col w:w="4860"/>
          </w:cols>
          <w:pgMar w:left="240" w:top="122"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10.6(e)†</w:t>
            </w:r>
          </w:p>
        </w:tc>
        <w:tc>
          <w:tcPr>
            <w:tcW w:w="5300" w:type="dxa"/>
            <w:vAlign w:val="bottom"/>
          </w:tcPr>
          <w:p>
            <w:pPr>
              <w:ind w:left="460"/>
              <w:spacing w:after="0"/>
              <w:rPr>
                <w:sz w:val="20"/>
                <w:szCs w:val="20"/>
                <w:color w:val="auto"/>
              </w:rPr>
            </w:pPr>
            <w:r>
              <w:rPr>
                <w:rFonts w:ascii="Arial" w:cs="Arial" w:eastAsia="Arial" w:hAnsi="Arial"/>
                <w:sz w:val="18"/>
                <w:szCs w:val="18"/>
                <w:color w:val="auto"/>
                <w:w w:val="95"/>
              </w:rPr>
              <w:t>Specimen form of Award Agreement used to evidence grants of</w:t>
            </w:r>
          </w:p>
        </w:tc>
      </w:tr>
      <w:tr>
        <w:trPr>
          <w:trHeight w:val="230"/>
        </w:trPr>
        <w:tc>
          <w:tcPr>
            <w:tcW w:w="106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4"/>
              </w:rPr>
              <w:t>Restricted Stock Units, Performance Shares, Nonqualified Stock</w:t>
            </w:r>
          </w:p>
        </w:tc>
      </w:tr>
    </w:tbl>
    <w:p>
      <w:pPr>
        <w:jc w:val="both"/>
        <w:ind w:left="1520" w:right="20"/>
        <w:spacing w:after="0" w:line="271" w:lineRule="auto"/>
        <w:rPr>
          <w:sz w:val="20"/>
          <w:szCs w:val="20"/>
          <w:color w:val="auto"/>
        </w:rPr>
      </w:pPr>
      <w:r>
        <w:rPr>
          <w:rFonts w:ascii="Arial" w:cs="Arial" w:eastAsia="Arial" w:hAnsi="Arial"/>
          <w:sz w:val="17"/>
          <w:szCs w:val="17"/>
          <w:color w:val="auto"/>
        </w:rPr>
        <w:t>Options, Incentive Stock Options, Restricted Stock and Stock Appreciation Rights made under The Scotts Miracle-Gro Company 2006 Long-Term Incentive Plan (now known as The Scotts Miracle-Gro Company Amended and Restated 2006 Long-Term Incentive Plan) [pre-October 30, 2007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1-11593) [Exhibit 10(b)]</w:t>
      </w:r>
    </w:p>
    <w:p>
      <w:pPr>
        <w:spacing w:after="0" w:line="1005"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10.6(f)(i)†</w:t>
            </w:r>
          </w:p>
        </w:tc>
        <w:tc>
          <w:tcPr>
            <w:tcW w:w="5220" w:type="dxa"/>
            <w:vAlign w:val="bottom"/>
          </w:tcPr>
          <w:p>
            <w:pPr>
              <w:ind w:left="380"/>
              <w:spacing w:after="0"/>
              <w:rPr>
                <w:sz w:val="20"/>
                <w:szCs w:val="20"/>
                <w:color w:val="auto"/>
              </w:rPr>
            </w:pPr>
            <w:r>
              <w:rPr>
                <w:rFonts w:ascii="Arial" w:cs="Arial" w:eastAsia="Arial" w:hAnsi="Arial"/>
                <w:sz w:val="18"/>
                <w:szCs w:val="18"/>
                <w:color w:val="auto"/>
                <w:w w:val="98"/>
              </w:rPr>
              <w:t>Specimen form of Restricted Stock Unit Award Agreement for</w:t>
            </w:r>
          </w:p>
        </w:tc>
      </w:tr>
      <w:tr>
        <w:trPr>
          <w:trHeight w:val="216"/>
        </w:trPr>
        <w:tc>
          <w:tcPr>
            <w:tcW w:w="1140" w:type="dxa"/>
            <w:vAlign w:val="bottom"/>
          </w:tcPr>
          <w:p>
            <w:pPr>
              <w:spacing w:after="0"/>
              <w:rPr>
                <w:sz w:val="18"/>
                <w:szCs w:val="18"/>
                <w:color w:val="auto"/>
              </w:rPr>
            </w:pPr>
          </w:p>
        </w:tc>
        <w:tc>
          <w:tcPr>
            <w:tcW w:w="5220" w:type="dxa"/>
            <w:vAlign w:val="bottom"/>
          </w:tcPr>
          <w:p>
            <w:pPr>
              <w:ind w:left="380"/>
              <w:spacing w:after="0"/>
              <w:rPr>
                <w:sz w:val="20"/>
                <w:szCs w:val="20"/>
                <w:color w:val="auto"/>
              </w:rPr>
            </w:pPr>
            <w:r>
              <w:rPr>
                <w:rFonts w:ascii="Arial" w:cs="Arial" w:eastAsia="Arial" w:hAnsi="Arial"/>
                <w:sz w:val="18"/>
                <w:szCs w:val="18"/>
                <w:color w:val="auto"/>
                <w:w w:val="92"/>
              </w:rPr>
              <w:t>Employees (with Related Dividend Equivalents) used to evidence</w:t>
            </w:r>
          </w:p>
        </w:tc>
      </w:tr>
      <w:tr>
        <w:trPr>
          <w:trHeight w:val="216"/>
        </w:trPr>
        <w:tc>
          <w:tcPr>
            <w:tcW w:w="1140" w:type="dxa"/>
            <w:vAlign w:val="bottom"/>
          </w:tcPr>
          <w:p>
            <w:pPr>
              <w:spacing w:after="0"/>
              <w:rPr>
                <w:sz w:val="18"/>
                <w:szCs w:val="18"/>
                <w:color w:val="auto"/>
              </w:rPr>
            </w:pPr>
          </w:p>
        </w:tc>
        <w:tc>
          <w:tcPr>
            <w:tcW w:w="5220" w:type="dxa"/>
            <w:vAlign w:val="bottom"/>
          </w:tcPr>
          <w:p>
            <w:pPr>
              <w:ind w:left="380"/>
              <w:spacing w:after="0"/>
              <w:rPr>
                <w:sz w:val="20"/>
                <w:szCs w:val="20"/>
                <w:color w:val="auto"/>
              </w:rPr>
            </w:pPr>
            <w:r>
              <w:rPr>
                <w:rFonts w:ascii="Arial" w:cs="Arial" w:eastAsia="Arial" w:hAnsi="Arial"/>
                <w:sz w:val="18"/>
                <w:szCs w:val="18"/>
                <w:color w:val="auto"/>
                <w:w w:val="95"/>
              </w:rPr>
              <w:t>grants of Restricted Stock Units which may be made under The</w:t>
            </w:r>
          </w:p>
        </w:tc>
      </w:tr>
      <w:tr>
        <w:trPr>
          <w:trHeight w:val="216"/>
        </w:trPr>
        <w:tc>
          <w:tcPr>
            <w:tcW w:w="1140" w:type="dxa"/>
            <w:vAlign w:val="bottom"/>
          </w:tcPr>
          <w:p>
            <w:pPr>
              <w:spacing w:after="0"/>
              <w:rPr>
                <w:sz w:val="18"/>
                <w:szCs w:val="18"/>
                <w:color w:val="auto"/>
              </w:rPr>
            </w:pPr>
          </w:p>
        </w:tc>
        <w:tc>
          <w:tcPr>
            <w:tcW w:w="5220" w:type="dxa"/>
            <w:vAlign w:val="bottom"/>
          </w:tcPr>
          <w:p>
            <w:pPr>
              <w:ind w:left="380"/>
              <w:spacing w:after="0"/>
              <w:rPr>
                <w:sz w:val="20"/>
                <w:szCs w:val="20"/>
                <w:color w:val="auto"/>
              </w:rPr>
            </w:pPr>
            <w:r>
              <w:rPr>
                <w:rFonts w:ascii="Arial" w:cs="Arial" w:eastAsia="Arial" w:hAnsi="Arial"/>
                <w:sz w:val="18"/>
                <w:szCs w:val="18"/>
                <w:color w:val="auto"/>
                <w:w w:val="92"/>
              </w:rPr>
              <w:t>Scotts Miracle-Gro Company Amended and Restated 2006 Long-</w:t>
            </w:r>
          </w:p>
        </w:tc>
      </w:tr>
      <w:tr>
        <w:trPr>
          <w:trHeight w:val="216"/>
        </w:trPr>
        <w:tc>
          <w:tcPr>
            <w:tcW w:w="1140" w:type="dxa"/>
            <w:vAlign w:val="bottom"/>
          </w:tcPr>
          <w:p>
            <w:pPr>
              <w:spacing w:after="0"/>
              <w:rPr>
                <w:sz w:val="18"/>
                <w:szCs w:val="18"/>
                <w:color w:val="auto"/>
              </w:rPr>
            </w:pPr>
          </w:p>
        </w:tc>
        <w:tc>
          <w:tcPr>
            <w:tcW w:w="5220" w:type="dxa"/>
            <w:vAlign w:val="bottom"/>
          </w:tcPr>
          <w:p>
            <w:pPr>
              <w:ind w:left="380"/>
              <w:spacing w:after="0"/>
              <w:rPr>
                <w:sz w:val="20"/>
                <w:szCs w:val="20"/>
                <w:color w:val="auto"/>
              </w:rPr>
            </w:pPr>
            <w:r>
              <w:rPr>
                <w:rFonts w:ascii="Arial" w:cs="Arial" w:eastAsia="Arial" w:hAnsi="Arial"/>
                <w:sz w:val="18"/>
                <w:szCs w:val="18"/>
                <w:color w:val="auto"/>
                <w:w w:val="92"/>
              </w:rPr>
              <w:t>Term Incentive Plan (January 20, 2010 through January 19, 2012</w:t>
            </w:r>
          </w:p>
        </w:tc>
      </w:tr>
      <w:tr>
        <w:trPr>
          <w:trHeight w:val="230"/>
        </w:trPr>
        <w:tc>
          <w:tcPr>
            <w:tcW w:w="1140" w:type="dxa"/>
            <w:vAlign w:val="bottom"/>
          </w:tcPr>
          <w:p>
            <w:pPr>
              <w:spacing w:after="0"/>
              <w:rPr>
                <w:sz w:val="20"/>
                <w:szCs w:val="20"/>
                <w:color w:val="auto"/>
              </w:rPr>
            </w:pPr>
          </w:p>
        </w:tc>
        <w:tc>
          <w:tcPr>
            <w:tcW w:w="5220" w:type="dxa"/>
            <w:vAlign w:val="bottom"/>
          </w:tcPr>
          <w:p>
            <w:pPr>
              <w:ind w:left="380"/>
              <w:spacing w:after="0"/>
              <w:rPr>
                <w:sz w:val="20"/>
                <w:szCs w:val="20"/>
                <w:color w:val="auto"/>
              </w:rPr>
            </w:pPr>
            <w:r>
              <w:rPr>
                <w:rFonts w:ascii="Arial" w:cs="Arial" w:eastAsia="Arial" w:hAnsi="Arial"/>
                <w:sz w:val="18"/>
                <w:szCs w:val="18"/>
                <w:color w:val="auto"/>
              </w:rPr>
              <w:t>version)</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10.2]</w:t>
      </w:r>
    </w:p>
    <w:p>
      <w:pPr>
        <w:spacing w:after="0" w:line="788"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10.6(f)(ii)</w:t>
      </w:r>
      <w:r>
        <w:rPr>
          <w:rFonts w:ascii="Arial" w:cs="Arial" w:eastAsia="Arial" w:hAnsi="Arial"/>
          <w:sz w:val="18"/>
          <w:szCs w:val="18"/>
          <w:color w:val="auto"/>
          <w:vertAlign w:val="superscript"/>
        </w:rPr>
        <w:t>†</w:t>
      </w:r>
      <w:r>
        <w:rPr>
          <w:sz w:val="20"/>
          <w:szCs w:val="20"/>
          <w:color w:val="auto"/>
        </w:rPr>
        <w:tab/>
      </w:r>
      <w:r>
        <w:rPr>
          <w:rFonts w:ascii="Arial" w:cs="Arial" w:eastAsia="Arial" w:hAnsi="Arial"/>
          <w:sz w:val="17"/>
          <w:szCs w:val="17"/>
          <w:color w:val="auto"/>
        </w:rPr>
        <w:t>Specimen form of Restricted Stock Unit Award Agreement for</w:t>
      </w:r>
    </w:p>
    <w:p>
      <w:pPr>
        <w:spacing w:after="0" w:line="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grants of Restricted Stock Units which may be made under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Miracle-Gro Company Amended and Restated 2006 Long-</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Term Incentive Plan (post-January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10.2]</w:t>
      </w:r>
    </w:p>
    <w:p>
      <w:pPr>
        <w:spacing w:after="0" w:line="586" w:lineRule="exact"/>
        <w:rPr>
          <w:sz w:val="20"/>
          <w:szCs w:val="20"/>
          <w:color w:val="auto"/>
        </w:rPr>
      </w:pPr>
    </w:p>
    <w:p>
      <w:pPr>
        <w:sectPr>
          <w:pgSz w:w="11900" w:h="16838" w:orient="portrait"/>
          <w:cols w:equalWidth="0" w:num="2">
            <w:col w:w="6340" w:space="200"/>
            <w:col w:w="4860"/>
          </w:cols>
          <w:pgMar w:left="240" w:top="122"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10.6(g)(i)†</w:t>
            </w:r>
          </w:p>
        </w:tc>
        <w:tc>
          <w:tcPr>
            <w:tcW w:w="5180" w:type="dxa"/>
            <w:vAlign w:val="bottom"/>
          </w:tcPr>
          <w:p>
            <w:pPr>
              <w:ind w:left="360"/>
              <w:spacing w:after="0"/>
              <w:rPr>
                <w:sz w:val="20"/>
                <w:szCs w:val="20"/>
                <w:color w:val="auto"/>
              </w:rPr>
            </w:pPr>
            <w:r>
              <w:rPr>
                <w:rFonts w:ascii="Arial" w:cs="Arial" w:eastAsia="Arial" w:hAnsi="Arial"/>
                <w:sz w:val="18"/>
                <w:szCs w:val="18"/>
                <w:color w:val="auto"/>
                <w:w w:val="96"/>
              </w:rPr>
              <w:t>Specimen  form  of  Performance  Unit  Award  Agreement  for</w:t>
            </w:r>
          </w:p>
        </w:tc>
      </w:tr>
      <w:tr>
        <w:trPr>
          <w:trHeight w:val="216"/>
        </w:trPr>
        <w:tc>
          <w:tcPr>
            <w:tcW w:w="116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2"/>
              </w:rPr>
              <w:t>Employees (with Related Dividend Equivalents) used to evidence</w:t>
            </w:r>
          </w:p>
        </w:tc>
      </w:tr>
      <w:tr>
        <w:trPr>
          <w:trHeight w:val="216"/>
        </w:trPr>
        <w:tc>
          <w:tcPr>
            <w:tcW w:w="116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0"/>
              </w:rPr>
              <w:t>grants of Performance Units which may be made under The Scotts</w:t>
            </w:r>
          </w:p>
        </w:tc>
      </w:tr>
      <w:tr>
        <w:trPr>
          <w:trHeight w:val="230"/>
        </w:trPr>
        <w:tc>
          <w:tcPr>
            <w:tcW w:w="116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4"/>
              </w:rPr>
              <w:t>Miracle-Gro Company Amended and Restated 2006 Long-Term</w:t>
            </w:r>
          </w:p>
        </w:tc>
      </w:tr>
    </w:tbl>
    <w:p>
      <w:pPr>
        <w:ind w:left="1520"/>
        <w:spacing w:after="0" w:line="261" w:lineRule="auto"/>
        <w:rPr>
          <w:sz w:val="20"/>
          <w:szCs w:val="20"/>
          <w:color w:val="auto"/>
        </w:rPr>
      </w:pPr>
      <w:r>
        <w:rPr>
          <w:rFonts w:ascii="Arial" w:cs="Arial" w:eastAsia="Arial" w:hAnsi="Arial"/>
          <w:sz w:val="18"/>
          <w:szCs w:val="18"/>
          <w:color w:val="auto"/>
        </w:rPr>
        <w:t>Incentive Plan (January 21, 2011 through January 19, 2012 version)</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26, 2011 (File No. 1-11593) [Exhibit 10.1]</w:t>
      </w:r>
    </w:p>
    <w:p>
      <w:pPr>
        <w:sectPr>
          <w:pgSz w:w="11900" w:h="16838" w:orient="portrait"/>
          <w:cols w:equalWidth="0" w:num="2">
            <w:col w:w="6360" w:space="180"/>
            <w:col w:w="4860"/>
          </w:cols>
          <w:pgMar w:left="240" w:top="122" w:right="259" w:bottom="1440" w:gutter="0" w:footer="0" w:header="0"/>
          <w:type w:val="continuous"/>
        </w:sectPr>
      </w:pPr>
    </w:p>
    <w:bookmarkStart w:id="112" w:name="page113"/>
    <w:bookmarkEnd w:id="112"/>
    <w:p>
      <w:pPr>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10.6(g)(ii)</w:t>
      </w:r>
      <w:r>
        <w:rPr>
          <w:rFonts w:ascii="Arial" w:cs="Arial" w:eastAsia="Arial" w:hAnsi="Arial"/>
          <w:sz w:val="18"/>
          <w:szCs w:val="18"/>
          <w:color w:val="auto"/>
          <w:vertAlign w:val="superscript"/>
        </w:rPr>
        <w:t>†</w:t>
      </w:r>
      <w:r>
        <w:rPr>
          <w:sz w:val="20"/>
          <w:szCs w:val="20"/>
          <w:color w:val="auto"/>
        </w:rPr>
        <w:tab/>
      </w:r>
      <w:r>
        <w:rPr>
          <w:rFonts w:ascii="Arial" w:cs="Arial" w:eastAsia="Arial" w:hAnsi="Arial"/>
          <w:sz w:val="17"/>
          <w:szCs w:val="17"/>
          <w:color w:val="auto"/>
        </w:rPr>
        <w:t>Specimen  form  of  Performance  Unit  Award  Agreement  for</w:t>
      </w:r>
    </w:p>
    <w:p>
      <w:pPr>
        <w:spacing w:after="0" w:line="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grants of Performance Units which may be made under The Scotts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Miracle-Gro Company Amended and Restated 2006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 (post-January 19, 2012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10.1]</w:t>
      </w:r>
    </w:p>
    <w:p>
      <w:pPr>
        <w:spacing w:after="0" w:line="602"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10.6(h)(i)†</w:t>
            </w: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Specimen form of Nonqualified Stock Option Award Agreement</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9"/>
              </w:rPr>
              <w:t>for Employees used to evidence grants of Nonqualified Stock</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Options made under The Scotts Miracle-Gro Company 2006</w:t>
            </w:r>
          </w:p>
        </w:tc>
      </w:tr>
      <w:tr>
        <w:trPr>
          <w:trHeight w:val="230"/>
        </w:trPr>
        <w:tc>
          <w:tcPr>
            <w:tcW w:w="116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Long-Term Incentive Plan (now known as The Scotts Miracle-Gro</w:t>
            </w:r>
          </w:p>
        </w:tc>
      </w:tr>
    </w:tbl>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[October 30, 2007 through October 8, 2008 version]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10(t)(3)]</w:t>
      </w:r>
    </w:p>
    <w:p>
      <w:pPr>
        <w:spacing w:after="0" w:line="78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and Restated 2006 Long-Term Incentive Plan (October 9, 2008</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through January 19, 2010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10.7(f)(ii)]</w:t>
      </w:r>
    </w:p>
    <w:p>
      <w:pPr>
        <w:spacing w:after="0" w:line="57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Options which may be made under The Scotts Miracle-Gro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20, 2010 through January 19, 2012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10.4]</w:t>
      </w:r>
    </w:p>
    <w:p>
      <w:pPr>
        <w:spacing w:after="0" w:line="57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10.6(h)(iv)</w:t>
      </w:r>
      <w:r>
        <w:rPr>
          <w:rFonts w:ascii="Arial" w:cs="Arial" w:eastAsia="Arial" w:hAnsi="Arial"/>
          <w:sz w:val="18"/>
          <w:szCs w:val="18"/>
          <w:color w:val="auto"/>
          <w:vertAlign w:val="superscript"/>
        </w:rPr>
        <w:t>†</w:t>
      </w:r>
      <w:r>
        <w:rPr>
          <w:sz w:val="20"/>
          <w:szCs w:val="20"/>
          <w:color w:val="auto"/>
        </w:rPr>
        <w:tab/>
      </w:r>
      <w:r>
        <w:rPr>
          <w:rFonts w:ascii="Arial" w:cs="Arial" w:eastAsia="Arial" w:hAnsi="Arial"/>
          <w:sz w:val="17"/>
          <w:szCs w:val="17"/>
          <w:color w:val="auto"/>
        </w:rPr>
        <w:t>Specimen form of Nonqualified Stock Option Award Agreement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Options which may be made under The Scotts Miracle-Gro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(post-January 19, 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10.3]</w:t>
      </w:r>
    </w:p>
    <w:p>
      <w:pPr>
        <w:spacing w:after="0" w:line="60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line="11" w:lineRule="exact"/>
        <w:rPr>
          <w:sz w:val="20"/>
          <w:szCs w:val="20"/>
          <w:color w:val="auto"/>
        </w:rPr>
      </w:pPr>
    </w:p>
    <w:p>
      <w:pPr>
        <w:spacing w:after="0"/>
        <w:tabs>
          <w:tab w:leader="none" w:pos="1500" w:val="left"/>
          <w:tab w:leader="none" w:pos="2020" w:val="left"/>
          <w:tab w:leader="none" w:pos="2720" w:val="left"/>
          <w:tab w:leader="none" w:pos="3660" w:val="left"/>
          <w:tab w:leader="none" w:pos="4260" w:val="left"/>
          <w:tab w:leader="none" w:pos="5200" w:val="left"/>
          <w:tab w:leader="none" w:pos="5700" w:val="left"/>
        </w:tabs>
        <w:rPr>
          <w:sz w:val="20"/>
          <w:szCs w:val="20"/>
          <w:color w:val="auto"/>
        </w:rPr>
      </w:pPr>
      <w:r>
        <w:rPr>
          <w:rFonts w:ascii="Arial" w:cs="Arial" w:eastAsia="Arial" w:hAnsi="Arial"/>
          <w:sz w:val="18"/>
          <w:szCs w:val="18"/>
          <w:color w:val="auto"/>
        </w:rPr>
        <w:t>10.7(a)(i)†</w:t>
      </w:r>
      <w:r>
        <w:rPr>
          <w:sz w:val="20"/>
          <w:szCs w:val="20"/>
          <w:color w:val="auto"/>
        </w:rPr>
        <w:tab/>
      </w:r>
      <w:r>
        <w:rPr>
          <w:rFonts w:ascii="Arial" w:cs="Arial" w:eastAsia="Arial" w:hAnsi="Arial"/>
          <w:sz w:val="18"/>
          <w:szCs w:val="18"/>
          <w:color w:val="auto"/>
        </w:rPr>
        <w:t>The</w:t>
        <w:tab/>
        <w:t>Scotts</w:t>
        <w:tab/>
        <w:t>Company</w:t>
        <w:tab/>
        <w:t>LLC</w:t>
        <w:tab/>
        <w:t>Amended</w:t>
        <w:tab/>
        <w:t>and</w:t>
      </w:r>
      <w:r>
        <w:rPr>
          <w:sz w:val="20"/>
          <w:szCs w:val="20"/>
          <w:color w:val="auto"/>
        </w:rPr>
        <w:tab/>
      </w:r>
      <w:r>
        <w:rPr>
          <w:rFonts w:ascii="Arial" w:cs="Arial" w:eastAsia="Arial" w:hAnsi="Arial"/>
          <w:sz w:val="15"/>
          <w:szCs w:val="15"/>
          <w:color w:val="auto"/>
        </w:rPr>
        <w:t>Restated</w:t>
      </w:r>
    </w:p>
    <w:p>
      <w:pPr>
        <w:spacing w:after="0" w:line="23" w:lineRule="exact"/>
        <w:rPr>
          <w:sz w:val="20"/>
          <w:szCs w:val="20"/>
          <w:color w:val="auto"/>
        </w:rPr>
      </w:pPr>
    </w:p>
    <w:p>
      <w:pPr>
        <w:ind w:left="1520" w:right="20"/>
        <w:spacing w:after="0" w:line="261" w:lineRule="auto"/>
        <w:rPr>
          <w:sz w:val="20"/>
          <w:szCs w:val="20"/>
          <w:color w:val="auto"/>
        </w:rPr>
      </w:pPr>
      <w:r>
        <w:rPr>
          <w:rFonts w:ascii="Arial" w:cs="Arial" w:eastAsia="Arial" w:hAnsi="Arial"/>
          <w:sz w:val="18"/>
          <w:szCs w:val="18"/>
          <w:color w:val="auto"/>
        </w:rPr>
        <w:t>Executive/Management Incentive Plan (approved on November 7, 2007 and effective as of October 30, 2007)</w:t>
      </w:r>
    </w:p>
    <w:p>
      <w:pPr>
        <w:spacing w:after="0" w:line="14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10.7(a)(ii)†</w:t>
      </w:r>
      <w:r>
        <w:rPr>
          <w:sz w:val="20"/>
          <w:szCs w:val="20"/>
          <w:color w:val="auto"/>
        </w:rPr>
        <w:tab/>
      </w:r>
      <w:r>
        <w:rPr>
          <w:rFonts w:ascii="Arial" w:cs="Arial" w:eastAsia="Arial" w:hAnsi="Arial"/>
          <w:sz w:val="16"/>
          <w:szCs w:val="16"/>
          <w:color w:val="auto"/>
        </w:rPr>
        <w:t>Amendment to The Scotts Company LLC Amended and Restated</w:t>
      </w:r>
    </w:p>
    <w:p>
      <w:pPr>
        <w:spacing w:after="0" w:line="23" w:lineRule="exact"/>
        <w:rPr>
          <w:sz w:val="20"/>
          <w:szCs w:val="20"/>
          <w:color w:val="auto"/>
        </w:rPr>
      </w:pPr>
    </w:p>
    <w:p>
      <w:pPr>
        <w:ind w:left="1520"/>
        <w:spacing w:after="0"/>
        <w:tabs>
          <w:tab w:leader="none" w:pos="3440" w:val="left"/>
          <w:tab w:leader="none" w:pos="4340" w:val="left"/>
          <w:tab w:leader="none" w:pos="4880" w:val="left"/>
          <w:tab w:leader="none" w:pos="5800" w:val="left"/>
          <w:tab w:leader="none" w:pos="6180" w:val="left"/>
        </w:tabs>
        <w:rPr>
          <w:sz w:val="20"/>
          <w:szCs w:val="20"/>
          <w:color w:val="auto"/>
        </w:rPr>
      </w:pPr>
      <w:r>
        <w:rPr>
          <w:rFonts w:ascii="Arial" w:cs="Arial" w:eastAsia="Arial" w:hAnsi="Arial"/>
          <w:sz w:val="18"/>
          <w:szCs w:val="18"/>
          <w:color w:val="auto"/>
        </w:rPr>
        <w:t>Executive/Management</w:t>
        <w:tab/>
        <w:t>Incentive</w:t>
        <w:tab/>
        <w:t>Plan</w:t>
        <w:tab/>
        <w:t>(effective</w:t>
        <w:tab/>
        <w:t>as</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November 5, 2008) [amended the name of the plan to be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Amended and Restated Executive Incentive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Plan]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10(b)(2)]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November 12, 2008 (File No. 1-11593) [Exhibit 10.2]</w:t>
      </w:r>
    </w:p>
    <w:p>
      <w:pPr>
        <w:spacing w:after="0" w:line="57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10.7(b)(i)†</w:t>
            </w:r>
          </w:p>
        </w:tc>
        <w:tc>
          <w:tcPr>
            <w:tcW w:w="1640" w:type="dxa"/>
            <w:vAlign w:val="bottom"/>
          </w:tcPr>
          <w:p>
            <w:pPr>
              <w:ind w:left="360"/>
              <w:spacing w:after="0"/>
              <w:rPr>
                <w:sz w:val="20"/>
                <w:szCs w:val="20"/>
                <w:color w:val="auto"/>
              </w:rPr>
            </w:pPr>
            <w:r>
              <w:rPr>
                <w:rFonts w:ascii="Arial" w:cs="Arial" w:eastAsia="Arial" w:hAnsi="Arial"/>
                <w:sz w:val="18"/>
                <w:szCs w:val="18"/>
                <w:color w:val="auto"/>
              </w:rPr>
              <w:t>Specimen form</w:t>
            </w:r>
          </w:p>
        </w:tc>
        <w:tc>
          <w:tcPr>
            <w:tcW w:w="3540" w:type="dxa"/>
            <w:vAlign w:val="bottom"/>
          </w:tcPr>
          <w:p>
            <w:pPr>
              <w:jc w:val="right"/>
              <w:spacing w:after="0"/>
              <w:rPr>
                <w:sz w:val="20"/>
                <w:szCs w:val="20"/>
                <w:color w:val="auto"/>
              </w:rPr>
            </w:pPr>
            <w:r>
              <w:rPr>
                <w:rFonts w:ascii="Arial" w:cs="Arial" w:eastAsia="Arial" w:hAnsi="Arial"/>
                <w:sz w:val="18"/>
                <w:szCs w:val="18"/>
                <w:color w:val="auto"/>
                <w:w w:val="98"/>
              </w:rPr>
              <w:t>of Employee Confidentiality, Noncompetition,</w:t>
            </w:r>
          </w:p>
        </w:tc>
      </w:tr>
      <w:tr>
        <w:trPr>
          <w:trHeight w:val="216"/>
        </w:trPr>
        <w:tc>
          <w:tcPr>
            <w:tcW w:w="1160" w:type="dxa"/>
            <w:vAlign w:val="bottom"/>
          </w:tcPr>
          <w:p>
            <w:pPr>
              <w:spacing w:after="0"/>
              <w:rPr>
                <w:sz w:val="18"/>
                <w:szCs w:val="18"/>
                <w:color w:val="auto"/>
              </w:rPr>
            </w:pP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Nonsolicitation Agreement for employees participating in The</w:t>
            </w:r>
          </w:p>
        </w:tc>
      </w:tr>
      <w:tr>
        <w:trPr>
          <w:trHeight w:val="230"/>
        </w:trPr>
        <w:tc>
          <w:tcPr>
            <w:tcW w:w="1160" w:type="dxa"/>
            <w:vAlign w:val="bottom"/>
          </w:tcPr>
          <w:p>
            <w:pPr>
              <w:spacing w:after="0"/>
              <w:rPr>
                <w:sz w:val="20"/>
                <w:szCs w:val="20"/>
                <w:color w:val="auto"/>
              </w:rPr>
            </w:pPr>
          </w:p>
        </w:tc>
        <w:tc>
          <w:tcPr>
            <w:tcW w:w="1640" w:type="dxa"/>
            <w:vAlign w:val="bottom"/>
          </w:tcPr>
          <w:p>
            <w:pPr>
              <w:ind w:left="360"/>
              <w:spacing w:after="0"/>
              <w:rPr>
                <w:sz w:val="20"/>
                <w:szCs w:val="20"/>
                <w:color w:val="auto"/>
              </w:rPr>
            </w:pPr>
            <w:r>
              <w:rPr>
                <w:rFonts w:ascii="Arial" w:cs="Arial" w:eastAsia="Arial" w:hAnsi="Arial"/>
                <w:sz w:val="18"/>
                <w:szCs w:val="18"/>
                <w:color w:val="auto"/>
                <w:w w:val="91"/>
              </w:rPr>
              <w:t>Scotts  Company</w:t>
            </w:r>
          </w:p>
        </w:tc>
        <w:tc>
          <w:tcPr>
            <w:tcW w:w="3540" w:type="dxa"/>
            <w:vAlign w:val="bottom"/>
          </w:tcPr>
          <w:p>
            <w:pPr>
              <w:jc w:val="right"/>
              <w:spacing w:after="0"/>
              <w:rPr>
                <w:sz w:val="20"/>
                <w:szCs w:val="20"/>
                <w:color w:val="auto"/>
              </w:rPr>
            </w:pPr>
            <w:r>
              <w:rPr>
                <w:rFonts w:ascii="Arial" w:cs="Arial" w:eastAsia="Arial" w:hAnsi="Arial"/>
                <w:sz w:val="18"/>
                <w:szCs w:val="18"/>
                <w:color w:val="auto"/>
                <w:w w:val="96"/>
              </w:rPr>
              <w:t>Executive/Management  Incentive  Plan  (now</w:t>
            </w:r>
          </w:p>
        </w:tc>
      </w:tr>
    </w:tbl>
    <w:p>
      <w:pPr>
        <w:ind w:left="1520"/>
        <w:spacing w:after="0" w:line="261" w:lineRule="auto"/>
        <w:rPr>
          <w:sz w:val="20"/>
          <w:szCs w:val="20"/>
          <w:color w:val="auto"/>
        </w:rPr>
      </w:pPr>
      <w:r>
        <w:rPr>
          <w:rFonts w:ascii="Arial" w:cs="Arial" w:eastAsia="Arial" w:hAnsi="Arial"/>
          <w:sz w:val="18"/>
          <w:szCs w:val="18"/>
          <w:color w:val="auto"/>
        </w:rPr>
        <w:t>known as The Scotts Company LLC Amended and Restated Executive Incentive Plan) [2005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10.2(b)(i)]</w:t>
      </w:r>
    </w:p>
    <w:p>
      <w:pPr>
        <w:spacing w:after="0" w:line="572"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10.7(b)(ii)†</w:t>
      </w:r>
      <w:r>
        <w:rPr>
          <w:sz w:val="20"/>
          <w:szCs w:val="20"/>
          <w:color w:val="auto"/>
        </w:rPr>
        <w:tab/>
      </w:r>
      <w:r>
        <w:rPr>
          <w:rFonts w:ascii="Arial" w:cs="Arial" w:eastAsia="Arial" w:hAnsi="Arial"/>
          <w:sz w:val="17"/>
          <w:szCs w:val="17"/>
          <w:color w:val="auto"/>
        </w:rPr>
        <w:t>Specimen form of Employee Confidentiality, Noncompetition,</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Nonsolicitation Agreement for employees participating in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Executive/Management Incentive Plan (now</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known as The Scotts Company LLC Amended and Restated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Executive Incentive Plan) [post-2005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1-11593) [Exhibit 10.1]</w:t>
      </w:r>
    </w:p>
    <w:p>
      <w:pPr>
        <w:spacing w:after="0" w:line="57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10.7(c)†</w:t>
            </w:r>
          </w:p>
        </w:tc>
        <w:tc>
          <w:tcPr>
            <w:tcW w:w="5580" w:type="dxa"/>
            <w:vAlign w:val="bottom"/>
          </w:tcPr>
          <w:p>
            <w:pPr>
              <w:ind w:left="460"/>
              <w:spacing w:after="0"/>
              <w:rPr>
                <w:sz w:val="20"/>
                <w:szCs w:val="20"/>
                <w:color w:val="auto"/>
              </w:rPr>
            </w:pPr>
            <w:r>
              <w:rPr>
                <w:rFonts w:ascii="Arial" w:cs="Arial" w:eastAsia="Arial" w:hAnsi="Arial"/>
                <w:sz w:val="18"/>
                <w:szCs w:val="18"/>
                <w:color w:val="auto"/>
                <w:w w:val="97"/>
              </w:rPr>
              <w:t>Executive Officers of The Scotts Miracle-Gro Company who are  *</w:t>
            </w:r>
          </w:p>
        </w:tc>
      </w:tr>
      <w:tr>
        <w:trPr>
          <w:trHeight w:val="216"/>
        </w:trPr>
        <w:tc>
          <w:tcPr>
            <w:tcW w:w="1060" w:type="dxa"/>
            <w:vAlign w:val="bottom"/>
          </w:tcPr>
          <w:p>
            <w:pPr>
              <w:spacing w:after="0"/>
              <w:rPr>
                <w:sz w:val="18"/>
                <w:szCs w:val="18"/>
                <w:color w:val="auto"/>
              </w:rPr>
            </w:pPr>
          </w:p>
        </w:tc>
        <w:tc>
          <w:tcPr>
            <w:tcW w:w="5580" w:type="dxa"/>
            <w:vAlign w:val="bottom"/>
          </w:tcPr>
          <w:p>
            <w:pPr>
              <w:ind w:left="460"/>
              <w:spacing w:after="0"/>
              <w:rPr>
                <w:sz w:val="20"/>
                <w:szCs w:val="20"/>
                <w:color w:val="auto"/>
              </w:rPr>
            </w:pPr>
            <w:r>
              <w:rPr>
                <w:rFonts w:ascii="Arial" w:cs="Arial" w:eastAsia="Arial" w:hAnsi="Arial"/>
                <w:sz w:val="18"/>
                <w:szCs w:val="18"/>
                <w:color w:val="auto"/>
              </w:rPr>
              <w:t>parties to form of Employee Confidentiality, Noncompetition,</w:t>
            </w:r>
          </w:p>
        </w:tc>
      </w:tr>
      <w:tr>
        <w:trPr>
          <w:trHeight w:val="216"/>
        </w:trPr>
        <w:tc>
          <w:tcPr>
            <w:tcW w:w="1060" w:type="dxa"/>
            <w:vAlign w:val="bottom"/>
          </w:tcPr>
          <w:p>
            <w:pPr>
              <w:spacing w:after="0"/>
              <w:rPr>
                <w:sz w:val="18"/>
                <w:szCs w:val="18"/>
                <w:color w:val="auto"/>
              </w:rPr>
            </w:pPr>
          </w:p>
        </w:tc>
        <w:tc>
          <w:tcPr>
            <w:tcW w:w="5580" w:type="dxa"/>
            <w:vAlign w:val="bottom"/>
          </w:tcPr>
          <w:p>
            <w:pPr>
              <w:ind w:left="460"/>
              <w:spacing w:after="0"/>
              <w:rPr>
                <w:sz w:val="20"/>
                <w:szCs w:val="20"/>
                <w:color w:val="auto"/>
              </w:rPr>
            </w:pPr>
            <w:r>
              <w:rPr>
                <w:rFonts w:ascii="Arial" w:cs="Arial" w:eastAsia="Arial" w:hAnsi="Arial"/>
                <w:sz w:val="18"/>
                <w:szCs w:val="18"/>
                <w:color w:val="auto"/>
              </w:rPr>
              <w:t>Nonsolicitation Agreement for employees participating in The</w:t>
            </w:r>
          </w:p>
        </w:tc>
      </w:tr>
      <w:tr>
        <w:trPr>
          <w:trHeight w:val="216"/>
        </w:trPr>
        <w:tc>
          <w:tcPr>
            <w:tcW w:w="1060" w:type="dxa"/>
            <w:vAlign w:val="bottom"/>
          </w:tcPr>
          <w:p>
            <w:pPr>
              <w:spacing w:after="0"/>
              <w:rPr>
                <w:sz w:val="18"/>
                <w:szCs w:val="18"/>
                <w:color w:val="auto"/>
              </w:rPr>
            </w:pPr>
          </w:p>
        </w:tc>
        <w:tc>
          <w:tcPr>
            <w:tcW w:w="5580" w:type="dxa"/>
            <w:vAlign w:val="bottom"/>
          </w:tcPr>
          <w:p>
            <w:pPr>
              <w:ind w:left="460"/>
              <w:spacing w:after="0"/>
              <w:rPr>
                <w:sz w:val="20"/>
                <w:szCs w:val="20"/>
                <w:color w:val="auto"/>
              </w:rPr>
            </w:pPr>
            <w:r>
              <w:rPr>
                <w:rFonts w:ascii="Arial" w:cs="Arial" w:eastAsia="Arial" w:hAnsi="Arial"/>
                <w:sz w:val="18"/>
                <w:szCs w:val="18"/>
                <w:color w:val="auto"/>
                <w:w w:val="97"/>
              </w:rPr>
              <w:t>Scotts Company LLC Amended and Restated Executive Incentive</w:t>
            </w:r>
          </w:p>
        </w:tc>
      </w:tr>
      <w:tr>
        <w:trPr>
          <w:trHeight w:val="230"/>
        </w:trPr>
        <w:tc>
          <w:tcPr>
            <w:tcW w:w="1060" w:type="dxa"/>
            <w:vAlign w:val="bottom"/>
          </w:tcPr>
          <w:p>
            <w:pPr>
              <w:spacing w:after="0"/>
              <w:rPr>
                <w:sz w:val="20"/>
                <w:szCs w:val="20"/>
                <w:color w:val="auto"/>
              </w:rPr>
            </w:pPr>
          </w:p>
        </w:tc>
        <w:tc>
          <w:tcPr>
            <w:tcW w:w="5580" w:type="dxa"/>
            <w:vAlign w:val="bottom"/>
          </w:tcPr>
          <w:p>
            <w:pPr>
              <w:ind w:left="460"/>
              <w:spacing w:after="0"/>
              <w:rPr>
                <w:sz w:val="20"/>
                <w:szCs w:val="20"/>
                <w:color w:val="auto"/>
              </w:rPr>
            </w:pPr>
            <w:r>
              <w:rPr>
                <w:rFonts w:ascii="Arial" w:cs="Arial" w:eastAsia="Arial" w:hAnsi="Arial"/>
                <w:sz w:val="18"/>
                <w:szCs w:val="18"/>
                <w:color w:val="auto"/>
              </w:rPr>
              <w:t>Plan</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00"/>
          </w:cols>
          <w:pgMar w:left="240" w:top="121" w:right="259" w:bottom="1440" w:gutter="0" w:footer="0" w:header="0"/>
          <w:type w:val="continuous"/>
        </w:sectPr>
      </w:pPr>
    </w:p>
    <w:bookmarkStart w:id="113" w:name="page114"/>
    <w:bookmarkEnd w:id="113"/>
    <w:p>
      <w:pPr>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10.8(a)†</w:t>
            </w:r>
          </w:p>
        </w:tc>
        <w:tc>
          <w:tcPr>
            <w:tcW w:w="5240" w:type="dxa"/>
            <w:vAlign w:val="bottom"/>
          </w:tcPr>
          <w:p>
            <w:pPr>
              <w:ind w:left="400"/>
              <w:spacing w:after="0"/>
              <w:rPr>
                <w:sz w:val="20"/>
                <w:szCs w:val="20"/>
                <w:color w:val="auto"/>
              </w:rPr>
            </w:pPr>
            <w:r>
              <w:rPr>
                <w:rFonts w:ascii="Arial" w:cs="Arial" w:eastAsia="Arial" w:hAnsi="Arial"/>
                <w:sz w:val="18"/>
                <w:szCs w:val="18"/>
                <w:color w:val="auto"/>
                <w:w w:val="98"/>
              </w:rPr>
              <w:t>The  Scotts  Company  LLC  Executive  Retirement  Plan,  As</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89"/>
              </w:rPr>
              <w:t>Amended and Restated as of January 1, 2011 (executed December</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22, 2010)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10.8(b)†</w:t>
            </w:r>
          </w:p>
        </w:tc>
        <w:tc>
          <w:tcPr>
            <w:tcW w:w="5240" w:type="dxa"/>
            <w:vAlign w:val="bottom"/>
          </w:tcPr>
          <w:p>
            <w:pPr>
              <w:ind w:left="400"/>
              <w:spacing w:after="0"/>
              <w:rPr>
                <w:sz w:val="20"/>
                <w:szCs w:val="20"/>
                <w:color w:val="auto"/>
              </w:rPr>
            </w:pPr>
            <w:r>
              <w:rPr>
                <w:rFonts w:ascii="Arial" w:cs="Arial" w:eastAsia="Arial" w:hAnsi="Arial"/>
                <w:sz w:val="18"/>
                <w:szCs w:val="18"/>
                <w:color w:val="auto"/>
                <w:w w:val="94"/>
              </w:rPr>
              <w:t>Form of Executive Retirement Plan Retention Award Agreement</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4"/>
              </w:rPr>
              <w:t>between The Scotts Company LLC and each of David C. Evans,</w:t>
            </w:r>
          </w:p>
        </w:tc>
      </w:tr>
      <w:tr>
        <w:trPr>
          <w:trHeight w:val="216"/>
        </w:trPr>
        <w:tc>
          <w:tcPr>
            <w:tcW w:w="11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Barry W. Sanders, Denise S. Stump and Vincent C. Brockman</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(entered into on November 4, 2008)</w:t>
            </w:r>
          </w:p>
        </w:tc>
      </w:tr>
      <w:tr>
        <w:trPr>
          <w:trHeight w:val="377"/>
        </w:trPr>
        <w:tc>
          <w:tcPr>
            <w:tcW w:w="1120" w:type="dxa"/>
            <w:vAlign w:val="bottom"/>
          </w:tcPr>
          <w:p>
            <w:pPr>
              <w:ind w:left="40"/>
              <w:spacing w:after="0"/>
              <w:rPr>
                <w:sz w:val="20"/>
                <w:szCs w:val="20"/>
                <w:color w:val="auto"/>
              </w:rPr>
            </w:pPr>
            <w:r>
              <w:rPr>
                <w:rFonts w:ascii="Arial" w:cs="Arial" w:eastAsia="Arial" w:hAnsi="Arial"/>
                <w:sz w:val="18"/>
                <w:szCs w:val="18"/>
                <w:color w:val="auto"/>
              </w:rPr>
              <w:t>10.9</w:t>
            </w: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Summary of Compensation for Nonemployee Directors of The</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Scotts Miracle-Gro Company (effective as of January 22, 2010)</w:t>
            </w:r>
          </w:p>
        </w:tc>
      </w:tr>
      <w:tr>
        <w:trPr>
          <w:trHeight w:val="593"/>
        </w:trPr>
        <w:tc>
          <w:tcPr>
            <w:tcW w:w="1120" w:type="dxa"/>
            <w:vAlign w:val="bottom"/>
          </w:tcPr>
          <w:p>
            <w:pPr>
              <w:spacing w:after="0"/>
              <w:rPr>
                <w:sz w:val="20"/>
                <w:szCs w:val="20"/>
                <w:color w:val="auto"/>
              </w:rPr>
            </w:pPr>
            <w:r>
              <w:rPr>
                <w:rFonts w:ascii="Arial" w:cs="Arial" w:eastAsia="Arial" w:hAnsi="Arial"/>
                <w:sz w:val="18"/>
                <w:szCs w:val="18"/>
                <w:color w:val="auto"/>
              </w:rPr>
              <w:t>10.10(a)†</w:t>
            </w: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Employment Agreement, dated as of May 19, 1995, between The</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Scotts Company and James Hagedorn</w:t>
            </w:r>
          </w:p>
        </w:tc>
      </w:tr>
      <w:tr>
        <w:trPr>
          <w:trHeight w:val="593"/>
        </w:trPr>
        <w:tc>
          <w:tcPr>
            <w:tcW w:w="1120" w:type="dxa"/>
            <w:vAlign w:val="bottom"/>
          </w:tcPr>
          <w:p>
            <w:pPr>
              <w:spacing w:after="0"/>
              <w:rPr>
                <w:sz w:val="20"/>
                <w:szCs w:val="20"/>
                <w:color w:val="auto"/>
              </w:rPr>
            </w:pPr>
            <w:r>
              <w:rPr>
                <w:rFonts w:ascii="Arial" w:cs="Arial" w:eastAsia="Arial" w:hAnsi="Arial"/>
                <w:sz w:val="18"/>
                <w:szCs w:val="18"/>
                <w:color w:val="auto"/>
              </w:rPr>
              <w:t>10.10(b)†</w:t>
            </w:r>
          </w:p>
        </w:tc>
        <w:tc>
          <w:tcPr>
            <w:tcW w:w="5240" w:type="dxa"/>
            <w:vAlign w:val="bottom"/>
          </w:tcPr>
          <w:p>
            <w:pPr>
              <w:ind w:left="400"/>
              <w:spacing w:after="0"/>
              <w:rPr>
                <w:sz w:val="20"/>
                <w:szCs w:val="20"/>
                <w:color w:val="auto"/>
              </w:rPr>
            </w:pPr>
            <w:r>
              <w:rPr>
                <w:rFonts w:ascii="Arial" w:cs="Arial" w:eastAsia="Arial" w:hAnsi="Arial"/>
                <w:sz w:val="18"/>
                <w:szCs w:val="18"/>
                <w:color w:val="auto"/>
              </w:rPr>
              <w:t>Amendments to Employment Agreement by and among The</w:t>
            </w:r>
          </w:p>
        </w:tc>
      </w:tr>
      <w:tr>
        <w:trPr>
          <w:trHeight w:val="230"/>
        </w:trPr>
        <w:tc>
          <w:tcPr>
            <w:tcW w:w="11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9"/>
              </w:rPr>
              <w:t>Scotts Miracle-Gro Company, The Scotts Company LLC and</w:t>
            </w:r>
          </w:p>
        </w:tc>
      </w:tr>
    </w:tbl>
    <w:p>
      <w:pPr>
        <w:jc w:val="both"/>
        <w:ind w:left="1520"/>
        <w:spacing w:after="0" w:line="253" w:lineRule="auto"/>
        <w:rPr>
          <w:sz w:val="20"/>
          <w:szCs w:val="20"/>
          <w:color w:val="auto"/>
        </w:rPr>
      </w:pPr>
      <w:r>
        <w:rPr>
          <w:rFonts w:ascii="Arial" w:cs="Arial" w:eastAsia="Arial" w:hAnsi="Arial"/>
          <w:sz w:val="18"/>
          <w:szCs w:val="18"/>
          <w:color w:val="auto"/>
        </w:rPr>
        <w:t>James Hagedorn, effective as of October 1, 2008 (executed by Mr. Hagedorn on December 22, 2008 and on behalf of The Scotts Miracle-Gro Company and The Scotts Company LLC by Denise Stump on December 22, 2008 and Vincent C. Brockman on December 30,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1-11593) [Exhibit 10.2]</w:t>
      </w:r>
    </w:p>
    <w:p>
      <w:pPr>
        <w:spacing w:after="0" w:line="3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3, 2010 (File No. 1-11593) [Exhibit 10.7]</w:t>
      </w:r>
    </w:p>
    <w:p>
      <w:pPr>
        <w:spacing w:after="0" w:line="14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Incorporated herein by reference to the Annual Report on Form 10-K of The Scotts Company, an Ohio corporation, for the fiscal year ended September 30, 1995 (File No. 1-11593) [Exhibit 10(p)]</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27, 2008 (File No. 1-11593) [Exhibit 10.16]</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10.11(a)†</w:t>
            </w:r>
          </w:p>
        </w:tc>
        <w:tc>
          <w:tcPr>
            <w:tcW w:w="5340" w:type="dxa"/>
            <w:vAlign w:val="bottom"/>
          </w:tcPr>
          <w:p>
            <w:pPr>
              <w:ind w:left="400"/>
              <w:spacing w:after="0"/>
              <w:rPr>
                <w:sz w:val="20"/>
                <w:szCs w:val="20"/>
                <w:color w:val="auto"/>
              </w:rPr>
            </w:pPr>
            <w:r>
              <w:rPr>
                <w:rFonts w:ascii="Arial" w:cs="Arial" w:eastAsia="Arial" w:hAnsi="Arial"/>
                <w:sz w:val="18"/>
                <w:szCs w:val="18"/>
                <w:color w:val="auto"/>
                <w:w w:val="94"/>
              </w:rPr>
              <w:t>The Scotts Company LLC Executive Severance Plan, adopted on</w:t>
            </w:r>
          </w:p>
        </w:tc>
        <w:tc>
          <w:tcPr>
            <w:tcW w:w="4920" w:type="dxa"/>
            <w:vAlign w:val="bottom"/>
          </w:tcPr>
          <w:p>
            <w:pPr>
              <w:ind w:left="80"/>
              <w:spacing w:after="0"/>
              <w:rPr>
                <w:sz w:val="20"/>
                <w:szCs w:val="20"/>
                <w:color w:val="auto"/>
              </w:rPr>
            </w:pPr>
            <w:r>
              <w:rPr>
                <w:rFonts w:ascii="Arial" w:cs="Arial" w:eastAsia="Arial" w:hAnsi="Arial"/>
                <w:sz w:val="18"/>
                <w:szCs w:val="18"/>
                <w:color w:val="auto"/>
                <w:w w:val="90"/>
              </w:rPr>
              <w:t>Incorporated herein by reference to the Registrant’s Current Report</w:t>
            </w:r>
          </w:p>
        </w:tc>
      </w:tr>
      <w:tr>
        <w:trPr>
          <w:trHeight w:val="230"/>
        </w:trPr>
        <w:tc>
          <w:tcPr>
            <w:tcW w:w="11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May 4, 2011</w:t>
            </w:r>
          </w:p>
        </w:tc>
        <w:tc>
          <w:tcPr>
            <w:tcW w:w="4920" w:type="dxa"/>
            <w:vAlign w:val="bottom"/>
          </w:tcPr>
          <w:p>
            <w:pPr>
              <w:ind w:left="80"/>
              <w:spacing w:after="0"/>
              <w:rPr>
                <w:sz w:val="20"/>
                <w:szCs w:val="20"/>
                <w:color w:val="auto"/>
              </w:rPr>
            </w:pPr>
            <w:r>
              <w:rPr>
                <w:rFonts w:ascii="Arial" w:cs="Arial" w:eastAsia="Arial" w:hAnsi="Arial"/>
                <w:sz w:val="18"/>
                <w:szCs w:val="18"/>
                <w:color w:val="auto"/>
                <w:w w:val="94"/>
              </w:rPr>
              <w:t>on Form 8-K filed May 10, 2011 (File No. 1-11593) [Exhibit 10.1]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10.11(b)†</w:t>
            </w:r>
          </w:p>
        </w:tc>
        <w:tc>
          <w:tcPr>
            <w:tcW w:w="5340" w:type="dxa"/>
            <w:vAlign w:val="bottom"/>
          </w:tcPr>
          <w:p>
            <w:pPr>
              <w:ind w:left="400"/>
              <w:spacing w:after="0"/>
              <w:rPr>
                <w:sz w:val="20"/>
                <w:szCs w:val="20"/>
                <w:color w:val="auto"/>
              </w:rPr>
            </w:pPr>
            <w:r>
              <w:rPr>
                <w:rFonts w:ascii="Arial" w:cs="Arial" w:eastAsia="Arial" w:hAnsi="Arial"/>
                <w:sz w:val="18"/>
                <w:szCs w:val="18"/>
                <w:color w:val="auto"/>
                <w:w w:val="99"/>
              </w:rPr>
              <w:t>Form  of  Tier  1  Participation  Agreement  under  The  Scotts</w:t>
            </w:r>
          </w:p>
        </w:tc>
        <w:tc>
          <w:tcPr>
            <w:tcW w:w="4920" w:type="dxa"/>
            <w:vAlign w:val="bottom"/>
          </w:tcPr>
          <w:p>
            <w:pPr>
              <w:ind w:left="80"/>
              <w:spacing w:after="0"/>
              <w:rPr>
                <w:sz w:val="20"/>
                <w:szCs w:val="20"/>
                <w:color w:val="auto"/>
              </w:rPr>
            </w:pPr>
            <w:r>
              <w:rPr>
                <w:rFonts w:ascii="Arial" w:cs="Arial" w:eastAsia="Arial" w:hAnsi="Arial"/>
                <w:sz w:val="18"/>
                <w:szCs w:val="18"/>
                <w:color w:val="auto"/>
                <w:w w:val="90"/>
              </w:rPr>
              <w:t>Incorporated herein by reference to the Registrant’s Current Report</w:t>
            </w:r>
          </w:p>
        </w:tc>
      </w:tr>
      <w:tr>
        <w:trPr>
          <w:trHeight w:val="230"/>
        </w:trPr>
        <w:tc>
          <w:tcPr>
            <w:tcW w:w="11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c>
          <w:tcPr>
            <w:tcW w:w="4920" w:type="dxa"/>
            <w:vAlign w:val="bottom"/>
          </w:tcPr>
          <w:p>
            <w:pPr>
              <w:ind w:left="80"/>
              <w:spacing w:after="0"/>
              <w:rPr>
                <w:sz w:val="20"/>
                <w:szCs w:val="20"/>
                <w:color w:val="auto"/>
              </w:rPr>
            </w:pPr>
            <w:r>
              <w:rPr>
                <w:rFonts w:ascii="Arial" w:cs="Arial" w:eastAsia="Arial" w:hAnsi="Arial"/>
                <w:sz w:val="18"/>
                <w:szCs w:val="18"/>
                <w:color w:val="auto"/>
                <w:w w:val="94"/>
              </w:rPr>
              <w:t>on Form 8-K filed May 10, 2011 (File No. 1-11593) [Exhibit 10.2]</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10.11(c)†</w:t>
            </w:r>
          </w:p>
        </w:tc>
        <w:tc>
          <w:tcPr>
            <w:tcW w:w="5340" w:type="dxa"/>
            <w:vAlign w:val="bottom"/>
          </w:tcPr>
          <w:p>
            <w:pPr>
              <w:ind w:left="400"/>
              <w:spacing w:after="0"/>
              <w:rPr>
                <w:sz w:val="20"/>
                <w:szCs w:val="20"/>
                <w:color w:val="auto"/>
              </w:rPr>
            </w:pPr>
            <w:r>
              <w:rPr>
                <w:rFonts w:ascii="Arial" w:cs="Arial" w:eastAsia="Arial" w:hAnsi="Arial"/>
                <w:sz w:val="18"/>
                <w:szCs w:val="18"/>
                <w:color w:val="auto"/>
                <w:w w:val="97"/>
              </w:rPr>
              <w:t>Executive Officers of The Scotts Miracle-Gro Company who are</w:t>
            </w:r>
          </w:p>
        </w:tc>
        <w:tc>
          <w:tcPr>
            <w:tcW w:w="49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w w:val="93"/>
              </w:rPr>
              <w:t>parties to form of Tier 1 Participation Agreement under The Scotts</w:t>
            </w:r>
          </w:p>
        </w:tc>
        <w:tc>
          <w:tcPr>
            <w:tcW w:w="49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c>
          <w:tcPr>
            <w:tcW w:w="4920" w:type="dxa"/>
            <w:vAlign w:val="bottom"/>
          </w:tcPr>
          <w:p>
            <w:pPr>
              <w:spacing w:after="0"/>
              <w:rPr>
                <w:sz w:val="20"/>
                <w:szCs w:val="20"/>
                <w:color w:val="auto"/>
              </w:rPr>
            </w:pPr>
          </w:p>
        </w:tc>
      </w:tr>
    </w:tbl>
    <w:p>
      <w:pPr>
        <w:spacing w:after="0" w:line="161" w:lineRule="exact"/>
        <w:rPr>
          <w:sz w:val="20"/>
          <w:szCs w:val="20"/>
          <w:color w:val="auto"/>
        </w:rPr>
      </w:pPr>
    </w:p>
    <w:p>
      <w:pPr>
        <w:sectPr>
          <w:pgSz w:w="11900" w:h="16838" w:orient="portrait"/>
          <w:cols w:equalWidth="0" w:num="1">
            <w:col w:w="1140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10.12(a)</w:t>
            </w: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Amended  and  Restated  Exclusive  Agency  and  Marketing</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Agreement,  effective  as  of  September  30,  1998,  between</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Monsanto Company and The Scotts Company LLC (as successor</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to The Scotts Company)</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10.12(b)</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10, 2005,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Scotts Company LLC (as successor to The Scotts Company)</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10.12(c)</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28, 2008,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Scotts Company LLC</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5280" w:type="dxa"/>
            <w:vAlign w:val="bottom"/>
          </w:tcPr>
          <w:p>
            <w:pPr>
              <w:ind w:left="440"/>
              <w:spacing w:after="0"/>
              <w:rPr>
                <w:sz w:val="20"/>
                <w:szCs w:val="20"/>
                <w:color w:val="auto"/>
              </w:rPr>
            </w:pPr>
            <w:r>
              <w:rPr>
                <w:rFonts w:ascii="Arial" w:cs="Arial" w:eastAsia="Arial" w:hAnsi="Arial"/>
                <w:sz w:val="18"/>
                <w:szCs w:val="18"/>
                <w:color w:val="auto"/>
                <w:w w:val="90"/>
              </w:rPr>
              <w:t>Purchase Agreement, dated as of December 13, 2010, among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Scotts Miracle-Gro Company, the subsidiary guarantors named</w:t>
            </w:r>
          </w:p>
        </w:tc>
      </w:tr>
    </w:tbl>
    <w:p>
      <w:pPr>
        <w:ind w:left="1520" w:right="20"/>
        <w:spacing w:after="0" w:line="323" w:lineRule="auto"/>
        <w:rPr>
          <w:sz w:val="20"/>
          <w:szCs w:val="20"/>
          <w:color w:val="auto"/>
        </w:rPr>
      </w:pPr>
      <w:r>
        <w:rPr>
          <w:rFonts w:ascii="Arial" w:cs="Arial" w:eastAsia="Arial" w:hAnsi="Arial"/>
          <w:sz w:val="16"/>
          <w:szCs w:val="16"/>
          <w:color w:val="auto"/>
        </w:rPr>
        <w:t>therein and Merrill Lynch, Pierce, Fenner &amp; Smith Incorporated, as representative of the several initial purchasers named therein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10(x)]</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 No. 1-11593) [Exhibit 10.17(b)]</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10.18(b)]</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10.1]</w:t>
      </w:r>
    </w:p>
    <w:p>
      <w:pPr>
        <w:spacing w:after="0" w:line="45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00"/>
          </w:cols>
          <w:pgMar w:left="240" w:top="121" w:right="259" w:bottom="1440" w:gutter="0" w:footer="0" w:header="0"/>
          <w:type w:val="continuous"/>
        </w:sectPr>
      </w:pPr>
    </w:p>
    <w:bookmarkStart w:id="114" w:name="page115"/>
    <w:bookmarkEnd w:id="114"/>
    <w:p>
      <w:pPr>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10.14</w:t>
            </w:r>
          </w:p>
        </w:tc>
        <w:tc>
          <w:tcPr>
            <w:tcW w:w="5380" w:type="dxa"/>
            <w:vAlign w:val="bottom"/>
          </w:tcPr>
          <w:p>
            <w:pPr>
              <w:ind w:left="540"/>
              <w:spacing w:after="0"/>
              <w:rPr>
                <w:sz w:val="20"/>
                <w:szCs w:val="20"/>
                <w:color w:val="auto"/>
              </w:rPr>
            </w:pPr>
            <w:r>
              <w:rPr>
                <w:rFonts w:ascii="Arial" w:cs="Arial" w:eastAsia="Arial" w:hAnsi="Arial"/>
                <w:sz w:val="18"/>
                <w:szCs w:val="18"/>
                <w:color w:val="auto"/>
                <w:w w:val="96"/>
              </w:rPr>
              <w:t>Share and Business Sale Agreement, dated as of February 23,</w:t>
            </w:r>
          </w:p>
        </w:tc>
      </w:tr>
      <w:tr>
        <w:trPr>
          <w:trHeight w:val="216"/>
        </w:trPr>
        <w:tc>
          <w:tcPr>
            <w:tcW w:w="940" w:type="dxa"/>
            <w:vAlign w:val="bottom"/>
          </w:tcPr>
          <w:p>
            <w:pPr>
              <w:spacing w:after="0"/>
              <w:rPr>
                <w:sz w:val="18"/>
                <w:szCs w:val="18"/>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1"/>
              </w:rPr>
              <w:t>2011, by and among The Scotts Company LLC, as Seller, each of</w:t>
            </w:r>
          </w:p>
        </w:tc>
      </w:tr>
      <w:tr>
        <w:trPr>
          <w:trHeight w:val="216"/>
        </w:trPr>
        <w:tc>
          <w:tcPr>
            <w:tcW w:w="940" w:type="dxa"/>
            <w:vAlign w:val="bottom"/>
          </w:tcPr>
          <w:p>
            <w:pPr>
              <w:spacing w:after="0"/>
              <w:rPr>
                <w:sz w:val="18"/>
                <w:szCs w:val="18"/>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1"/>
              </w:rPr>
              <w:t>the Share Sellers and Business Sellers (as defined therein), Israel</w:t>
            </w:r>
          </w:p>
        </w:tc>
      </w:tr>
      <w:tr>
        <w:trPr>
          <w:trHeight w:val="230"/>
        </w:trPr>
        <w:tc>
          <w:tcPr>
            <w:tcW w:w="940" w:type="dxa"/>
            <w:vAlign w:val="bottom"/>
          </w:tcPr>
          <w:p>
            <w:pPr>
              <w:spacing w:after="0"/>
              <w:rPr>
                <w:sz w:val="20"/>
                <w:szCs w:val="20"/>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2"/>
              </w:rPr>
              <w:t>Chemicals Ltd., as Purchaser, each of the Share Purchasers and</w:t>
            </w:r>
          </w:p>
        </w:tc>
      </w:tr>
    </w:tbl>
    <w:p>
      <w:pPr>
        <w:ind w:left="1520" w:right="20"/>
        <w:spacing w:after="0" w:line="261" w:lineRule="auto"/>
        <w:rPr>
          <w:sz w:val="20"/>
          <w:szCs w:val="20"/>
          <w:color w:val="auto"/>
        </w:rPr>
      </w:pPr>
      <w:r>
        <w:rPr>
          <w:rFonts w:ascii="Arial" w:cs="Arial" w:eastAsia="Arial" w:hAnsi="Arial"/>
          <w:sz w:val="18"/>
          <w:szCs w:val="18"/>
          <w:color w:val="auto"/>
        </w:rPr>
        <w:t>Business Purchasers (as defined therein) and The Scotts Miracle-Gro Company, as Seller Guarantor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1, 2011 (File No. 1-11593) [Exhibit 10.1]</w:t>
      </w:r>
    </w:p>
    <w:p>
      <w:pPr>
        <w:spacing w:after="0" w:line="788"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10.15</w:t>
            </w:r>
          </w:p>
        </w:tc>
        <w:tc>
          <w:tcPr>
            <w:tcW w:w="3500" w:type="dxa"/>
            <w:vAlign w:val="bottom"/>
          </w:tcPr>
          <w:p>
            <w:pPr>
              <w:ind w:left="540"/>
              <w:spacing w:after="0"/>
              <w:rPr>
                <w:sz w:val="20"/>
                <w:szCs w:val="20"/>
                <w:color w:val="auto"/>
              </w:rPr>
            </w:pPr>
            <w:r>
              <w:rPr>
                <w:rFonts w:ascii="Arial" w:cs="Arial" w:eastAsia="Arial" w:hAnsi="Arial"/>
                <w:sz w:val="18"/>
                <w:szCs w:val="18"/>
                <w:color w:val="auto"/>
                <w:w w:val="95"/>
              </w:rPr>
              <w:t>Master Accounts Receivable Purchase</w:t>
            </w:r>
          </w:p>
        </w:tc>
        <w:tc>
          <w:tcPr>
            <w:tcW w:w="940" w:type="dxa"/>
            <w:vAlign w:val="bottom"/>
          </w:tcPr>
          <w:p>
            <w:pPr>
              <w:ind w:left="60"/>
              <w:spacing w:after="0"/>
              <w:rPr>
                <w:sz w:val="20"/>
                <w:szCs w:val="20"/>
                <w:color w:val="auto"/>
              </w:rPr>
            </w:pPr>
            <w:r>
              <w:rPr>
                <w:rFonts w:ascii="Arial" w:cs="Arial" w:eastAsia="Arial" w:hAnsi="Arial"/>
                <w:sz w:val="18"/>
                <w:szCs w:val="18"/>
                <w:color w:val="auto"/>
                <w:w w:val="92"/>
              </w:rPr>
              <w:t>Agreement,</w:t>
            </w:r>
          </w:p>
        </w:tc>
        <w:tc>
          <w:tcPr>
            <w:tcW w:w="940" w:type="dxa"/>
            <w:vAlign w:val="bottom"/>
          </w:tcPr>
          <w:p>
            <w:pPr>
              <w:jc w:val="right"/>
              <w:spacing w:after="0"/>
              <w:rPr>
                <w:sz w:val="20"/>
                <w:szCs w:val="20"/>
                <w:color w:val="auto"/>
              </w:rPr>
            </w:pPr>
            <w:r>
              <w:rPr>
                <w:rFonts w:ascii="Arial" w:cs="Arial" w:eastAsia="Arial" w:hAnsi="Arial"/>
                <w:sz w:val="18"/>
                <w:szCs w:val="18"/>
                <w:color w:val="auto"/>
              </w:rPr>
              <w:t>dated as of</w:t>
            </w:r>
          </w:p>
        </w:tc>
      </w:tr>
      <w:tr>
        <w:trPr>
          <w:trHeight w:val="230"/>
        </w:trPr>
        <w:tc>
          <w:tcPr>
            <w:tcW w:w="940" w:type="dxa"/>
            <w:vAlign w:val="bottom"/>
          </w:tcPr>
          <w:p>
            <w:pPr>
              <w:spacing w:after="0"/>
              <w:rPr>
                <w:sz w:val="20"/>
                <w:szCs w:val="20"/>
                <w:color w:val="auto"/>
              </w:rPr>
            </w:pPr>
          </w:p>
        </w:tc>
        <w:tc>
          <w:tcPr>
            <w:tcW w:w="3500" w:type="dxa"/>
            <w:vAlign w:val="bottom"/>
          </w:tcPr>
          <w:p>
            <w:pPr>
              <w:ind w:left="540"/>
              <w:spacing w:after="0"/>
              <w:rPr>
                <w:sz w:val="20"/>
                <w:szCs w:val="20"/>
                <w:color w:val="auto"/>
              </w:rPr>
            </w:pPr>
            <w:r>
              <w:rPr>
                <w:rFonts w:ascii="Arial" w:cs="Arial" w:eastAsia="Arial" w:hAnsi="Arial"/>
                <w:sz w:val="18"/>
                <w:szCs w:val="18"/>
                <w:color w:val="auto"/>
              </w:rPr>
              <w:t>September 21, 2011, by and among</w:t>
            </w:r>
          </w:p>
        </w:tc>
        <w:tc>
          <w:tcPr>
            <w:tcW w:w="940" w:type="dxa"/>
            <w:vAlign w:val="bottom"/>
          </w:tcPr>
          <w:p>
            <w:pPr>
              <w:ind w:left="20"/>
              <w:spacing w:after="0"/>
              <w:rPr>
                <w:sz w:val="20"/>
                <w:szCs w:val="20"/>
                <w:color w:val="auto"/>
              </w:rPr>
            </w:pPr>
            <w:r>
              <w:rPr>
                <w:rFonts w:ascii="Arial" w:cs="Arial" w:eastAsia="Arial" w:hAnsi="Arial"/>
                <w:sz w:val="18"/>
                <w:szCs w:val="18"/>
                <w:color w:val="auto"/>
              </w:rPr>
              <w:t>The Scotts</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Miracle-Gro</w:t>
            </w:r>
          </w:p>
        </w:tc>
      </w:tr>
    </w:tbl>
    <w:p>
      <w:pPr>
        <w:jc w:val="both"/>
        <w:ind w:left="1520"/>
        <w:spacing w:after="0" w:line="254" w:lineRule="auto"/>
        <w:rPr>
          <w:sz w:val="20"/>
          <w:szCs w:val="20"/>
          <w:color w:val="auto"/>
        </w:rPr>
      </w:pPr>
      <w:r>
        <w:rPr>
          <w:rFonts w:ascii="Arial" w:cs="Arial" w:eastAsia="Arial" w:hAnsi="Arial"/>
          <w:sz w:val="18"/>
          <w:szCs w:val="18"/>
          <w:color w:val="auto"/>
        </w:rPr>
        <w:t>Company, The Scotts Company LLC, The Bank of Nova Scotia, Suntrust Bank, Mizuho Corporate Bank, Ltd. and Crédit Agricole Corporate &amp; Investment Bank, as Administrative Agent and as a Bank</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September 21, 2011 (File No. 1-11593) [Exhibit 10.1]</w:t>
      </w:r>
    </w:p>
    <w:p>
      <w:pPr>
        <w:spacing w:after="0" w:line="788"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10.16</w:t>
            </w:r>
          </w:p>
        </w:tc>
        <w:tc>
          <w:tcPr>
            <w:tcW w:w="5240" w:type="dxa"/>
            <w:vAlign w:val="bottom"/>
          </w:tcPr>
          <w:p>
            <w:pPr>
              <w:ind w:left="320"/>
              <w:spacing w:after="0"/>
              <w:rPr>
                <w:sz w:val="20"/>
                <w:szCs w:val="20"/>
                <w:color w:val="auto"/>
              </w:rPr>
            </w:pPr>
            <w:r>
              <w:rPr>
                <w:rFonts w:ascii="Arial" w:cs="Arial" w:eastAsia="Arial" w:hAnsi="Arial"/>
                <w:sz w:val="18"/>
                <w:szCs w:val="18"/>
                <w:color w:val="auto"/>
                <w:w w:val="97"/>
              </w:rPr>
              <w:t>Master Accounts Receivable Purchase Agreement, dated as of</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November 15, 2012, by and among The Scotts Miracle-Gro</w:t>
            </w:r>
          </w:p>
        </w:tc>
        <w:tc>
          <w:tcPr>
            <w:tcW w:w="4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w w:val="96"/>
              </w:rPr>
              <w:t>Company, The Scotts Company LLC, The Bank of Nova Scotia,</w:t>
            </w:r>
          </w:p>
        </w:tc>
        <w:tc>
          <w:tcPr>
            <w:tcW w:w="49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w w:val="93"/>
              </w:rPr>
              <w:t>Suntrust Bank, RB Receivables LLC and Mizuho Corporate Bank,</w:t>
            </w:r>
          </w:p>
        </w:tc>
        <w:tc>
          <w:tcPr>
            <w:tcW w:w="49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Ltd., as Administrative Agent and as a Bank</w:t>
            </w:r>
          </w:p>
        </w:tc>
        <w:tc>
          <w:tcPr>
            <w:tcW w:w="4960" w:type="dxa"/>
            <w:vAlign w:val="bottom"/>
          </w:tcPr>
          <w:p>
            <w:pPr>
              <w:spacing w:after="0"/>
              <w:rPr>
                <w:sz w:val="20"/>
                <w:szCs w:val="20"/>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12</w:t>
            </w:r>
          </w:p>
        </w:tc>
        <w:tc>
          <w:tcPr>
            <w:tcW w:w="5240" w:type="dxa"/>
            <w:vAlign w:val="bottom"/>
          </w:tcPr>
          <w:p>
            <w:pPr>
              <w:ind w:left="320"/>
              <w:spacing w:after="0"/>
              <w:rPr>
                <w:sz w:val="20"/>
                <w:szCs w:val="20"/>
                <w:color w:val="auto"/>
              </w:rPr>
            </w:pPr>
            <w:r>
              <w:rPr>
                <w:rFonts w:ascii="Arial" w:cs="Arial" w:eastAsia="Arial" w:hAnsi="Arial"/>
                <w:sz w:val="18"/>
                <w:szCs w:val="18"/>
                <w:color w:val="auto"/>
              </w:rPr>
              <w:t>Computation of Ratio of Earnings to Fixed Charges</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14</w:t>
            </w:r>
          </w:p>
        </w:tc>
        <w:tc>
          <w:tcPr>
            <w:tcW w:w="5240" w:type="dxa"/>
            <w:vAlign w:val="bottom"/>
          </w:tcPr>
          <w:p>
            <w:pPr>
              <w:ind w:left="320"/>
              <w:spacing w:after="0"/>
              <w:rPr>
                <w:sz w:val="20"/>
                <w:szCs w:val="20"/>
                <w:color w:val="auto"/>
              </w:rPr>
            </w:pPr>
            <w:r>
              <w:rPr>
                <w:rFonts w:ascii="Arial" w:cs="Arial" w:eastAsia="Arial" w:hAnsi="Arial"/>
                <w:sz w:val="18"/>
                <w:szCs w:val="18"/>
                <w:color w:val="auto"/>
                <w:w w:val="97"/>
              </w:rPr>
              <w:t>The Scotts Miracle-Gro Company Code of Business Conduct &amp;</w:t>
            </w:r>
          </w:p>
        </w:tc>
        <w:tc>
          <w:tcPr>
            <w:tcW w:w="4960" w:type="dxa"/>
            <w:vAlign w:val="bottom"/>
          </w:tcPr>
          <w:p>
            <w:pPr>
              <w:ind w:left="100"/>
              <w:spacing w:after="0"/>
              <w:rPr>
                <w:sz w:val="20"/>
                <w:szCs w:val="20"/>
                <w:color w:val="auto"/>
              </w:rPr>
            </w:pPr>
            <w:r>
              <w:rPr>
                <w:rFonts w:ascii="Arial" w:cs="Arial" w:eastAsia="Arial" w:hAnsi="Arial"/>
                <w:sz w:val="18"/>
                <w:szCs w:val="18"/>
                <w:color w:val="auto"/>
                <w:w w:val="90"/>
              </w:rPr>
              <w:t>Incorporated herein by reference to the Registrant's Current Report</w:t>
            </w:r>
          </w:p>
        </w:tc>
      </w:tr>
      <w:tr>
        <w:trPr>
          <w:trHeight w:val="216"/>
        </w:trPr>
        <w:tc>
          <w:tcPr>
            <w:tcW w:w="116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Ethics (as revised effective January 18, 2012)</w:t>
            </w:r>
          </w:p>
        </w:tc>
        <w:tc>
          <w:tcPr>
            <w:tcW w:w="4960" w:type="dxa"/>
            <w:vAlign w:val="bottom"/>
          </w:tcPr>
          <w:p>
            <w:pPr>
              <w:ind w:left="100"/>
              <w:spacing w:after="0"/>
              <w:rPr>
                <w:sz w:val="20"/>
                <w:szCs w:val="20"/>
                <w:color w:val="auto"/>
              </w:rPr>
            </w:pPr>
            <w:r>
              <w:rPr>
                <w:rFonts w:ascii="Arial" w:cs="Arial" w:eastAsia="Arial" w:hAnsi="Arial"/>
                <w:sz w:val="18"/>
                <w:szCs w:val="18"/>
                <w:color w:val="auto"/>
                <w:w w:val="97"/>
              </w:rPr>
              <w:t>on Form 8-K filed January 24, 2012 (File No. 1-11593) [Exhibit</w:t>
            </w:r>
          </w:p>
        </w:tc>
      </w:tr>
      <w:tr>
        <w:trPr>
          <w:trHeight w:val="230"/>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14.1]</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5240" w:type="dxa"/>
            <w:vAlign w:val="bottom"/>
          </w:tcPr>
          <w:p>
            <w:pPr>
              <w:ind w:left="320"/>
              <w:spacing w:after="0"/>
              <w:rPr>
                <w:sz w:val="20"/>
                <w:szCs w:val="20"/>
                <w:color w:val="auto"/>
              </w:rPr>
            </w:pPr>
            <w:r>
              <w:rPr>
                <w:rFonts w:ascii="Arial" w:cs="Arial" w:eastAsia="Arial" w:hAnsi="Arial"/>
                <w:sz w:val="18"/>
                <w:szCs w:val="18"/>
                <w:color w:val="auto"/>
              </w:rPr>
              <w:t>Subsidiaries of The Scotts Miracle-Gro Company</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5240" w:type="dxa"/>
            <w:vAlign w:val="bottom"/>
          </w:tcPr>
          <w:p>
            <w:pPr>
              <w:ind w:left="320"/>
              <w:spacing w:after="0"/>
              <w:rPr>
                <w:sz w:val="20"/>
                <w:szCs w:val="20"/>
                <w:color w:val="auto"/>
              </w:rPr>
            </w:pPr>
            <w:r>
              <w:rPr>
                <w:rFonts w:ascii="Arial" w:cs="Arial" w:eastAsia="Arial" w:hAnsi="Arial"/>
                <w:sz w:val="18"/>
                <w:szCs w:val="18"/>
                <w:color w:val="auto"/>
                <w:w w:val="98"/>
              </w:rPr>
              <w:t>Consent of Independent Registered Public Accounting Firm —</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Deloitte &amp; Touche LLP</w:t>
            </w:r>
          </w:p>
        </w:tc>
        <w:tc>
          <w:tcPr>
            <w:tcW w:w="496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24</w:t>
            </w:r>
          </w:p>
        </w:tc>
        <w:tc>
          <w:tcPr>
            <w:tcW w:w="5240" w:type="dxa"/>
            <w:vAlign w:val="bottom"/>
          </w:tcPr>
          <w:p>
            <w:pPr>
              <w:ind w:left="320"/>
              <w:spacing w:after="0"/>
              <w:rPr>
                <w:sz w:val="20"/>
                <w:szCs w:val="20"/>
                <w:color w:val="auto"/>
              </w:rPr>
            </w:pPr>
            <w:r>
              <w:rPr>
                <w:rFonts w:ascii="Arial" w:cs="Arial" w:eastAsia="Arial" w:hAnsi="Arial"/>
                <w:sz w:val="18"/>
                <w:szCs w:val="18"/>
                <w:color w:val="auto"/>
                <w:w w:val="99"/>
              </w:rPr>
              <w:t>Powers of Attorney of Executive Officers and Directors of The</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Scotts Miracle-Gro Company</w:t>
            </w:r>
          </w:p>
        </w:tc>
        <w:tc>
          <w:tcPr>
            <w:tcW w:w="496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tcPr>
          <w:p>
            <w:pPr>
              <w:ind w:left="320"/>
              <w:spacing w:after="0"/>
              <w:rPr>
                <w:sz w:val="20"/>
                <w:szCs w:val="20"/>
                <w:color w:val="auto"/>
              </w:rPr>
            </w:pPr>
            <w:r>
              <w:rPr>
                <w:rFonts w:ascii="Arial" w:cs="Arial" w:eastAsia="Arial" w:hAnsi="Arial"/>
                <w:sz w:val="18"/>
                <w:szCs w:val="18"/>
                <w:color w:val="auto"/>
                <w:w w:val="98"/>
              </w:rPr>
              <w:t>Rule  13a-14(a)/15d-14(a)  Certifications  (Principal  Executive</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Officer)</w:t>
            </w:r>
          </w:p>
        </w:tc>
        <w:tc>
          <w:tcPr>
            <w:tcW w:w="496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5240" w:type="dxa"/>
            <w:vAlign w:val="bottom"/>
          </w:tcPr>
          <w:p>
            <w:pPr>
              <w:ind w:left="320"/>
              <w:spacing w:after="0"/>
              <w:rPr>
                <w:sz w:val="20"/>
                <w:szCs w:val="20"/>
                <w:color w:val="auto"/>
              </w:rPr>
            </w:pPr>
            <w:r>
              <w:rPr>
                <w:rFonts w:ascii="Arial" w:cs="Arial" w:eastAsia="Arial" w:hAnsi="Arial"/>
                <w:sz w:val="18"/>
                <w:szCs w:val="18"/>
                <w:color w:val="auto"/>
              </w:rPr>
              <w:t>Rule  13a-14(a)/15d-14(a)  Certifications  (Principal  Financial</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Officer)</w:t>
            </w:r>
          </w:p>
        </w:tc>
        <w:tc>
          <w:tcPr>
            <w:tcW w:w="496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5240" w:type="dxa"/>
            <w:vAlign w:val="bottom"/>
          </w:tcPr>
          <w:p>
            <w:pPr>
              <w:ind w:left="320"/>
              <w:spacing w:after="0"/>
              <w:rPr>
                <w:sz w:val="20"/>
                <w:szCs w:val="20"/>
                <w:color w:val="auto"/>
              </w:rPr>
            </w:pPr>
            <w:r>
              <w:rPr>
                <w:rFonts w:ascii="Arial" w:cs="Arial" w:eastAsia="Arial" w:hAnsi="Arial"/>
                <w:sz w:val="18"/>
                <w:szCs w:val="18"/>
                <w:color w:val="auto"/>
                <w:w w:val="97"/>
              </w:rPr>
              <w:t>Section  1350  Certifications  (Principal  Executive  Officer  and</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Principal Financial Officer)</w:t>
            </w:r>
          </w:p>
        </w:tc>
        <w:tc>
          <w:tcPr>
            <w:tcW w:w="4960" w:type="dxa"/>
            <w:vAlign w:val="bottom"/>
          </w:tcPr>
          <w:p>
            <w:pPr>
              <w:spacing w:after="0"/>
              <w:rPr>
                <w:sz w:val="20"/>
                <w:szCs w:val="20"/>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5240" w:type="dxa"/>
            <w:vAlign w:val="bottom"/>
          </w:tcPr>
          <w:p>
            <w:pPr>
              <w:ind w:left="320"/>
              <w:spacing w:after="0"/>
              <w:rPr>
                <w:sz w:val="20"/>
                <w:szCs w:val="20"/>
                <w:color w:val="auto"/>
              </w:rPr>
            </w:pPr>
            <w:r>
              <w:rPr>
                <w:rFonts w:ascii="Arial" w:cs="Arial" w:eastAsia="Arial" w:hAnsi="Arial"/>
                <w:sz w:val="18"/>
                <w:szCs w:val="18"/>
                <w:color w:val="auto"/>
              </w:rPr>
              <w:t>XBRL Instance Document</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tcPr>
          <w:p>
            <w:pPr>
              <w:ind w:left="320"/>
              <w:spacing w:after="0"/>
              <w:rPr>
                <w:sz w:val="20"/>
                <w:szCs w:val="20"/>
                <w:color w:val="auto"/>
              </w:rPr>
            </w:pPr>
            <w:r>
              <w:rPr>
                <w:rFonts w:ascii="Arial" w:cs="Arial" w:eastAsia="Arial" w:hAnsi="Arial"/>
                <w:sz w:val="18"/>
                <w:szCs w:val="18"/>
                <w:color w:val="auto"/>
              </w:rPr>
              <w:t>XBRL Taxonomy Extension Schema</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tcPr>
          <w:p>
            <w:pPr>
              <w:ind w:left="320"/>
              <w:spacing w:after="0"/>
              <w:rPr>
                <w:sz w:val="20"/>
                <w:szCs w:val="20"/>
                <w:color w:val="auto"/>
              </w:rPr>
            </w:pPr>
            <w:r>
              <w:rPr>
                <w:rFonts w:ascii="Arial" w:cs="Arial" w:eastAsia="Arial" w:hAnsi="Arial"/>
                <w:sz w:val="18"/>
                <w:szCs w:val="18"/>
                <w:color w:val="auto"/>
              </w:rPr>
              <w:t>XBRL Taxonomy Extension Label Linkbase</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720" w:hanging="685"/>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jc w:val="both"/>
        <w:ind w:left="720" w:right="20" w:hanging="685"/>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9" w:lineRule="exact"/>
        <w:rPr>
          <w:sz w:val="20"/>
          <w:szCs w:val="20"/>
          <w:color w:val="auto"/>
        </w:rPr>
      </w:pPr>
    </w:p>
    <w:p>
      <w:pPr>
        <w:ind w:left="720" w:hanging="685"/>
        <w:spacing w:after="0"/>
        <w:tabs>
          <w:tab w:leader="none" w:pos="720" w:val="left"/>
        </w:tabs>
        <w:numPr>
          <w:ilvl w:val="0"/>
          <w:numId w:val="32"/>
        </w:numPr>
        <w:rPr>
          <w:rFonts w:ascii="Arial" w:cs="Arial" w:eastAsia="Arial" w:hAnsi="Arial"/>
          <w:sz w:val="13"/>
          <w:szCs w:val="13"/>
          <w:color w:val="auto"/>
        </w:rPr>
      </w:pPr>
      <w:r>
        <w:rPr>
          <w:rFonts w:ascii="Arial" w:cs="Arial" w:eastAsia="Arial" w:hAnsi="Arial"/>
          <w:sz w:val="18"/>
          <w:szCs w:val="18"/>
          <w:color w:val="auto"/>
        </w:rPr>
        <w:t>Management contract, compensatory plan or arrangement.</w:t>
      </w:r>
    </w:p>
    <w:p>
      <w:pPr>
        <w:sectPr>
          <w:pgSz w:w="11900" w:h="16838" w:orient="portrait"/>
          <w:cols w:equalWidth="0" w:num="1">
            <w:col w:w="11400"/>
          </w:cols>
          <w:pgMar w:left="240" w:top="122" w:right="25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00"/>
          </w:cols>
          <w:pgMar w:left="240" w:top="122" w:right="25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53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418080" cy="531495"/>
                    </a:xfrm>
                    <a:prstGeom prst="rect">
                      <a:avLst/>
                    </a:prstGeom>
                    <a:noFill/>
                  </pic:spPr>
                </pic:pic>
              </a:graphicData>
            </a:graphic>
          </wp:anchor>
        </w:drawing>
        <w:t>Exhibit 4.3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20, 2012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0"/>
          <w:szCs w:val="20"/>
          <w:color w:val="auto"/>
        </w:rPr>
      </w:pPr>
    </w:p>
    <w:p>
      <w:pPr>
        <w:ind w:left="1960" w:right="300" w:hanging="659"/>
        <w:spacing w:after="0" w:line="263" w:lineRule="auto"/>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The Scotts Miracle-Gro Company – Annual Report on Form 10-K for the fiscal year ended September 30, 2012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2012 (the “Form 10-K”).</w:t>
      </w:r>
    </w:p>
    <w:p>
      <w:pPr>
        <w:spacing w:after="0" w:line="175" w:lineRule="exact"/>
        <w:rPr>
          <w:sz w:val="20"/>
          <w:szCs w:val="20"/>
          <w:color w:val="auto"/>
        </w:rPr>
      </w:pPr>
    </w:p>
    <w:p>
      <w:pPr>
        <w:ind w:right="260" w:firstLine="648"/>
        <w:spacing w:after="0" w:line="292"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SCOTTS MIRACLE-GRO COMPANY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David C. Evans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C. Evans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 and Executive Vice President, Strategy and Business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14111 Scottslawn Road Marysville, OH 43041 937-644-0011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4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10.7(c)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Confidentiality, Noncompetition,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Nonsolicitation Agreement for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in The Scotts Company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Date of Employee Confidentiality,</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Name and Principal Position</w:t>
            </w:r>
          </w:p>
        </w:tc>
        <w:tc>
          <w:tcPr>
            <w:tcW w:w="3980" w:type="dxa"/>
            <w:vAlign w:val="bottom"/>
          </w:tcPr>
          <w:p>
            <w:pPr>
              <w:ind w:left="20"/>
              <w:spacing w:after="0"/>
              <w:rPr>
                <w:sz w:val="20"/>
                <w:szCs w:val="20"/>
                <w:color w:val="auto"/>
              </w:rPr>
            </w:pPr>
            <w:r>
              <w:rPr>
                <w:rFonts w:ascii="Arial" w:cs="Arial" w:eastAsia="Arial" w:hAnsi="Arial"/>
                <w:sz w:val="18"/>
                <w:szCs w:val="18"/>
                <w:color w:val="auto"/>
              </w:rPr>
              <w:t>Noncompetition, Nonsolicitation</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with The Scotts Miracle-Gro Company</w:t>
            </w:r>
          </w:p>
        </w:tc>
        <w:tc>
          <w:tcPr>
            <w:tcW w:w="39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50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Barry W. Sanders, President and Chief Operating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April 22, 2005</w:t>
            </w:r>
          </w:p>
        </w:tc>
      </w:tr>
      <w:tr>
        <w:trPr>
          <w:trHeight w:val="526"/>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7"/>
              </w:rPr>
              <w:t>Vincent C. Brockman, Executive Vice President, General Counsel and Corporate Secretary and</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May 11, 2006</w:t>
            </w:r>
          </w:p>
        </w:tc>
      </w:tr>
      <w:tr>
        <w:trPr>
          <w:trHeight w:val="23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Chief Ethics &amp; Compliance Officer</w:t>
            </w:r>
          </w:p>
        </w:tc>
        <w:tc>
          <w:tcPr>
            <w:tcW w:w="3980" w:type="dxa"/>
            <w:vAlign w:val="bottom"/>
          </w:tcPr>
          <w:p>
            <w:pPr>
              <w:spacing w:after="0"/>
              <w:rPr>
                <w:sz w:val="20"/>
                <w:szCs w:val="20"/>
                <w:color w:val="auto"/>
              </w:rPr>
            </w:pPr>
          </w:p>
        </w:tc>
      </w:tr>
      <w:tr>
        <w:trPr>
          <w:trHeight w:val="526"/>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9"/>
              </w:rPr>
              <w:t>David C. Evans, Chief Financial Officer and Executive Vice President, Strategy and Business</w:t>
            </w: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May 20, 2006</w:t>
            </w:r>
          </w:p>
        </w:tc>
      </w:tr>
      <w:tr>
        <w:trPr>
          <w:trHeight w:val="23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3980" w:type="dxa"/>
            <w:vAlign w:val="bottom"/>
          </w:tcPr>
          <w:p>
            <w:pPr>
              <w:spacing w:after="0"/>
              <w:rPr>
                <w:sz w:val="20"/>
                <w:szCs w:val="20"/>
                <w:color w:val="auto"/>
              </w:rPr>
            </w:pPr>
          </w:p>
        </w:tc>
      </w:tr>
      <w:tr>
        <w:trPr>
          <w:trHeight w:val="54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Denise S. Stump, Executive Vice President, Global Human Resources</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r>
        <w:trPr>
          <w:trHeight w:val="54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James R. Lyski, Executive Vice President, Chief Marketing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April 6, 2011</w:t>
            </w:r>
          </w:p>
        </w:tc>
      </w:tr>
    </w:tbl>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10.11(c)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Tier 1 Participation Agreement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Scotts Company LLC Executive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Effective Date of Employee,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Name and Principal Position</w:t>
            </w:r>
          </w:p>
        </w:tc>
        <w:tc>
          <w:tcPr>
            <w:tcW w:w="3640" w:type="dxa"/>
            <w:vAlign w:val="bottom"/>
          </w:tcPr>
          <w:p>
            <w:pPr>
              <w:ind w:left="20"/>
              <w:spacing w:after="0"/>
              <w:rPr>
                <w:sz w:val="20"/>
                <w:szCs w:val="20"/>
                <w:color w:val="auto"/>
              </w:rPr>
            </w:pPr>
            <w:r>
              <w:rPr>
                <w:rFonts w:ascii="Arial" w:cs="Arial" w:eastAsia="Arial" w:hAnsi="Arial"/>
                <w:sz w:val="18"/>
                <w:szCs w:val="18"/>
                <w:color w:val="auto"/>
              </w:rPr>
              <w:t>Tier 1 Participation</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with The Scotts Miracle-Gro Company</w:t>
            </w:r>
          </w:p>
        </w:tc>
        <w:tc>
          <w:tcPr>
            <w:tcW w:w="364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27"/>
        </w:trPr>
        <w:tc>
          <w:tcPr>
            <w:tcW w:w="7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50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Barry W. Sanders, President and Chief Operating Officer</w:t>
            </w:r>
          </w:p>
        </w:tc>
        <w:tc>
          <w:tcPr>
            <w:tcW w:w="3640" w:type="dxa"/>
            <w:vAlign w:val="bottom"/>
          </w:tcPr>
          <w:p>
            <w:pPr>
              <w:ind w:left="1140"/>
              <w:spacing w:after="0"/>
              <w:rPr>
                <w:sz w:val="20"/>
                <w:szCs w:val="20"/>
                <w:color w:val="auto"/>
              </w:rPr>
            </w:pPr>
            <w:r>
              <w:rPr>
                <w:rFonts w:ascii="Arial" w:cs="Arial" w:eastAsia="Arial" w:hAnsi="Arial"/>
                <w:sz w:val="18"/>
                <w:szCs w:val="18"/>
                <w:color w:val="auto"/>
              </w:rPr>
              <w:t>November 5, 2011</w:t>
            </w:r>
          </w:p>
        </w:tc>
      </w:tr>
      <w:tr>
        <w:trPr>
          <w:trHeight w:val="526"/>
        </w:trPr>
        <w:tc>
          <w:tcPr>
            <w:tcW w:w="7780" w:type="dxa"/>
            <w:vAlign w:val="bottom"/>
            <w:gridSpan w:val="2"/>
          </w:tcPr>
          <w:p>
            <w:pPr>
              <w:ind w:left="40"/>
              <w:spacing w:after="0"/>
              <w:rPr>
                <w:sz w:val="20"/>
                <w:szCs w:val="20"/>
                <w:color w:val="auto"/>
              </w:rPr>
            </w:pPr>
            <w:r>
              <w:rPr>
                <w:rFonts w:ascii="Arial" w:cs="Arial" w:eastAsia="Arial" w:hAnsi="Arial"/>
                <w:sz w:val="18"/>
                <w:szCs w:val="18"/>
                <w:color w:val="auto"/>
                <w:w w:val="95"/>
              </w:rPr>
              <w:t>Vincent C. Brockman, Executive Vice President, General Counsel and Corporate Secretary and Chief</w:t>
            </w:r>
          </w:p>
        </w:tc>
        <w:tc>
          <w:tcPr>
            <w:tcW w:w="3640" w:type="dxa"/>
            <w:vAlign w:val="bottom"/>
          </w:tcPr>
          <w:p>
            <w:pPr>
              <w:ind w:left="1140"/>
              <w:spacing w:after="0"/>
              <w:rPr>
                <w:sz w:val="20"/>
                <w:szCs w:val="20"/>
                <w:color w:val="auto"/>
              </w:rPr>
            </w:pPr>
            <w:r>
              <w:rPr>
                <w:rFonts w:ascii="Arial" w:cs="Arial" w:eastAsia="Arial" w:hAnsi="Arial"/>
                <w:sz w:val="18"/>
                <w:szCs w:val="18"/>
                <w:color w:val="auto"/>
              </w:rPr>
              <w:t>November 5, 2011</w:t>
            </w:r>
          </w:p>
        </w:tc>
      </w:tr>
      <w:tr>
        <w:trPr>
          <w:trHeight w:val="23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Ethics &amp; Compliance Officer</w:t>
            </w:r>
          </w:p>
        </w:tc>
        <w:tc>
          <w:tcPr>
            <w:tcW w:w="3640" w:type="dxa"/>
            <w:vAlign w:val="bottom"/>
          </w:tcPr>
          <w:p>
            <w:pPr>
              <w:spacing w:after="0"/>
              <w:rPr>
                <w:sz w:val="20"/>
                <w:szCs w:val="20"/>
                <w:color w:val="auto"/>
              </w:rPr>
            </w:pPr>
          </w:p>
        </w:tc>
      </w:tr>
      <w:tr>
        <w:trPr>
          <w:trHeight w:val="526"/>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David C. Evans, Chief Financial Officer and Executive Vice President, Strategy and Business</w:t>
            </w:r>
          </w:p>
        </w:tc>
        <w:tc>
          <w:tcPr>
            <w:tcW w:w="3640" w:type="dxa"/>
            <w:vAlign w:val="bottom"/>
          </w:tcPr>
          <w:p>
            <w:pPr>
              <w:ind w:left="1140"/>
              <w:spacing w:after="0"/>
              <w:rPr>
                <w:sz w:val="20"/>
                <w:szCs w:val="20"/>
                <w:color w:val="auto"/>
              </w:rPr>
            </w:pPr>
            <w:r>
              <w:rPr>
                <w:rFonts w:ascii="Arial" w:cs="Arial" w:eastAsia="Arial" w:hAnsi="Arial"/>
                <w:sz w:val="18"/>
                <w:szCs w:val="18"/>
                <w:color w:val="auto"/>
              </w:rPr>
              <w:t>November 5, 2011</w:t>
            </w:r>
          </w:p>
        </w:tc>
      </w:tr>
      <w:tr>
        <w:trPr>
          <w:trHeight w:val="23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3640" w:type="dxa"/>
            <w:vAlign w:val="bottom"/>
          </w:tcPr>
          <w:p>
            <w:pPr>
              <w:spacing w:after="0"/>
              <w:rPr>
                <w:sz w:val="20"/>
                <w:szCs w:val="20"/>
                <w:color w:val="auto"/>
              </w:rPr>
            </w:pPr>
          </w:p>
        </w:tc>
      </w:tr>
      <w:tr>
        <w:trPr>
          <w:trHeight w:val="54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Denise S. Stump, Executive Vice President, Global Human Resources</w:t>
            </w:r>
          </w:p>
        </w:tc>
        <w:tc>
          <w:tcPr>
            <w:tcW w:w="3640" w:type="dxa"/>
            <w:vAlign w:val="bottom"/>
          </w:tcPr>
          <w:p>
            <w:pPr>
              <w:ind w:left="1140"/>
              <w:spacing w:after="0"/>
              <w:rPr>
                <w:sz w:val="20"/>
                <w:szCs w:val="20"/>
                <w:color w:val="auto"/>
              </w:rPr>
            </w:pPr>
            <w:r>
              <w:rPr>
                <w:rFonts w:ascii="Arial" w:cs="Arial" w:eastAsia="Arial" w:hAnsi="Arial"/>
                <w:sz w:val="18"/>
                <w:szCs w:val="18"/>
                <w:color w:val="auto"/>
              </w:rPr>
              <w:t>November 5, 2011</w:t>
            </w:r>
          </w:p>
        </w:tc>
      </w:tr>
      <w:tr>
        <w:trPr>
          <w:trHeight w:val="54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James R. Lyski, Executive Vice President, Chief Marketing Officer</w:t>
            </w:r>
          </w:p>
        </w:tc>
        <w:tc>
          <w:tcPr>
            <w:tcW w:w="3640" w:type="dxa"/>
            <w:vAlign w:val="bottom"/>
          </w:tcPr>
          <w:p>
            <w:pPr>
              <w:ind w:left="1140"/>
              <w:spacing w:after="0"/>
              <w:rPr>
                <w:sz w:val="20"/>
                <w:szCs w:val="20"/>
                <w:color w:val="auto"/>
              </w:rPr>
            </w:pPr>
            <w:r>
              <w:rPr>
                <w:rFonts w:ascii="Arial" w:cs="Arial" w:eastAsia="Arial" w:hAnsi="Arial"/>
                <w:sz w:val="18"/>
                <w:szCs w:val="18"/>
                <w:color w:val="auto"/>
              </w:rPr>
              <w:t>November 5, 2011</w:t>
            </w:r>
          </w:p>
        </w:tc>
      </w:tr>
    </w:tbl>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879475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MASTER ACCOUNTS RECEIVABLE PURCHASE AGREEMENT</w:t>
      </w:r>
    </w:p>
    <w:p>
      <w:pPr>
        <w:spacing w:after="0" w:line="29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among</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SCOTTS COMPANY LLC,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Company</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SCOTTS MIRACLE-GRO COMPANY,</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Parent</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BANKS PARTY HERETO</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MIZUHO CORPORATE BANK, LTD.,</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Administrative Agent</w:t>
      </w:r>
    </w:p>
    <w:p>
      <w:pPr>
        <w:spacing w:after="0" w:line="24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___________________________________________</w:t>
      </w:r>
    </w:p>
    <w:p>
      <w:pPr>
        <w:spacing w:after="0" w:line="200" w:lineRule="exact"/>
        <w:rPr>
          <w:sz w:val="20"/>
          <w:szCs w:val="20"/>
          <w:color w:val="auto"/>
        </w:rPr>
      </w:pPr>
    </w:p>
    <w:p>
      <w:pPr>
        <w:spacing w:after="0" w:line="31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MIZUHO CORPORATE BANK, LTD.,</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Sole Lead Arranger</w:t>
      </w:r>
    </w:p>
    <w:p>
      <w:pPr>
        <w:spacing w:after="0" w:line="24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___________________________________________</w:t>
      </w: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Dated as of November 15,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551815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Pillsbury Winthrop Shaw Pittman LLP</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1540 Broadway</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New York, New York 10036</w:t>
      </w:r>
    </w:p>
    <w:p>
      <w:pPr>
        <w:sectPr>
          <w:pgSz w:w="11900" w:h="16838" w:orient="portrait"/>
          <w:cols w:equalWidth="0" w:num="1">
            <w:col w:w="10220"/>
          </w:cols>
          <w:pgMar w:left="1440" w:top="121" w:right="239" w:bottom="1440" w:gutter="0" w:footer="0" w:header="0"/>
        </w:sectPr>
      </w:pPr>
    </w:p>
    <w:bookmarkStart w:id="119" w:name="page120"/>
    <w:bookmarkEnd w:id="119"/>
    <w:tbl>
      <w:tblPr>
        <w:tblLayout w:type="fixed"/>
        <w:tblInd w:w="1620" w:type="dxa"/>
        <w:tblCellMar>
          <w:top w:w="0" w:type="dxa"/>
          <w:left w:w="0" w:type="dxa"/>
          <w:bottom w:w="0" w:type="dxa"/>
          <w:right w:w="0" w:type="dxa"/>
        </w:tblCellMar>
      </w:tblPr>
      <w:tr>
        <w:trPr>
          <w:trHeight w:val="275"/>
        </w:trPr>
        <w:tc>
          <w:tcPr>
            <w:tcW w:w="2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gridSpan w:val="13"/>
          </w:tcPr>
          <w:p>
            <w:pPr>
              <w:ind w:left="140"/>
              <w:spacing w:after="0"/>
              <w:rPr>
                <w:sz w:val="20"/>
                <w:szCs w:val="20"/>
                <w:color w:val="auto"/>
              </w:rPr>
            </w:pPr>
            <w:r>
              <w:rPr>
                <w:rFonts w:ascii="Arial" w:cs="Arial" w:eastAsia="Arial" w:hAnsi="Arial"/>
                <w:sz w:val="22"/>
                <w:szCs w:val="22"/>
                <w:color w:val="auto"/>
                <w:w w:val="92"/>
              </w:rPr>
              <w:t>Table of Contents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22"/>
        </w:trPr>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2"/>
          </w:tcPr>
          <w:p>
            <w:pPr>
              <w:ind w:left="2880"/>
              <w:spacing w:after="0"/>
              <w:rPr>
                <w:sz w:val="20"/>
                <w:szCs w:val="20"/>
                <w:color w:val="auto"/>
              </w:rPr>
            </w:pPr>
            <w:r>
              <w:rPr>
                <w:rFonts w:ascii="Arial" w:cs="Arial" w:eastAsia="Arial" w:hAnsi="Arial"/>
                <w:sz w:val="22"/>
                <w:szCs w:val="22"/>
                <w:color w:val="auto"/>
                <w:w w:val="77"/>
              </w:rPr>
              <w:t>Page</w:t>
            </w:r>
          </w:p>
        </w:tc>
      </w:tr>
      <w:tr>
        <w:trPr>
          <w:trHeight w:val="453"/>
        </w:trPr>
        <w:tc>
          <w:tcPr>
            <w:tcW w:w="4860" w:type="dxa"/>
            <w:vAlign w:val="bottom"/>
            <w:tcBorders>
              <w:bottom w:val="single" w:sz="8" w:color="0000FF"/>
            </w:tcBorders>
            <w:gridSpan w:val="20"/>
          </w:tcPr>
          <w:p>
            <w:pPr>
              <w:spacing w:after="0"/>
              <w:rPr>
                <w:rFonts w:ascii="Arial" w:cs="Arial" w:eastAsia="Arial" w:hAnsi="Arial"/>
                <w:sz w:val="22"/>
                <w:szCs w:val="22"/>
                <w:color w:val="0000FF"/>
                <w:w w:val="94"/>
              </w:rPr>
            </w:pPr>
            <w:hyperlink w:anchor="page121">
              <w:r>
                <w:rPr>
                  <w:rFonts w:ascii="Arial" w:cs="Arial" w:eastAsia="Arial" w:hAnsi="Arial"/>
                  <w:sz w:val="22"/>
                  <w:szCs w:val="22"/>
                  <w:color w:val="0000FF"/>
                  <w:w w:val="94"/>
                </w:rPr>
                <w:t xml:space="preserve">SECTION </w:t>
              </w:r>
            </w:hyperlink>
            <w:r>
              <w:rPr>
                <w:rFonts w:ascii="Arial" w:cs="Arial" w:eastAsia="Arial" w:hAnsi="Arial"/>
                <w:sz w:val="22"/>
                <w:szCs w:val="22"/>
                <w:color w:val="0000FF"/>
                <w:w w:val="94"/>
              </w:rPr>
              <w:t>1.DEFINITIONS AND INTERPRETATION</w:t>
            </w:r>
          </w:p>
        </w:tc>
        <w:tc>
          <w:tcPr>
            <w:tcW w:w="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345"/>
        </w:trPr>
        <w:tc>
          <w:tcPr>
            <w:tcW w:w="6500" w:type="dxa"/>
            <w:vAlign w:val="bottom"/>
            <w:gridSpan w:val="26"/>
          </w:tcPr>
          <w:p>
            <w:pPr>
              <w:spacing w:after="0"/>
              <w:rPr>
                <w:rFonts w:ascii="Arial" w:cs="Arial" w:eastAsia="Arial" w:hAnsi="Arial"/>
                <w:sz w:val="22"/>
                <w:szCs w:val="22"/>
                <w:color w:val="0000FF"/>
                <w:w w:val="94"/>
              </w:rPr>
            </w:pPr>
            <w:hyperlink w:anchor="page130">
              <w:r>
                <w:rPr>
                  <w:rFonts w:ascii="Arial" w:cs="Arial" w:eastAsia="Arial" w:hAnsi="Arial"/>
                  <w:sz w:val="22"/>
                  <w:szCs w:val="22"/>
                  <w:color w:val="0000FF"/>
                  <w:w w:val="94"/>
                </w:rPr>
                <w:t xml:space="preserve">SECTION </w:t>
              </w:r>
            </w:hyperlink>
            <w:r>
              <w:rPr>
                <w:rFonts w:ascii="Arial" w:cs="Arial" w:eastAsia="Arial" w:hAnsi="Arial"/>
                <w:sz w:val="22"/>
                <w:szCs w:val="22"/>
                <w:color w:val="0000FF"/>
                <w:w w:val="94"/>
              </w:rPr>
              <w:t>2.TERMS OF PURCHASE ON AN UNCOMMITTED BASIS</w:t>
            </w:r>
          </w:p>
        </w:tc>
        <w:tc>
          <w:tcPr>
            <w:tcW w:w="2880" w:type="dxa"/>
            <w:vAlign w:val="bottom"/>
          </w:tcPr>
          <w:p>
            <w:pPr>
              <w:jc w:val="right"/>
              <w:ind w:right="2392"/>
              <w:spacing w:after="0"/>
              <w:rPr>
                <w:sz w:val="20"/>
                <w:szCs w:val="20"/>
                <w:color w:val="auto"/>
              </w:rPr>
            </w:pPr>
            <w:r>
              <w:rPr>
                <w:rFonts w:ascii="Arial" w:cs="Arial" w:eastAsia="Arial" w:hAnsi="Arial"/>
                <w:sz w:val="22"/>
                <w:szCs w:val="22"/>
                <w:color w:val="auto"/>
              </w:rPr>
              <w:t>10</w:t>
            </w:r>
          </w:p>
        </w:tc>
        <w:tc>
          <w:tcPr>
            <w:tcW w:w="420" w:type="dxa"/>
            <w:vAlign w:val="bottom"/>
          </w:tcPr>
          <w:p>
            <w:pPr>
              <w:spacing w:after="0"/>
              <w:rPr>
                <w:sz w:val="24"/>
                <w:szCs w:val="24"/>
                <w:color w:val="auto"/>
              </w:rPr>
            </w:pPr>
          </w:p>
        </w:tc>
      </w:tr>
      <w:tr>
        <w:trPr>
          <w:trHeight w:val="345"/>
        </w:trPr>
        <w:tc>
          <w:tcPr>
            <w:tcW w:w="4940" w:type="dxa"/>
            <w:vAlign w:val="bottom"/>
            <w:tcBorders>
              <w:top w:val="single" w:sz="8" w:color="0000FF"/>
            </w:tcBorders>
            <w:gridSpan w:val="21"/>
          </w:tcPr>
          <w:p>
            <w:pPr>
              <w:spacing w:after="0"/>
              <w:rPr>
                <w:rFonts w:ascii="Arial" w:cs="Arial" w:eastAsia="Arial" w:hAnsi="Arial"/>
                <w:sz w:val="22"/>
                <w:szCs w:val="22"/>
                <w:color w:val="0000FF"/>
              </w:rPr>
            </w:pPr>
            <w:hyperlink w:anchor="page130">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3.CONDITIONS PRECEDENT  </w:t>
            </w:r>
            <w:r>
              <w:rPr>
                <w:rFonts w:ascii="Arial" w:cs="Arial" w:eastAsia="Arial" w:hAnsi="Arial"/>
                <w:sz w:val="22"/>
                <w:szCs w:val="22"/>
                <w:color w:val="000000"/>
              </w:rPr>
              <w:t>10</w:t>
            </w: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4940" w:type="dxa"/>
            <w:vAlign w:val="bottom"/>
            <w:gridSpan w:val="21"/>
          </w:tcPr>
          <w:p>
            <w:pPr>
              <w:spacing w:after="0"/>
              <w:rPr>
                <w:rFonts w:ascii="Arial" w:cs="Arial" w:eastAsia="Arial" w:hAnsi="Arial"/>
                <w:sz w:val="22"/>
                <w:szCs w:val="22"/>
                <w:color w:val="0000FF"/>
              </w:rPr>
            </w:pPr>
            <w:hyperlink w:anchor="page131">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4.PURCHASE OF RECEIVABLES  </w:t>
            </w:r>
            <w:r>
              <w:rPr>
                <w:rFonts w:ascii="Arial" w:cs="Arial" w:eastAsia="Arial" w:hAnsi="Arial"/>
                <w:sz w:val="22"/>
                <w:szCs w:val="22"/>
                <w:color w:val="000000"/>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180" w:type="dxa"/>
            <w:vAlign w:val="bottom"/>
            <w:tcBorders>
              <w:top w:val="single" w:sz="8" w:color="0000FF"/>
            </w:tcBorders>
            <w:gridSpan w:val="8"/>
          </w:tcPr>
          <w:p>
            <w:pPr>
              <w:spacing w:after="0"/>
              <w:rPr>
                <w:rFonts w:ascii="Arial" w:cs="Arial" w:eastAsia="Arial" w:hAnsi="Arial"/>
                <w:sz w:val="22"/>
                <w:szCs w:val="22"/>
                <w:color w:val="0000FF"/>
              </w:rPr>
            </w:pPr>
            <w:hyperlink w:anchor="page139">
              <w:r>
                <w:rPr>
                  <w:rFonts w:ascii="Arial" w:cs="Arial" w:eastAsia="Arial" w:hAnsi="Arial"/>
                  <w:sz w:val="22"/>
                  <w:szCs w:val="22"/>
                  <w:color w:val="0000FF"/>
                </w:rPr>
                <w:t xml:space="preserve">SECTION </w:t>
              </w:r>
            </w:hyperlink>
            <w:r>
              <w:rPr>
                <w:rFonts w:ascii="Arial" w:cs="Arial" w:eastAsia="Arial" w:hAnsi="Arial"/>
                <w:sz w:val="22"/>
                <w:szCs w:val="22"/>
                <w:color w:val="0000FF"/>
              </w:rPr>
              <w:t>5.LIMITED LIABILITY</w:t>
            </w:r>
          </w:p>
        </w:tc>
        <w:tc>
          <w:tcPr>
            <w:tcW w:w="580" w:type="dxa"/>
            <w:vAlign w:val="bottom"/>
            <w:tcBorders>
              <w:top w:val="single" w:sz="8" w:color="0000FF"/>
            </w:tcBorders>
            <w:gridSpan w:val="3"/>
          </w:tcPr>
          <w:p>
            <w:pPr>
              <w:ind w:left="180"/>
              <w:spacing w:after="0"/>
              <w:rPr>
                <w:sz w:val="20"/>
                <w:szCs w:val="20"/>
                <w:color w:val="auto"/>
              </w:rPr>
            </w:pPr>
            <w:r>
              <w:rPr>
                <w:rFonts w:ascii="Arial" w:cs="Arial" w:eastAsia="Arial" w:hAnsi="Arial"/>
                <w:sz w:val="22"/>
                <w:szCs w:val="22"/>
                <w:color w:val="auto"/>
              </w:rPr>
              <w:t>19</w:t>
            </w: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500" w:type="dxa"/>
            <w:vAlign w:val="bottom"/>
            <w:tcBorders>
              <w:bottom w:val="single" w:sz="8" w:color="0000FF"/>
            </w:tcBorders>
            <w:gridSpan w:val="26"/>
          </w:tcPr>
          <w:p>
            <w:pPr>
              <w:spacing w:after="0"/>
              <w:rPr>
                <w:rFonts w:ascii="Arial" w:cs="Arial" w:eastAsia="Arial" w:hAnsi="Arial"/>
                <w:sz w:val="22"/>
                <w:szCs w:val="22"/>
                <w:color w:val="0000FF"/>
                <w:w w:val="93"/>
              </w:rPr>
            </w:pPr>
            <w:hyperlink w:anchor="page140">
              <w:r>
                <w:rPr>
                  <w:rFonts w:ascii="Arial" w:cs="Arial" w:eastAsia="Arial" w:hAnsi="Arial"/>
                  <w:sz w:val="22"/>
                  <w:szCs w:val="22"/>
                  <w:color w:val="0000FF"/>
                  <w:w w:val="93"/>
                </w:rPr>
                <w:t xml:space="preserve">SECTION </w:t>
              </w:r>
            </w:hyperlink>
            <w:r>
              <w:rPr>
                <w:rFonts w:ascii="Arial" w:cs="Arial" w:eastAsia="Arial" w:hAnsi="Arial"/>
                <w:sz w:val="22"/>
                <w:szCs w:val="22"/>
                <w:color w:val="0000FF"/>
                <w:w w:val="93"/>
              </w:rPr>
              <w:t>6.THE COMPANY AS SERVICER AND AGENT OF BANKS</w:t>
            </w:r>
          </w:p>
        </w:tc>
        <w:tc>
          <w:tcPr>
            <w:tcW w:w="2880" w:type="dxa"/>
            <w:vAlign w:val="bottom"/>
          </w:tcPr>
          <w:p>
            <w:pPr>
              <w:jc w:val="right"/>
              <w:ind w:right="2332"/>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4"/>
                <w:szCs w:val="24"/>
                <w:color w:val="auto"/>
              </w:rPr>
            </w:pPr>
          </w:p>
        </w:tc>
      </w:tr>
      <w:tr>
        <w:trPr>
          <w:trHeight w:val="345"/>
        </w:trPr>
        <w:tc>
          <w:tcPr>
            <w:tcW w:w="3180" w:type="dxa"/>
            <w:vAlign w:val="bottom"/>
            <w:gridSpan w:val="8"/>
          </w:tcPr>
          <w:p>
            <w:pPr>
              <w:spacing w:after="0"/>
              <w:rPr>
                <w:rFonts w:ascii="Arial" w:cs="Arial" w:eastAsia="Arial" w:hAnsi="Arial"/>
                <w:sz w:val="22"/>
                <w:szCs w:val="22"/>
                <w:color w:val="0000FF"/>
              </w:rPr>
            </w:pPr>
            <w:hyperlink w:anchor="page142">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7.PAYMENTS  </w:t>
            </w:r>
            <w:r>
              <w:rPr>
                <w:rFonts w:ascii="Arial" w:cs="Arial" w:eastAsia="Arial" w:hAnsi="Arial"/>
                <w:sz w:val="22"/>
                <w:szCs w:val="22"/>
                <w:color w:val="000000"/>
              </w:rPr>
              <w:t>22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4940" w:type="dxa"/>
            <w:vAlign w:val="bottom"/>
            <w:gridSpan w:val="21"/>
          </w:tcPr>
          <w:p>
            <w:pPr>
              <w:spacing w:after="0"/>
              <w:rPr>
                <w:rFonts w:ascii="Arial" w:cs="Arial" w:eastAsia="Arial" w:hAnsi="Arial"/>
                <w:sz w:val="22"/>
                <w:szCs w:val="22"/>
                <w:color w:val="0000FF"/>
                <w:w w:val="99"/>
              </w:rPr>
            </w:pPr>
            <w:hyperlink w:anchor="page147">
              <w:r>
                <w:rPr>
                  <w:rFonts w:ascii="Arial" w:cs="Arial" w:eastAsia="Arial" w:hAnsi="Arial"/>
                  <w:sz w:val="22"/>
                  <w:szCs w:val="22"/>
                  <w:color w:val="0000FF"/>
                  <w:w w:val="99"/>
                </w:rPr>
                <w:t xml:space="preserve">SECTION </w:t>
              </w:r>
            </w:hyperlink>
            <w:r>
              <w:rPr>
                <w:rFonts w:ascii="Arial" w:cs="Arial" w:eastAsia="Arial" w:hAnsi="Arial"/>
                <w:sz w:val="22"/>
                <w:szCs w:val="22"/>
                <w:color w:val="0000FF"/>
                <w:w w:val="99"/>
              </w:rPr>
              <w:t xml:space="preserve">8.CHANGES IN CIRCUMSTANCES  </w:t>
            </w:r>
            <w:r>
              <w:rPr>
                <w:rFonts w:ascii="Arial" w:cs="Arial" w:eastAsia="Arial" w:hAnsi="Arial"/>
                <w:sz w:val="22"/>
                <w:szCs w:val="22"/>
                <w:color w:val="000000"/>
                <w:w w:val="99"/>
              </w:rPr>
              <w:t>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4280" w:type="dxa"/>
            <w:vAlign w:val="bottom"/>
            <w:tcBorders>
              <w:top w:val="single" w:sz="8" w:color="0000FF"/>
            </w:tcBorders>
            <w:gridSpan w:val="15"/>
          </w:tcPr>
          <w:p>
            <w:pPr>
              <w:spacing w:after="0"/>
              <w:rPr>
                <w:rFonts w:ascii="Arial" w:cs="Arial" w:eastAsia="Arial" w:hAnsi="Arial"/>
                <w:sz w:val="22"/>
                <w:szCs w:val="22"/>
                <w:color w:val="0000FF"/>
              </w:rPr>
            </w:pPr>
            <w:hyperlink w:anchor="page148">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9.FURTHER ASSURANCES  </w:t>
            </w:r>
            <w:r>
              <w:rPr>
                <w:rFonts w:ascii="Arial" w:cs="Arial" w:eastAsia="Arial" w:hAnsi="Arial"/>
                <w:sz w:val="22"/>
                <w:szCs w:val="22"/>
                <w:color w:val="000000"/>
              </w:rPr>
              <w:t>28</w:t>
            </w:r>
          </w:p>
        </w:tc>
        <w:tc>
          <w:tcPr>
            <w:tcW w:w="66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5240" w:type="dxa"/>
            <w:vAlign w:val="bottom"/>
            <w:gridSpan w:val="24"/>
          </w:tcPr>
          <w:p>
            <w:pPr>
              <w:spacing w:after="0"/>
              <w:rPr>
                <w:rFonts w:ascii="Arial" w:cs="Arial" w:eastAsia="Arial" w:hAnsi="Arial"/>
                <w:sz w:val="22"/>
                <w:szCs w:val="22"/>
                <w:color w:val="0000FF"/>
                <w:w w:val="93"/>
              </w:rPr>
            </w:pPr>
            <w:hyperlink w:anchor="page148">
              <w:r>
                <w:rPr>
                  <w:rFonts w:ascii="Arial" w:cs="Arial" w:eastAsia="Arial" w:hAnsi="Arial"/>
                  <w:sz w:val="22"/>
                  <w:szCs w:val="22"/>
                  <w:color w:val="0000FF"/>
                  <w:w w:val="93"/>
                </w:rPr>
                <w:t xml:space="preserve">SECTION </w:t>
              </w:r>
            </w:hyperlink>
            <w:r>
              <w:rPr>
                <w:rFonts w:ascii="Arial" w:cs="Arial" w:eastAsia="Arial" w:hAnsi="Arial"/>
                <w:sz w:val="22"/>
                <w:szCs w:val="22"/>
                <w:color w:val="0000FF"/>
                <w:w w:val="93"/>
              </w:rPr>
              <w:t>10.REPRESENTATIONS AND WARRANTIES</w:t>
            </w:r>
          </w:p>
        </w:tc>
        <w:tc>
          <w:tcPr>
            <w:tcW w:w="1200" w:type="dxa"/>
            <w:vAlign w:val="bottom"/>
          </w:tcPr>
          <w:p>
            <w:pPr>
              <w:jc w:val="right"/>
              <w:ind w:right="732"/>
              <w:spacing w:after="0"/>
              <w:rPr>
                <w:sz w:val="20"/>
                <w:szCs w:val="20"/>
                <w:color w:val="auto"/>
              </w:rPr>
            </w:pPr>
            <w:r>
              <w:rPr>
                <w:rFonts w:ascii="Arial" w:cs="Arial" w:eastAsia="Arial" w:hAnsi="Arial"/>
                <w:sz w:val="22"/>
                <w:szCs w:val="22"/>
                <w:color w:val="auto"/>
              </w:rPr>
              <w:t>29</w:t>
            </w: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180" w:type="dxa"/>
            <w:vAlign w:val="bottom"/>
            <w:tcBorders>
              <w:top w:val="single" w:sz="8" w:color="0000FF"/>
            </w:tcBorders>
            <w:gridSpan w:val="8"/>
          </w:tcPr>
          <w:p>
            <w:pPr>
              <w:spacing w:after="0"/>
              <w:rPr>
                <w:rFonts w:ascii="Arial" w:cs="Arial" w:eastAsia="Arial" w:hAnsi="Arial"/>
                <w:sz w:val="22"/>
                <w:szCs w:val="22"/>
                <w:color w:val="0000FF"/>
              </w:rPr>
            </w:pPr>
            <w:hyperlink w:anchor="page152">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11.COVENANTS  </w:t>
            </w:r>
            <w:r>
              <w:rPr>
                <w:rFonts w:ascii="Arial" w:cs="Arial" w:eastAsia="Arial" w:hAnsi="Arial"/>
                <w:sz w:val="22"/>
                <w:szCs w:val="22"/>
                <w:color w:val="000000"/>
              </w:rPr>
              <w:t>32</w:t>
            </w: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4940" w:type="dxa"/>
            <w:vAlign w:val="bottom"/>
            <w:gridSpan w:val="21"/>
          </w:tcPr>
          <w:p>
            <w:pPr>
              <w:spacing w:after="0"/>
              <w:rPr>
                <w:rFonts w:ascii="Arial" w:cs="Arial" w:eastAsia="Arial" w:hAnsi="Arial"/>
                <w:sz w:val="22"/>
                <w:szCs w:val="22"/>
                <w:color w:val="0000FF"/>
              </w:rPr>
            </w:pPr>
            <w:hyperlink w:anchor="page155">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12.PARTIAL INVALIDITY  </w:t>
            </w:r>
            <w:r>
              <w:rPr>
                <w:rFonts w:ascii="Arial" w:cs="Arial" w:eastAsia="Arial" w:hAnsi="Arial"/>
                <w:sz w:val="22"/>
                <w:szCs w:val="22"/>
                <w:color w:val="000000"/>
              </w:rPr>
              <w:t>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5040" w:type="dxa"/>
            <w:vAlign w:val="bottom"/>
            <w:tcBorders>
              <w:bottom w:val="single" w:sz="8" w:color="0000FF"/>
            </w:tcBorders>
            <w:gridSpan w:val="22"/>
          </w:tcPr>
          <w:p>
            <w:pPr>
              <w:spacing w:after="0"/>
              <w:rPr>
                <w:rFonts w:ascii="Arial" w:cs="Arial" w:eastAsia="Arial" w:hAnsi="Arial"/>
                <w:sz w:val="22"/>
                <w:szCs w:val="22"/>
                <w:color w:val="0000FF"/>
                <w:w w:val="96"/>
              </w:rPr>
            </w:pPr>
            <w:hyperlink w:anchor="page155">
              <w:r>
                <w:rPr>
                  <w:rFonts w:ascii="Arial" w:cs="Arial" w:eastAsia="Arial" w:hAnsi="Arial"/>
                  <w:sz w:val="22"/>
                  <w:szCs w:val="22"/>
                  <w:color w:val="0000FF"/>
                  <w:w w:val="96"/>
                </w:rPr>
                <w:t xml:space="preserve">SECTION </w:t>
              </w:r>
            </w:hyperlink>
            <w:r>
              <w:rPr>
                <w:rFonts w:ascii="Arial" w:cs="Arial" w:eastAsia="Arial" w:hAnsi="Arial"/>
                <w:sz w:val="22"/>
                <w:szCs w:val="22"/>
                <w:color w:val="0000FF"/>
                <w:w w:val="96"/>
              </w:rPr>
              <w:t>13.NO BANK LIABILITY FOR CONTRACT</w:t>
            </w:r>
          </w:p>
        </w:tc>
        <w:tc>
          <w:tcPr>
            <w:tcW w:w="200" w:type="dxa"/>
            <w:vAlign w:val="bottom"/>
            <w:gridSpan w:val="2"/>
          </w:tcPr>
          <w:p>
            <w:pPr>
              <w:spacing w:after="0"/>
              <w:rPr>
                <w:sz w:val="24"/>
                <w:szCs w:val="24"/>
                <w:color w:val="auto"/>
              </w:rPr>
            </w:pPr>
          </w:p>
        </w:tc>
        <w:tc>
          <w:tcPr>
            <w:tcW w:w="1200" w:type="dxa"/>
            <w:vAlign w:val="bottom"/>
          </w:tcPr>
          <w:p>
            <w:pPr>
              <w:jc w:val="right"/>
              <w:ind w:right="852"/>
              <w:spacing w:after="0"/>
              <w:rPr>
                <w:sz w:val="20"/>
                <w:szCs w:val="20"/>
                <w:color w:val="auto"/>
              </w:rPr>
            </w:pPr>
            <w:r>
              <w:rPr>
                <w:rFonts w:ascii="Arial" w:cs="Arial" w:eastAsia="Arial" w:hAnsi="Arial"/>
                <w:sz w:val="22"/>
                <w:szCs w:val="22"/>
                <w:color w:val="auto"/>
                <w:w w:val="89"/>
              </w:rPr>
              <w:t>35</w:t>
            </w: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4820" w:type="dxa"/>
            <w:vAlign w:val="bottom"/>
            <w:tcBorders>
              <w:bottom w:val="single" w:sz="8" w:color="0000FF"/>
            </w:tcBorders>
            <w:gridSpan w:val="19"/>
          </w:tcPr>
          <w:p>
            <w:pPr>
              <w:spacing w:after="0"/>
              <w:rPr>
                <w:rFonts w:ascii="Arial" w:cs="Arial" w:eastAsia="Arial" w:hAnsi="Arial"/>
                <w:sz w:val="22"/>
                <w:szCs w:val="22"/>
                <w:color w:val="0000FF"/>
                <w:w w:val="93"/>
              </w:rPr>
            </w:pPr>
            <w:hyperlink w:anchor="page155">
              <w:r>
                <w:rPr>
                  <w:rFonts w:ascii="Arial" w:cs="Arial" w:eastAsia="Arial" w:hAnsi="Arial"/>
                  <w:sz w:val="22"/>
                  <w:szCs w:val="22"/>
                  <w:color w:val="0000FF"/>
                  <w:w w:val="93"/>
                </w:rPr>
                <w:t xml:space="preserve">SECTION </w:t>
              </w:r>
            </w:hyperlink>
            <w:r>
              <w:rPr>
                <w:rFonts w:ascii="Arial" w:cs="Arial" w:eastAsia="Arial" w:hAnsi="Arial"/>
                <w:sz w:val="22"/>
                <w:szCs w:val="22"/>
                <w:color w:val="0000FF"/>
                <w:w w:val="93"/>
              </w:rPr>
              <w:t>14.NOTICES, ADDRESSES, LANGUAGE</w:t>
            </w:r>
          </w:p>
        </w:tc>
        <w:tc>
          <w:tcPr>
            <w:tcW w:w="120" w:type="dxa"/>
            <w:vAlign w:val="bottom"/>
            <w:gridSpan w:val="2"/>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22"/>
                <w:szCs w:val="22"/>
                <w:color w:val="auto"/>
              </w:rPr>
              <w:t>35</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4940" w:type="dxa"/>
            <w:vAlign w:val="bottom"/>
            <w:gridSpan w:val="21"/>
          </w:tcPr>
          <w:p>
            <w:pPr>
              <w:spacing w:after="0"/>
              <w:rPr>
                <w:rFonts w:ascii="Arial" w:cs="Arial" w:eastAsia="Arial" w:hAnsi="Arial"/>
                <w:sz w:val="22"/>
                <w:szCs w:val="22"/>
                <w:color w:val="0000FF"/>
                <w:w w:val="99"/>
              </w:rPr>
            </w:pPr>
            <w:hyperlink w:anchor="page156">
              <w:r>
                <w:rPr>
                  <w:rFonts w:ascii="Arial" w:cs="Arial" w:eastAsia="Arial" w:hAnsi="Arial"/>
                  <w:sz w:val="22"/>
                  <w:szCs w:val="22"/>
                  <w:color w:val="0000FF"/>
                  <w:w w:val="99"/>
                </w:rPr>
                <w:t xml:space="preserve">SECTION </w:t>
              </w:r>
            </w:hyperlink>
            <w:r>
              <w:rPr>
                <w:rFonts w:ascii="Arial" w:cs="Arial" w:eastAsia="Arial" w:hAnsi="Arial"/>
                <w:sz w:val="22"/>
                <w:szCs w:val="22"/>
                <w:color w:val="0000FF"/>
                <w:w w:val="99"/>
              </w:rPr>
              <w:t xml:space="preserve">15.FEES, COSTS AND INDEMNITY  </w:t>
            </w:r>
            <w:r>
              <w:rPr>
                <w:rFonts w:ascii="Arial" w:cs="Arial" w:eastAsia="Arial" w:hAnsi="Arial"/>
                <w:sz w:val="22"/>
                <w:szCs w:val="22"/>
                <w:color w:val="000000"/>
                <w:w w:val="99"/>
              </w:rPr>
              <w:t>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4940" w:type="dxa"/>
            <w:vAlign w:val="bottom"/>
            <w:gridSpan w:val="21"/>
          </w:tcPr>
          <w:p>
            <w:pPr>
              <w:spacing w:after="0"/>
              <w:rPr>
                <w:rFonts w:ascii="Arial" w:cs="Arial" w:eastAsia="Arial" w:hAnsi="Arial"/>
                <w:sz w:val="22"/>
                <w:szCs w:val="22"/>
                <w:color w:val="0000FF"/>
                <w:w w:val="97"/>
              </w:rPr>
            </w:pPr>
            <w:hyperlink w:anchor="page158">
              <w:r>
                <w:rPr>
                  <w:rFonts w:ascii="Arial" w:cs="Arial" w:eastAsia="Arial" w:hAnsi="Arial"/>
                  <w:sz w:val="22"/>
                  <w:szCs w:val="22"/>
                  <w:color w:val="0000FF"/>
                  <w:w w:val="97"/>
                </w:rPr>
                <w:t xml:space="preserve">SECTION </w:t>
              </w:r>
            </w:hyperlink>
            <w:r>
              <w:rPr>
                <w:rFonts w:ascii="Arial" w:cs="Arial" w:eastAsia="Arial" w:hAnsi="Arial"/>
                <w:sz w:val="22"/>
                <w:szCs w:val="22"/>
                <w:color w:val="0000FF"/>
                <w:w w:val="97"/>
              </w:rPr>
              <w:t>16.CALCULATIONS AND CERTIFICATE</w:t>
            </w:r>
          </w:p>
        </w:tc>
        <w:tc>
          <w:tcPr>
            <w:tcW w:w="300" w:type="dxa"/>
            <w:vAlign w:val="bottom"/>
            <w:gridSpan w:val="3"/>
          </w:tcPr>
          <w:p>
            <w:pPr>
              <w:jc w:val="right"/>
              <w:ind w:right="20"/>
              <w:spacing w:after="0"/>
              <w:rPr>
                <w:sz w:val="20"/>
                <w:szCs w:val="20"/>
                <w:color w:val="auto"/>
              </w:rPr>
            </w:pPr>
            <w:r>
              <w:rPr>
                <w:rFonts w:ascii="Arial" w:cs="Arial" w:eastAsia="Arial" w:hAnsi="Arial"/>
                <w:sz w:val="22"/>
                <w:szCs w:val="22"/>
                <w:color w:val="auto"/>
              </w:rPr>
              <w:t>39</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180" w:type="dxa"/>
            <w:vAlign w:val="bottom"/>
            <w:tcBorders>
              <w:top w:val="single" w:sz="8" w:color="0000FF"/>
            </w:tcBorders>
            <w:gridSpan w:val="8"/>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17.SET-OFF  </w:t>
            </w:r>
            <w:r>
              <w:rPr>
                <w:rFonts w:ascii="Arial" w:cs="Arial" w:eastAsia="Arial" w:hAnsi="Arial"/>
                <w:sz w:val="22"/>
                <w:szCs w:val="22"/>
                <w:color w:val="000000"/>
              </w:rPr>
              <w:t>39</w:t>
            </w: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180" w:type="dxa"/>
            <w:vAlign w:val="bottom"/>
            <w:gridSpan w:val="8"/>
          </w:tcPr>
          <w:p>
            <w:pPr>
              <w:spacing w:after="0"/>
              <w:rPr>
                <w:rFonts w:ascii="Arial" w:cs="Arial" w:eastAsia="Arial" w:hAnsi="Arial"/>
                <w:sz w:val="22"/>
                <w:szCs w:val="22"/>
                <w:color w:val="0000FF"/>
                <w:w w:val="97"/>
              </w:rPr>
            </w:pPr>
            <w:hyperlink w:anchor="page159">
              <w:r>
                <w:rPr>
                  <w:rFonts w:ascii="Arial" w:cs="Arial" w:eastAsia="Arial" w:hAnsi="Arial"/>
                  <w:sz w:val="22"/>
                  <w:szCs w:val="22"/>
                  <w:color w:val="0000FF"/>
                  <w:w w:val="97"/>
                </w:rPr>
                <w:t xml:space="preserve">SECTION </w:t>
              </w:r>
            </w:hyperlink>
            <w:r>
              <w:rPr>
                <w:rFonts w:ascii="Arial" w:cs="Arial" w:eastAsia="Arial" w:hAnsi="Arial"/>
                <w:sz w:val="22"/>
                <w:szCs w:val="22"/>
                <w:color w:val="0000FF"/>
                <w:w w:val="97"/>
              </w:rPr>
              <w:t xml:space="preserve">18.TERMINATION  </w:t>
            </w:r>
            <w:r>
              <w:rPr>
                <w:rFonts w:ascii="Arial" w:cs="Arial" w:eastAsia="Arial" w:hAnsi="Arial"/>
                <w:sz w:val="22"/>
                <w:szCs w:val="22"/>
                <w:color w:val="000000"/>
                <w:w w:val="97"/>
              </w:rPr>
              <w:t>39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7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180" w:type="dxa"/>
            <w:vAlign w:val="bottom"/>
            <w:gridSpan w:val="8"/>
          </w:tcPr>
          <w:p>
            <w:pPr>
              <w:spacing w:after="0"/>
              <w:rPr>
                <w:rFonts w:ascii="Arial" w:cs="Arial" w:eastAsia="Arial" w:hAnsi="Arial"/>
                <w:sz w:val="22"/>
                <w:szCs w:val="22"/>
                <w:color w:val="0000FF"/>
                <w:w w:val="98"/>
              </w:rPr>
            </w:pPr>
            <w:hyperlink w:anchor="page162">
              <w:r>
                <w:rPr>
                  <w:rFonts w:ascii="Arial" w:cs="Arial" w:eastAsia="Arial" w:hAnsi="Arial"/>
                  <w:sz w:val="22"/>
                  <w:szCs w:val="22"/>
                  <w:color w:val="0000FF"/>
                  <w:w w:val="98"/>
                </w:rPr>
                <w:t xml:space="preserve">SECTION </w:t>
              </w:r>
            </w:hyperlink>
            <w:r>
              <w:rPr>
                <w:rFonts w:ascii="Arial" w:cs="Arial" w:eastAsia="Arial" w:hAnsi="Arial"/>
                <w:sz w:val="22"/>
                <w:szCs w:val="22"/>
                <w:color w:val="0000FF"/>
                <w:w w:val="98"/>
              </w:rPr>
              <w:t>19.MISCELLANEOUS</w:t>
            </w:r>
          </w:p>
        </w:tc>
        <w:tc>
          <w:tcPr>
            <w:tcW w:w="380" w:type="dxa"/>
            <w:vAlign w:val="bottom"/>
            <w:gridSpan w:val="2"/>
          </w:tcPr>
          <w:p>
            <w:pPr>
              <w:jc w:val="right"/>
              <w:ind w:right="80"/>
              <w:spacing w:after="0"/>
              <w:rPr>
                <w:sz w:val="20"/>
                <w:szCs w:val="20"/>
                <w:color w:val="auto"/>
              </w:rPr>
            </w:pPr>
            <w:r>
              <w:rPr>
                <w:rFonts w:ascii="Arial" w:cs="Arial" w:eastAsia="Arial" w:hAnsi="Arial"/>
                <w:sz w:val="22"/>
                <w:szCs w:val="22"/>
                <w:color w:val="auto"/>
              </w:rPr>
              <w:t>42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0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060" w:type="dxa"/>
            <w:vAlign w:val="bottom"/>
            <w:tcBorders>
              <w:bottom w:val="single" w:sz="8" w:color="0000FF"/>
            </w:tcBorders>
            <w:gridSpan w:val="6"/>
          </w:tcPr>
          <w:p>
            <w:pPr>
              <w:spacing w:after="0"/>
              <w:rPr>
                <w:rFonts w:ascii="Arial" w:cs="Arial" w:eastAsia="Arial" w:hAnsi="Arial"/>
                <w:sz w:val="22"/>
                <w:szCs w:val="22"/>
                <w:color w:val="0000FF"/>
                <w:w w:val="94"/>
              </w:rPr>
            </w:pPr>
            <w:hyperlink w:anchor="page165">
              <w:r>
                <w:rPr>
                  <w:rFonts w:ascii="Arial" w:cs="Arial" w:eastAsia="Arial" w:hAnsi="Arial"/>
                  <w:sz w:val="22"/>
                  <w:szCs w:val="22"/>
                  <w:color w:val="0000FF"/>
                  <w:w w:val="94"/>
                </w:rPr>
                <w:t xml:space="preserve">SECTION </w:t>
              </w:r>
            </w:hyperlink>
            <w:r>
              <w:rPr>
                <w:rFonts w:ascii="Arial" w:cs="Arial" w:eastAsia="Arial" w:hAnsi="Arial"/>
                <w:sz w:val="22"/>
                <w:szCs w:val="22"/>
                <w:color w:val="0000FF"/>
                <w:w w:val="94"/>
              </w:rPr>
              <w:t>20.GOVERNING LAW</w:t>
            </w:r>
          </w:p>
        </w:tc>
        <w:tc>
          <w:tcPr>
            <w:tcW w:w="120" w:type="dxa"/>
            <w:vAlign w:val="bottom"/>
            <w:gridSpan w:val="2"/>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22"/>
                <w:szCs w:val="22"/>
                <w:color w:val="auto"/>
              </w:rPr>
              <w:t>45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4940" w:type="dxa"/>
            <w:vAlign w:val="bottom"/>
            <w:gridSpan w:val="21"/>
          </w:tcPr>
          <w:p>
            <w:pPr>
              <w:spacing w:after="0"/>
              <w:rPr>
                <w:rFonts w:ascii="Arial" w:cs="Arial" w:eastAsia="Arial" w:hAnsi="Arial"/>
                <w:sz w:val="22"/>
                <w:szCs w:val="22"/>
                <w:color w:val="0000FF"/>
              </w:rPr>
            </w:pPr>
            <w:hyperlink w:anchor="page166">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21.OPTIONAL REPURCHASE  </w:t>
            </w:r>
            <w:r>
              <w:rPr>
                <w:rFonts w:ascii="Arial" w:cs="Arial" w:eastAsia="Arial" w:hAnsi="Arial"/>
                <w:sz w:val="22"/>
                <w:szCs w:val="22"/>
                <w:color w:val="000000"/>
              </w:rPr>
              <w:t>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78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5240" w:type="dxa"/>
            <w:vAlign w:val="bottom"/>
            <w:gridSpan w:val="24"/>
          </w:tcPr>
          <w:p>
            <w:pPr>
              <w:spacing w:after="0"/>
              <w:rPr>
                <w:rFonts w:ascii="Arial" w:cs="Arial" w:eastAsia="Arial" w:hAnsi="Arial"/>
                <w:sz w:val="22"/>
                <w:szCs w:val="22"/>
                <w:color w:val="0000FF"/>
                <w:w w:val="99"/>
              </w:rPr>
            </w:pPr>
            <w:hyperlink w:anchor="page166">
              <w:r>
                <w:rPr>
                  <w:rFonts w:ascii="Arial" w:cs="Arial" w:eastAsia="Arial" w:hAnsi="Arial"/>
                  <w:sz w:val="22"/>
                  <w:szCs w:val="22"/>
                  <w:color w:val="0000FF"/>
                  <w:w w:val="99"/>
                </w:rPr>
                <w:t xml:space="preserve">SECTION </w:t>
              </w:r>
            </w:hyperlink>
            <w:r>
              <w:rPr>
                <w:rFonts w:ascii="Arial" w:cs="Arial" w:eastAsia="Arial" w:hAnsi="Arial"/>
                <w:sz w:val="22"/>
                <w:szCs w:val="22"/>
                <w:color w:val="0000FF"/>
                <w:w w:val="99"/>
              </w:rPr>
              <w:t xml:space="preserve">22.GUARANTY; PARENT COVENANT  </w:t>
            </w:r>
            <w:r>
              <w:rPr>
                <w:rFonts w:ascii="Arial" w:cs="Arial" w:eastAsia="Arial" w:hAnsi="Arial"/>
                <w:sz w:val="22"/>
                <w:szCs w:val="22"/>
                <w:color w:val="000000"/>
                <w:w w:val="99"/>
              </w:rPr>
              <w:t>47</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3180" w:type="dxa"/>
            <w:vAlign w:val="bottom"/>
            <w:tcBorders>
              <w:top w:val="single" w:sz="8" w:color="0000FF"/>
              <w:bottom w:val="single" w:sz="8" w:color="0000FF"/>
            </w:tcBorders>
            <w:gridSpan w:val="8"/>
          </w:tcPr>
          <w:p>
            <w:pPr>
              <w:spacing w:after="0"/>
              <w:rPr>
                <w:rFonts w:ascii="Arial" w:cs="Arial" w:eastAsia="Arial" w:hAnsi="Arial"/>
                <w:sz w:val="22"/>
                <w:szCs w:val="22"/>
                <w:color w:val="0000FF"/>
                <w:w w:val="95"/>
              </w:rPr>
            </w:pPr>
            <w:hyperlink w:anchor="page168">
              <w:r>
                <w:rPr>
                  <w:rFonts w:ascii="Arial" w:cs="Arial" w:eastAsia="Arial" w:hAnsi="Arial"/>
                  <w:sz w:val="22"/>
                  <w:szCs w:val="22"/>
                  <w:color w:val="0000FF"/>
                  <w:w w:val="95"/>
                </w:rPr>
                <w:t xml:space="preserve">SECTION </w:t>
              </w:r>
            </w:hyperlink>
            <w:r>
              <w:rPr>
                <w:rFonts w:ascii="Arial" w:cs="Arial" w:eastAsia="Arial" w:hAnsi="Arial"/>
                <w:sz w:val="22"/>
                <w:szCs w:val="22"/>
                <w:color w:val="0000FF"/>
                <w:w w:val="95"/>
              </w:rPr>
              <w:t>23.CONFIDENTIALITY</w:t>
            </w:r>
          </w:p>
        </w:tc>
        <w:tc>
          <w:tcPr>
            <w:tcW w:w="580" w:type="dxa"/>
            <w:vAlign w:val="bottom"/>
            <w:tcBorders>
              <w:top w:val="single" w:sz="8" w:color="0000FF"/>
            </w:tcBorders>
            <w:gridSpan w:val="3"/>
          </w:tcPr>
          <w:p>
            <w:pPr>
              <w:jc w:val="right"/>
              <w:ind w:right="140"/>
              <w:spacing w:after="0"/>
              <w:rPr>
                <w:sz w:val="20"/>
                <w:szCs w:val="20"/>
                <w:color w:val="auto"/>
              </w:rPr>
            </w:pPr>
            <w:r>
              <w:rPr>
                <w:rFonts w:ascii="Arial" w:cs="Arial" w:eastAsia="Arial" w:hAnsi="Arial"/>
                <w:sz w:val="22"/>
                <w:szCs w:val="22"/>
                <w:color w:val="auto"/>
              </w:rPr>
              <w:t>48</w:t>
            </w: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4940" w:type="dxa"/>
            <w:vAlign w:val="bottom"/>
            <w:gridSpan w:val="21"/>
          </w:tcPr>
          <w:p>
            <w:pPr>
              <w:spacing w:after="0"/>
              <w:rPr>
                <w:rFonts w:ascii="Arial" w:cs="Arial" w:eastAsia="Arial" w:hAnsi="Arial"/>
                <w:sz w:val="22"/>
                <w:szCs w:val="22"/>
                <w:color w:val="0000FF"/>
              </w:rPr>
            </w:pPr>
            <w:hyperlink w:anchor="page169">
              <w:r>
                <w:rPr>
                  <w:rFonts w:ascii="Arial" w:cs="Arial" w:eastAsia="Arial" w:hAnsi="Arial"/>
                  <w:sz w:val="22"/>
                  <w:szCs w:val="22"/>
                  <w:color w:val="0000FF"/>
                </w:rPr>
                <w:t xml:space="preserve">SECTION </w:t>
              </w:r>
            </w:hyperlink>
            <w:r>
              <w:rPr>
                <w:rFonts w:ascii="Arial" w:cs="Arial" w:eastAsia="Arial" w:hAnsi="Arial"/>
                <w:sz w:val="22"/>
                <w:szCs w:val="22"/>
                <w:color w:val="0000FF"/>
              </w:rPr>
              <w:t xml:space="preserve">24.ADMINISTRATIVE AGENT  </w:t>
            </w:r>
            <w:r>
              <w:rPr>
                <w:rFonts w:ascii="Arial" w:cs="Arial" w:eastAsia="Arial" w:hAnsi="Arial"/>
                <w:sz w:val="22"/>
                <w:szCs w:val="22"/>
                <w:color w:val="000000"/>
              </w:rPr>
              <w:t>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Schedule 1 — Purchase Request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2 — Conditions Precedent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3 — UCC Details Schedule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4 — Form of Portfolio Report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5 — Approved Debtors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07"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MASTER ACCOUNTS RECEIVABLE PURCHASE AGREEMENT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MASTER ACCOUNTS RECEIVABLE PURCHASE AGREEMENT, dated as of November 15, 2012 (as amended, amended and restated, supplemented or otherwise modified from time to time, this </w:t>
      </w:r>
      <w:r>
        <w:rPr>
          <w:rFonts w:ascii="Arial" w:cs="Arial" w:eastAsia="Arial" w:hAnsi="Arial"/>
          <w:sz w:val="22"/>
          <w:szCs w:val="22"/>
          <w:i w:val="1"/>
          <w:iCs w:val="1"/>
          <w:color w:val="auto"/>
        </w:rPr>
        <w:t>“Agreement”</w:t>
      </w:r>
      <w:r>
        <w:rPr>
          <w:rFonts w:ascii="Arial" w:cs="Arial" w:eastAsia="Arial" w:hAnsi="Arial"/>
          <w:sz w:val="22"/>
          <w:szCs w:val="22"/>
          <w:color w:val="auto"/>
        </w:rPr>
        <w:t xml:space="preserve">), among THE SCOTTS COMPANY LLC, a limited liability company organized under the laws of Ohio (the </w:t>
      </w:r>
      <w:r>
        <w:rPr>
          <w:rFonts w:ascii="Arial" w:cs="Arial" w:eastAsia="Arial" w:hAnsi="Arial"/>
          <w:sz w:val="22"/>
          <w:szCs w:val="22"/>
          <w:i w:val="1"/>
          <w:iCs w:val="1"/>
          <w:color w:val="auto"/>
        </w:rPr>
        <w:t>“Company”</w:t>
      </w:r>
      <w:r>
        <w:rPr>
          <w:rFonts w:ascii="Arial" w:cs="Arial" w:eastAsia="Arial" w:hAnsi="Arial"/>
          <w:sz w:val="22"/>
          <w:szCs w:val="22"/>
          <w:color w:val="auto"/>
        </w:rPr>
        <w:t xml:space="preserve">), THE SCOTTS MIRACLE-GRO COMPANY, a company organized under the laws of Ohio (the </w:t>
      </w:r>
      <w:r>
        <w:rPr>
          <w:rFonts w:ascii="Arial" w:cs="Arial" w:eastAsia="Arial" w:hAnsi="Arial"/>
          <w:sz w:val="22"/>
          <w:szCs w:val="22"/>
          <w:i w:val="1"/>
          <w:iCs w:val="1"/>
          <w:color w:val="auto"/>
        </w:rPr>
        <w:t>“Parent”</w:t>
      </w:r>
      <w:r>
        <w:rPr>
          <w:rFonts w:ascii="Arial" w:cs="Arial" w:eastAsia="Arial" w:hAnsi="Arial"/>
          <w:sz w:val="22"/>
          <w:szCs w:val="22"/>
          <w:color w:val="auto"/>
        </w:rPr>
        <w:t>), THE BANKS PARTY HERETO, and MIZUHO CORPORATE BANK, LTD. (“</w:t>
      </w:r>
      <w:r>
        <w:rPr>
          <w:rFonts w:ascii="Arial" w:cs="Arial" w:eastAsia="Arial" w:hAnsi="Arial"/>
          <w:sz w:val="22"/>
          <w:szCs w:val="22"/>
          <w:i w:val="1"/>
          <w:iCs w:val="1"/>
          <w:color w:val="auto"/>
        </w:rPr>
        <w:t>Mizuho</w:t>
      </w:r>
      <w:r>
        <w:rPr>
          <w:rFonts w:ascii="Arial" w:cs="Arial" w:eastAsia="Arial" w:hAnsi="Arial"/>
          <w:sz w:val="22"/>
          <w:szCs w:val="22"/>
          <w:color w:val="auto"/>
        </w:rPr>
        <w:t>”), as administrative agent (together with its permitted successors in such capacity, the “</w:t>
      </w:r>
      <w:r>
        <w:rPr>
          <w:rFonts w:ascii="Arial" w:cs="Arial" w:eastAsia="Arial" w:hAnsi="Arial"/>
          <w:sz w:val="22"/>
          <w:szCs w:val="22"/>
          <w:i w:val="1"/>
          <w:iCs w:val="1"/>
          <w:color w:val="auto"/>
        </w:rPr>
        <w:t>Administrative Agent</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after the date hereof and subject to the terms and conditions of this Agreement, the Company may sell to the Banks and the Banks may purchase from the Company, on a revolving and uncommitted basis, certain Receivables.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transactions hereunder shall constitute a true sale of the Purchased Receivables, providing the Banks with the full risks and benefits of ownership of the Purchased Receivables without recourse to the Company, except as may otherwise be set forth herein.</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above premises and for other good and valuable consideration, the receipt and sufficiency of which are hereby acknowledged, the parties hereto hereby agree as follows:</w:t>
      </w:r>
    </w:p>
    <w:p>
      <w:pPr>
        <w:spacing w:after="0" w:line="28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DEFINITIONS AND INTERPRETATION.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 and each Schedule: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has the meaning ascribed to it in Section 19.9(a).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“Administrative Agent” </w:t>
      </w:r>
      <w:r>
        <w:rPr>
          <w:rFonts w:ascii="Arial" w:cs="Arial" w:eastAsia="Arial" w:hAnsi="Arial"/>
          <w:sz w:val="22"/>
          <w:szCs w:val="22"/>
          <w:color w:val="auto"/>
        </w:rPr>
        <w:t>has the meaning ascribed to it in the preamble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“Adverse Claim” </w:t>
      </w:r>
      <w:r>
        <w:rPr>
          <w:rFonts w:ascii="Arial" w:cs="Arial" w:eastAsia="Arial" w:hAnsi="Arial"/>
          <w:sz w:val="19"/>
          <w:szCs w:val="19"/>
          <w:color w:val="auto"/>
        </w:rPr>
        <w:t>means any Encumbrance on a Purchased Receivable other than those arising under this Agreement.</w:t>
      </w:r>
    </w:p>
    <w:p>
      <w:pPr>
        <w:spacing w:after="0" w:line="2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“Affiliate” </w:t>
      </w:r>
      <w:r>
        <w:rPr>
          <w:rFonts w:ascii="Arial" w:cs="Arial" w:eastAsia="Arial" w:hAnsi="Arial"/>
          <w:sz w:val="19"/>
          <w:szCs w:val="19"/>
          <w:color w:val="auto"/>
        </w:rPr>
        <w:t>means, as applied to any Person, any other Person directly or indirectly controlling, controlled by, or under</w:t>
      </w:r>
      <w:r>
        <w:rPr>
          <w:rFonts w:ascii="Arial" w:cs="Arial" w:eastAsia="Arial" w:hAnsi="Arial"/>
          <w:sz w:val="19"/>
          <w:szCs w:val="19"/>
          <w:i w:val="1"/>
          <w:iCs w:val="1"/>
          <w:color w:val="auto"/>
        </w:rPr>
        <w:t xml:space="preserve"> </w:t>
      </w:r>
      <w:r>
        <w:rPr>
          <w:rFonts w:ascii="Arial" w:cs="Arial" w:eastAsia="Arial" w:hAnsi="Arial"/>
          <w:sz w:val="19"/>
          <w:szCs w:val="19"/>
          <w:color w:val="auto"/>
        </w:rPr>
        <w:t>common control with, that Person. For the purposes of this definition, “control” (including, with correlative meanings, the terms “controlling,” “controlled by” and “under common control with”), as applied to any Person, means the possession, directly or indirectly, of the power (i) to vote 20% or more of the voting equity interests of such Person or (ii) to direct or cause the direction of the management and policies of that Person, whether through the ownership of voting securities or by contract or otherwise.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“Agreed Base Value” </w:t>
      </w:r>
      <w:r>
        <w:rPr>
          <w:rFonts w:ascii="Arial" w:cs="Arial" w:eastAsia="Arial" w:hAnsi="Arial"/>
          <w:sz w:val="22"/>
          <w:szCs w:val="22"/>
          <w:color w:val="auto"/>
        </w:rPr>
        <w:t>shall be an amount equal to the product of (a) the Original Amount of the Receivable being purchased</w:t>
      </w:r>
      <w:r>
        <w:rPr>
          <w:rFonts w:ascii="Arial" w:cs="Arial" w:eastAsia="Arial" w:hAnsi="Arial"/>
          <w:sz w:val="22"/>
          <w:szCs w:val="22"/>
          <w:i w:val="1"/>
          <w:iCs w:val="1"/>
          <w:color w:val="auto"/>
        </w:rPr>
        <w:t xml:space="preserve"> </w:t>
      </w:r>
      <w:r>
        <w:rPr>
          <w:rFonts w:ascii="Arial" w:cs="Arial" w:eastAsia="Arial" w:hAnsi="Arial"/>
          <w:sz w:val="22"/>
          <w:szCs w:val="22"/>
          <w:color w:val="auto"/>
        </w:rPr>
        <w:t>and (b) 100% less the Agreed Dilution Percentage.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54" w:right="239" w:bottom="1440" w:gutter="0" w:footer="0" w:header="0"/>
        </w:sectPr>
      </w:pPr>
    </w:p>
    <w:bookmarkStart w:id="121" w:name="page122"/>
    <w:bookmarkEnd w:id="121"/>
    <w:p>
      <w:pPr>
        <w:jc w:val="both"/>
        <w:ind w:firstLine="648"/>
        <w:spacing w:after="0" w:line="312" w:lineRule="auto"/>
        <w:rPr>
          <w:sz w:val="20"/>
          <w:szCs w:val="20"/>
          <w:color w:val="auto"/>
        </w:rPr>
      </w:pPr>
      <w:r>
        <w:rPr>
          <w:rFonts w:ascii="Arial" w:cs="Arial" w:eastAsia="Arial" w:hAnsi="Arial"/>
          <w:sz w:val="19"/>
          <w:szCs w:val="19"/>
          <w:i w:val="1"/>
          <w:iCs w:val="1"/>
          <w:color w:val="auto"/>
        </w:rPr>
        <w:t xml:space="preserve">“Agreed Dilution Percentage” </w:t>
      </w:r>
      <w:r>
        <w:rPr>
          <w:rFonts w:ascii="Arial" w:cs="Arial" w:eastAsia="Arial" w:hAnsi="Arial"/>
          <w:sz w:val="19"/>
          <w:szCs w:val="19"/>
          <w:color w:val="auto"/>
        </w:rPr>
        <w:t>means, with respect to a Purchased Receivable at any time, a rate equal to the greater of (a)</w:t>
      </w:r>
      <w:r>
        <w:rPr>
          <w:rFonts w:ascii="Arial" w:cs="Arial" w:eastAsia="Arial" w:hAnsi="Arial"/>
          <w:sz w:val="19"/>
          <w:szCs w:val="19"/>
          <w:i w:val="1"/>
          <w:iCs w:val="1"/>
          <w:color w:val="auto"/>
        </w:rPr>
        <w:t xml:space="preserve"> </w:t>
      </w:r>
      <w:r>
        <w:rPr>
          <w:rFonts w:ascii="Arial" w:cs="Arial" w:eastAsia="Arial" w:hAnsi="Arial"/>
          <w:sz w:val="19"/>
          <w:szCs w:val="19"/>
          <w:color w:val="auto"/>
        </w:rPr>
        <w:t>the sum of (i) the product of (x) two (2) and (y) Historical Dilution for the applicable Approved Debtor in respect of such Purchased Receivable in the same month of the previous year, and (ii) Late Interest Percentage then in effect; and (b) 20%.</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has the meaning ascribed to it in the preamble 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“Agreement Amount” </w:t>
      </w:r>
      <w:r>
        <w:rPr>
          <w:rFonts w:ascii="Arial" w:cs="Arial" w:eastAsia="Arial" w:hAnsi="Arial"/>
          <w:sz w:val="22"/>
          <w:szCs w:val="22"/>
          <w:color w:val="auto"/>
        </w:rPr>
        <w:t>means the maximum aggregate Funded Amounts of all Purchased Receivables, which shall not</w:t>
      </w:r>
      <w:r>
        <w:rPr>
          <w:rFonts w:ascii="Arial" w:cs="Arial" w:eastAsia="Arial" w:hAnsi="Arial"/>
          <w:sz w:val="22"/>
          <w:szCs w:val="22"/>
          <w:i w:val="1"/>
          <w:iCs w:val="1"/>
          <w:color w:val="auto"/>
        </w:rPr>
        <w:t xml:space="preserve"> </w:t>
      </w:r>
      <w:r>
        <w:rPr>
          <w:rFonts w:ascii="Arial" w:cs="Arial" w:eastAsia="Arial" w:hAnsi="Arial"/>
          <w:sz w:val="22"/>
          <w:szCs w:val="22"/>
          <w:color w:val="auto"/>
        </w:rPr>
        <w:t>exceed $400,000,000 at any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“Applicable Margin” </w:t>
      </w:r>
      <w:r>
        <w:rPr>
          <w:rFonts w:ascii="Arial" w:cs="Arial" w:eastAsia="Arial" w:hAnsi="Arial"/>
          <w:sz w:val="19"/>
          <w:szCs w:val="19"/>
          <w:color w:val="auto"/>
        </w:rPr>
        <w:t>means the applicable margin per annum for each Approved Debtor as listed on Schedule 5 hereto.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“Approved Debtor” </w:t>
      </w:r>
      <w:r>
        <w:rPr>
          <w:rFonts w:ascii="Arial" w:cs="Arial" w:eastAsia="Arial" w:hAnsi="Arial"/>
          <w:sz w:val="22"/>
          <w:szCs w:val="22"/>
          <w:color w:val="auto"/>
        </w:rPr>
        <w:t>means each Person listed as an Approved Debtor on Schedule 5 hereto.</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“Bank” </w:t>
      </w:r>
      <w:r>
        <w:rPr>
          <w:rFonts w:ascii="Arial" w:cs="Arial" w:eastAsia="Arial" w:hAnsi="Arial"/>
          <w:sz w:val="22"/>
          <w:szCs w:val="22"/>
          <w:color w:val="auto"/>
        </w:rPr>
        <w:t>means each Person listed on the signature pages hereto as a Bank, and any other Person (other than a natural</w:t>
      </w:r>
      <w:r>
        <w:rPr>
          <w:rFonts w:ascii="Arial" w:cs="Arial" w:eastAsia="Arial" w:hAnsi="Arial"/>
          <w:sz w:val="22"/>
          <w:szCs w:val="22"/>
          <w:i w:val="1"/>
          <w:iCs w:val="1"/>
          <w:color w:val="auto"/>
        </w:rPr>
        <w:t xml:space="preserve"> </w:t>
      </w:r>
      <w:r>
        <w:rPr>
          <w:rFonts w:ascii="Arial" w:cs="Arial" w:eastAsia="Arial" w:hAnsi="Arial"/>
          <w:sz w:val="22"/>
          <w:szCs w:val="22"/>
          <w:color w:val="auto"/>
        </w:rPr>
        <w:t>Person) that becomes a party hereto pursuant to an Assignment and Assumption Agreement. For the avoidance of doubt, any reference to a “Bank” or to “Banks” with respect to any Purchased Receivable shall be a reference to such Bank or Banks, as the case may be, that have purchased such Purchased Receivable 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“Bank Termination” </w:t>
      </w:r>
      <w:r>
        <w:rPr>
          <w:rFonts w:ascii="Arial" w:cs="Arial" w:eastAsia="Arial" w:hAnsi="Arial"/>
          <w:sz w:val="22"/>
          <w:szCs w:val="22"/>
          <w:color w:val="auto"/>
        </w:rPr>
        <w:t>has the meaning ascribed to it in Section 18.5(b).</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“Bank’s Stated Amount” </w:t>
      </w:r>
      <w:r>
        <w:rPr>
          <w:rFonts w:ascii="Arial" w:cs="Arial" w:eastAsia="Arial" w:hAnsi="Arial"/>
          <w:sz w:val="22"/>
          <w:szCs w:val="22"/>
          <w:color w:val="auto"/>
        </w:rPr>
        <w:t>means the amount set forth under such Bank’s signature on the signature page hereto, or in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assignment and assumption agreement with respect to which it became a party hereto.</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“Bankruptcy Code” </w:t>
      </w:r>
      <w:r>
        <w:rPr>
          <w:rFonts w:ascii="Arial" w:cs="Arial" w:eastAsia="Arial" w:hAnsi="Arial"/>
          <w:sz w:val="22"/>
          <w:szCs w:val="22"/>
          <w:color w:val="auto"/>
        </w:rPr>
        <w:t>means Title 11 of the United States Code entitled “Bankruptcy,” as now and hereafter in effect,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statute.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“Beneficiaries” </w:t>
      </w:r>
      <w:r>
        <w:rPr>
          <w:rFonts w:ascii="Arial" w:cs="Arial" w:eastAsia="Arial" w:hAnsi="Arial"/>
          <w:sz w:val="22"/>
          <w:szCs w:val="22"/>
          <w:color w:val="auto"/>
        </w:rPr>
        <w:t>means the Administrative Agent and each Bank.</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i w:val="1"/>
          <w:iCs w:val="1"/>
          <w:color w:val="auto"/>
        </w:rPr>
        <w:t xml:space="preserve">“Blocked Accounts” </w:t>
      </w:r>
      <w:r>
        <w:rPr>
          <w:rFonts w:ascii="Arial" w:cs="Arial" w:eastAsia="Arial" w:hAnsi="Arial"/>
          <w:sz w:val="21"/>
          <w:szCs w:val="21"/>
          <w:color w:val="auto"/>
        </w:rPr>
        <w:t>means each account opened by the Company in its name for each Approved Debtor with JPMorgan</w:t>
      </w:r>
      <w:r>
        <w:rPr>
          <w:rFonts w:ascii="Arial" w:cs="Arial" w:eastAsia="Arial" w:hAnsi="Arial"/>
          <w:sz w:val="21"/>
          <w:szCs w:val="21"/>
          <w:i w:val="1"/>
          <w:iCs w:val="1"/>
          <w:color w:val="auto"/>
        </w:rPr>
        <w:t xml:space="preserve"> </w:t>
      </w:r>
      <w:r>
        <w:rPr>
          <w:rFonts w:ascii="Arial" w:cs="Arial" w:eastAsia="Arial" w:hAnsi="Arial"/>
          <w:sz w:val="21"/>
          <w:szCs w:val="21"/>
          <w:color w:val="auto"/>
        </w:rPr>
        <w:t>Chase Bank, N.A. or such other bank approved by the Administrative Agent for the purpose of collecting the Purchased Receivables of such Approved Debtor and which shall be subject to a blocked account agreement with the Administrative Agent providing the Administrative Agent, for the benefit of the Banks, with control over such account.</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i w:val="1"/>
          <w:iCs w:val="1"/>
          <w:color w:val="auto"/>
        </w:rPr>
        <w:t xml:space="preserve">“Business Day” </w:t>
      </w:r>
      <w:r>
        <w:rPr>
          <w:rFonts w:ascii="Arial" w:cs="Arial" w:eastAsia="Arial" w:hAnsi="Arial"/>
          <w:sz w:val="19"/>
          <w:szCs w:val="19"/>
          <w:color w:val="auto"/>
        </w:rPr>
        <w:t>means a day on which banks are open for business in Atlanta, Georgia, Chicago, Illinois and New York,</w:t>
      </w:r>
      <w:r>
        <w:rPr>
          <w:rFonts w:ascii="Arial" w:cs="Arial" w:eastAsia="Arial" w:hAnsi="Arial"/>
          <w:sz w:val="19"/>
          <w:szCs w:val="19"/>
          <w:i w:val="1"/>
          <w:iCs w:val="1"/>
          <w:color w:val="auto"/>
        </w:rPr>
        <w:t xml:space="preserve"> </w:t>
      </w:r>
      <w:r>
        <w:rPr>
          <w:rFonts w:ascii="Arial" w:cs="Arial" w:eastAsia="Arial" w:hAnsi="Arial"/>
          <w:sz w:val="19"/>
          <w:szCs w:val="19"/>
          <w:color w:val="auto"/>
        </w:rPr>
        <w:t>New York, and which is also a day for trading by and between banks in Dollar deposits in the London interbank market.</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“Closing Date” </w:t>
      </w:r>
      <w:r>
        <w:rPr>
          <w:rFonts w:ascii="Arial" w:cs="Arial" w:eastAsia="Arial" w:hAnsi="Arial"/>
          <w:sz w:val="22"/>
          <w:szCs w:val="22"/>
          <w:color w:val="auto"/>
        </w:rPr>
        <w:t>means the date of this Agreement or such later Business Day upon which each condition described on</w:t>
      </w:r>
      <w:r>
        <w:rPr>
          <w:rFonts w:ascii="Arial" w:cs="Arial" w:eastAsia="Arial" w:hAnsi="Arial"/>
          <w:sz w:val="22"/>
          <w:szCs w:val="22"/>
          <w:i w:val="1"/>
          <w:iCs w:val="1"/>
          <w:color w:val="auto"/>
        </w:rPr>
        <w:t xml:space="preserve"> </w:t>
      </w:r>
      <w:r>
        <w:rPr>
          <w:rFonts w:ascii="Arial" w:cs="Arial" w:eastAsia="Arial" w:hAnsi="Arial"/>
          <w:sz w:val="22"/>
          <w:szCs w:val="22"/>
          <w:color w:val="auto"/>
        </w:rPr>
        <w:t>Schedule 2 shall be satisfied or waived in a manner acceptable to each of the Administrative Agent and each of the Banks in its reasonable discretion.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7" w:right="239" w:bottom="1440" w:gutter="0" w:footer="0" w:header="0"/>
        </w:sectPr>
      </w:pPr>
    </w:p>
    <w:bookmarkStart w:id="122" w:name="page123"/>
    <w:bookmarkEnd w:id="122"/>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any successor statute of similar</w:t>
      </w:r>
      <w:r>
        <w:rPr>
          <w:rFonts w:ascii="Arial" w:cs="Arial" w:eastAsia="Arial" w:hAnsi="Arial"/>
          <w:sz w:val="22"/>
          <w:szCs w:val="22"/>
          <w:i w:val="1"/>
          <w:iCs w:val="1"/>
          <w:color w:val="auto"/>
        </w:rPr>
        <w:t xml:space="preserve"> </w:t>
      </w:r>
      <w:r>
        <w:rPr>
          <w:rFonts w:ascii="Arial" w:cs="Arial" w:eastAsia="Arial" w:hAnsi="Arial"/>
          <w:sz w:val="22"/>
          <w:szCs w:val="22"/>
          <w:color w:val="auto"/>
        </w:rPr>
        <w:t>import, together with the regulations thereunder, in each case as in effect from time to time. References to sections of the Internal Revenue Code also refer to any successor sections.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“Collections” </w:t>
      </w:r>
      <w:r>
        <w:rPr>
          <w:rFonts w:ascii="Arial" w:cs="Arial" w:eastAsia="Arial" w:hAnsi="Arial"/>
          <w:sz w:val="22"/>
          <w:szCs w:val="22"/>
          <w:color w:val="auto"/>
        </w:rPr>
        <w:t>means all payments made on each Purchased Receivable and any other payments, receipts or recoveries</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any casualty insurance proceeds) by, or on behalf of, any Debtor or otherwise with respect to any Purchased Receivable, including any deemed Collections.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has the meaning ascribed to it in the preamble hereto.</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i w:val="1"/>
          <w:iCs w:val="1"/>
          <w:color w:val="auto"/>
        </w:rPr>
        <w:t xml:space="preserve">“Contract” </w:t>
      </w:r>
      <w:r>
        <w:rPr>
          <w:rFonts w:ascii="Arial" w:cs="Arial" w:eastAsia="Arial" w:hAnsi="Arial"/>
          <w:sz w:val="19"/>
          <w:szCs w:val="19"/>
          <w:color w:val="auto"/>
        </w:rPr>
        <w:t>means a contract or purchase order between the Company and a Debtor, as the same may be amended and</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supplemented from time to time in accordance with the terms hereof, out of which has arisen one or more Purchased Receivables.</w:t>
      </w:r>
    </w:p>
    <w:p>
      <w:pPr>
        <w:spacing w:after="0" w:line="1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i w:val="1"/>
          <w:iCs w:val="1"/>
          <w:color w:val="auto"/>
        </w:rPr>
        <w:t xml:space="preserve">“Credit Agreement” </w:t>
      </w:r>
      <w:r>
        <w:rPr>
          <w:rFonts w:ascii="Arial" w:cs="Arial" w:eastAsia="Arial" w:hAnsi="Arial"/>
          <w:sz w:val="19"/>
          <w:szCs w:val="19"/>
          <w:color w:val="auto"/>
        </w:rPr>
        <w:t>means that certain Second Amended and Restated Credit Agreement dated as of June 30, 2011, among</w:t>
      </w:r>
      <w:r>
        <w:rPr>
          <w:rFonts w:ascii="Arial" w:cs="Arial" w:eastAsia="Arial" w:hAnsi="Arial"/>
          <w:sz w:val="19"/>
          <w:szCs w:val="19"/>
          <w:i w:val="1"/>
          <w:iCs w:val="1"/>
          <w:color w:val="auto"/>
        </w:rPr>
        <w:t xml:space="preserve"> </w:t>
      </w:r>
      <w:r>
        <w:rPr>
          <w:rFonts w:ascii="Arial" w:cs="Arial" w:eastAsia="Arial" w:hAnsi="Arial"/>
          <w:sz w:val="19"/>
          <w:szCs w:val="19"/>
          <w:color w:val="auto"/>
        </w:rPr>
        <w:t>the Parent, the subsidiary borrowers from time to time party thereto, the several lenders from time to time party thereto and JPMorgan Chase Bank, N.A., as administrative agent, as amended, restated, supplemented or modified from time to time.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“Debtor” </w:t>
      </w:r>
      <w:r>
        <w:rPr>
          <w:rFonts w:ascii="Arial" w:cs="Arial" w:eastAsia="Arial" w:hAnsi="Arial"/>
          <w:sz w:val="22"/>
          <w:szCs w:val="22"/>
          <w:color w:val="auto"/>
        </w:rPr>
        <w:t>means a person obligated to make payments in respect of a Receivable.</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i w:val="1"/>
          <w:iCs w:val="1"/>
          <w:color w:val="auto"/>
        </w:rPr>
        <w:t xml:space="preserve">“Debtor Default Event” </w:t>
      </w:r>
      <w:r>
        <w:rPr>
          <w:rFonts w:ascii="Arial" w:cs="Arial" w:eastAsia="Arial" w:hAnsi="Arial"/>
          <w:sz w:val="19"/>
          <w:szCs w:val="19"/>
          <w:color w:val="auto"/>
        </w:rPr>
        <w:t>means, as of any date of determination, an Approved Debtor shall be in default due to a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Inability to Pay of an amount equal to or greater than $3,000,000 with respect to its payment of any of its Purchased Receivables.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“Debtor Sublimit” </w:t>
      </w:r>
      <w:r>
        <w:rPr>
          <w:rFonts w:ascii="Arial" w:cs="Arial" w:eastAsia="Arial" w:hAnsi="Arial"/>
          <w:sz w:val="19"/>
          <w:szCs w:val="19"/>
          <w:color w:val="auto"/>
        </w:rPr>
        <w:t>means the sublimit to the Agreement Amount for each Approved Debtor as listed on Schedule 5 hereto.</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“Defaulted Receivable” </w:t>
      </w:r>
      <w:r>
        <w:rPr>
          <w:rFonts w:ascii="Arial" w:cs="Arial" w:eastAsia="Arial" w:hAnsi="Arial"/>
          <w:sz w:val="22"/>
          <w:szCs w:val="22"/>
          <w:color w:val="auto"/>
        </w:rPr>
        <w:t>means any Purchased Receivable which is more than 30 days past due or cannot be paid solely as a</w:t>
      </w:r>
      <w:r>
        <w:rPr>
          <w:rFonts w:ascii="Arial" w:cs="Arial" w:eastAsia="Arial" w:hAnsi="Arial"/>
          <w:sz w:val="22"/>
          <w:szCs w:val="22"/>
          <w:i w:val="1"/>
          <w:iCs w:val="1"/>
          <w:color w:val="auto"/>
        </w:rPr>
        <w:t xml:space="preserve"> </w:t>
      </w:r>
      <w:r>
        <w:rPr>
          <w:rFonts w:ascii="Arial" w:cs="Arial" w:eastAsia="Arial" w:hAnsi="Arial"/>
          <w:sz w:val="22"/>
          <w:szCs w:val="22"/>
          <w:color w:val="auto"/>
        </w:rPr>
        <w:t>result of the applicable Approved Debtor’s Financial Inability to Pay.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“Defaulting Bank” </w:t>
      </w:r>
      <w:r>
        <w:rPr>
          <w:rFonts w:ascii="Arial" w:cs="Arial" w:eastAsia="Arial" w:hAnsi="Arial"/>
          <w:sz w:val="22"/>
          <w:szCs w:val="22"/>
          <w:color w:val="auto"/>
        </w:rPr>
        <w:t>has the meaning ascribed to it in Section 4.12.</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i w:val="1"/>
          <w:iCs w:val="1"/>
          <w:color w:val="auto"/>
        </w:rPr>
        <w:t xml:space="preserve">“Dilution” </w:t>
      </w:r>
      <w:r>
        <w:rPr>
          <w:rFonts w:ascii="Arial" w:cs="Arial" w:eastAsia="Arial" w:hAnsi="Arial"/>
          <w:sz w:val="19"/>
          <w:szCs w:val="19"/>
          <w:color w:val="auto"/>
        </w:rPr>
        <w:t>means in respect of each Debtor, any discount, adjustment, set-off, counterclaim, deduction, reduction, warranty</w:t>
      </w:r>
      <w:r>
        <w:rPr>
          <w:rFonts w:ascii="Arial" w:cs="Arial" w:eastAsia="Arial" w:hAnsi="Arial"/>
          <w:sz w:val="19"/>
          <w:szCs w:val="19"/>
          <w:i w:val="1"/>
          <w:iCs w:val="1"/>
          <w:color w:val="auto"/>
        </w:rPr>
        <w:t xml:space="preserve"> </w:t>
      </w:r>
      <w:r>
        <w:rPr>
          <w:rFonts w:ascii="Arial" w:cs="Arial" w:eastAsia="Arial" w:hAnsi="Arial"/>
          <w:sz w:val="19"/>
          <w:szCs w:val="19"/>
          <w:color w:val="auto"/>
        </w:rPr>
        <w:t>issue or refusal to pay not arising from such Debtor’s Financial Inability to Pay, which would have the effect of reducing the amount of part or all of any Purchased Receivable owed by a Debtor. For the avoidance of doubt, “Dilution” shall not include any Trade Credit Amount included in the determination of the Original Amount of any Purchased Receivable.</w:t>
      </w:r>
    </w:p>
    <w:p>
      <w:pPr>
        <w:spacing w:after="0" w:line="1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i w:val="1"/>
          <w:iCs w:val="1"/>
          <w:color w:val="auto"/>
        </w:rPr>
        <w:t xml:space="preserve">“Discount” </w:t>
      </w:r>
      <w:r>
        <w:rPr>
          <w:rFonts w:ascii="Arial" w:cs="Arial" w:eastAsia="Arial" w:hAnsi="Arial"/>
          <w:sz w:val="21"/>
          <w:szCs w:val="21"/>
          <w:color w:val="auto"/>
        </w:rPr>
        <w:t>means, with respect to each Purchased Receivable, 100% minus the product of (a) the higher of (x) the sum of</w:t>
      </w:r>
      <w:r>
        <w:rPr>
          <w:rFonts w:ascii="Arial" w:cs="Arial" w:eastAsia="Arial" w:hAnsi="Arial"/>
          <w:sz w:val="21"/>
          <w:szCs w:val="21"/>
          <w:i w:val="1"/>
          <w:iCs w:val="1"/>
          <w:color w:val="auto"/>
        </w:rPr>
        <w:t xml:space="preserve"> </w:t>
      </w:r>
      <w:r>
        <w:rPr>
          <w:rFonts w:ascii="Arial" w:cs="Arial" w:eastAsia="Arial" w:hAnsi="Arial"/>
          <w:sz w:val="21"/>
          <w:szCs w:val="21"/>
          <w:color w:val="auto"/>
        </w:rPr>
        <w:t>LIBOR for one week as of the purchase date thereof plus the Applicable Margin with respect to the applicable Approved Debtor in respect of such Purchased Receivable, and (y) the sum of LIBOR for three months as of the purchase date thereof plus the Applicable Margin with respect to the applicable Approved Debtor in respect of such Purchased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7" w:right="2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22"/>
          <w:szCs w:val="22"/>
          <w:color w:val="auto"/>
        </w:rPr>
        <w:t>Receivable, and (b) a fraction the numerator of which is the number of days in the applicable Settlement Period and the denominator of which is 360.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“Dollar,” “USD” </w:t>
      </w:r>
      <w:r>
        <w:rPr>
          <w:rFonts w:ascii="Arial" w:cs="Arial" w:eastAsia="Arial" w:hAnsi="Arial"/>
          <w:sz w:val="22"/>
          <w:szCs w:val="22"/>
          <w:color w:val="auto"/>
        </w:rPr>
        <w:t>and</w:t>
      </w:r>
      <w:r>
        <w:rPr>
          <w:rFonts w:ascii="Arial" w:cs="Arial" w:eastAsia="Arial" w:hAnsi="Arial"/>
          <w:sz w:val="22"/>
          <w:szCs w:val="22"/>
          <w:i w:val="1"/>
          <w:iCs w:val="1"/>
          <w:color w:val="auto"/>
        </w:rPr>
        <w:t xml:space="preserve"> “$” </w:t>
      </w:r>
      <w:r>
        <w:rPr>
          <w:rFonts w:ascii="Arial" w:cs="Arial" w:eastAsia="Arial" w:hAnsi="Arial"/>
          <w:sz w:val="22"/>
          <w:szCs w:val="22"/>
          <w:color w:val="auto"/>
        </w:rPr>
        <w:t>shall mean the lawful currency of the United States of America.</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“Economic and Trade Sanctions and Anti-Terrorism Laws” </w:t>
      </w:r>
      <w:r>
        <w:rPr>
          <w:rFonts w:ascii="Arial" w:cs="Arial" w:eastAsia="Arial" w:hAnsi="Arial"/>
          <w:sz w:val="22"/>
          <w:szCs w:val="22"/>
          <w:color w:val="auto"/>
        </w:rPr>
        <w:t>means any laws relating to economic or trade sanctions,</w:t>
      </w:r>
      <w:r>
        <w:rPr>
          <w:rFonts w:ascii="Arial" w:cs="Arial" w:eastAsia="Arial" w:hAnsi="Arial"/>
          <w:sz w:val="22"/>
          <w:szCs w:val="22"/>
          <w:i w:val="1"/>
          <w:iCs w:val="1"/>
          <w:color w:val="auto"/>
        </w:rPr>
        <w:t xml:space="preserve"> </w:t>
      </w:r>
      <w:r>
        <w:rPr>
          <w:rFonts w:ascii="Arial" w:cs="Arial" w:eastAsia="Arial" w:hAnsi="Arial"/>
          <w:sz w:val="22"/>
          <w:szCs w:val="22"/>
          <w:color w:val="auto"/>
        </w:rPr>
        <w:t>terrorism or money laundering, including without limitation Executive Order 13224, the Patriot Act, the regulations administered by OFAC, the Trading with the Enemy Act (12 U.S.C. §95), and the International Emergency Economic Powers Act (50 U.S.C. §1701-1707).</w:t>
      </w:r>
    </w:p>
    <w:p>
      <w:pPr>
        <w:spacing w:after="0" w:line="1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i w:val="1"/>
          <w:iCs w:val="1"/>
          <w:color w:val="auto"/>
        </w:rPr>
        <w:t xml:space="preserve">“Encumbrance” </w:t>
      </w:r>
      <w:r>
        <w:rPr>
          <w:rFonts w:ascii="Arial" w:cs="Arial" w:eastAsia="Arial" w:hAnsi="Arial"/>
          <w:sz w:val="22"/>
          <w:szCs w:val="22"/>
          <w:color w:val="auto"/>
        </w:rPr>
        <w:t>means a mortgage, assignment, security interest, pledge, lien or other encumbrance securing any</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 of any person or any other type of adverse claim or preferential arrangement (including, without limitation, title transfer and retention arrangements) having a similar effect.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“Facility Party” </w:t>
      </w:r>
      <w:r>
        <w:rPr>
          <w:rFonts w:ascii="Arial" w:cs="Arial" w:eastAsia="Arial" w:hAnsi="Arial"/>
          <w:sz w:val="22"/>
          <w:szCs w:val="22"/>
          <w:color w:val="auto"/>
        </w:rPr>
        <w:t>means the Parent and the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“Fee Letter” </w:t>
      </w:r>
      <w:r>
        <w:rPr>
          <w:rFonts w:ascii="Arial" w:cs="Arial" w:eastAsia="Arial" w:hAnsi="Arial"/>
          <w:sz w:val="22"/>
          <w:szCs w:val="22"/>
          <w:color w:val="auto"/>
        </w:rPr>
        <w:t>means the letter among the Administrative Agent, the Company and the Parent of even date herewith</w:t>
      </w:r>
      <w:r>
        <w:rPr>
          <w:rFonts w:ascii="Arial" w:cs="Arial" w:eastAsia="Arial" w:hAnsi="Arial"/>
          <w:sz w:val="22"/>
          <w:szCs w:val="22"/>
          <w:i w:val="1"/>
          <w:iCs w:val="1"/>
          <w:color w:val="auto"/>
        </w:rPr>
        <w:t xml:space="preserve"> </w:t>
      </w:r>
      <w:r>
        <w:rPr>
          <w:rFonts w:ascii="Arial" w:cs="Arial" w:eastAsia="Arial" w:hAnsi="Arial"/>
          <w:sz w:val="22"/>
          <w:szCs w:val="22"/>
          <w:color w:val="auto"/>
        </w:rPr>
        <w:t>providing for the payment of certain fees by the Company to the Administrative Agent as specified therein.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“Final Collection Date” </w:t>
      </w:r>
      <w:r>
        <w:rPr>
          <w:rFonts w:ascii="Arial" w:cs="Arial" w:eastAsia="Arial" w:hAnsi="Arial"/>
          <w:sz w:val="22"/>
          <w:szCs w:val="22"/>
          <w:color w:val="auto"/>
        </w:rPr>
        <w:t>means the date, following the termination of purchases under this Agreement, on which all</w:t>
      </w:r>
      <w:r>
        <w:rPr>
          <w:rFonts w:ascii="Arial" w:cs="Arial" w:eastAsia="Arial" w:hAnsi="Arial"/>
          <w:sz w:val="22"/>
          <w:szCs w:val="22"/>
          <w:i w:val="1"/>
          <w:iCs w:val="1"/>
          <w:color w:val="auto"/>
        </w:rPr>
        <w:t xml:space="preserve"> </w:t>
      </w:r>
      <w:r>
        <w:rPr>
          <w:rFonts w:ascii="Arial" w:cs="Arial" w:eastAsia="Arial" w:hAnsi="Arial"/>
          <w:sz w:val="22"/>
          <w:szCs w:val="22"/>
          <w:color w:val="auto"/>
        </w:rPr>
        <w:t>amounts to which the Banks shall be entitled in respect of Purchased Receivables and all other amounts owing to the Banks and the Administrative Agent hereunder and under the other Transaction Documents are paid in full.</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i w:val="1"/>
          <w:iCs w:val="1"/>
          <w:color w:val="auto"/>
        </w:rPr>
        <w:t xml:space="preserve">“Financial Inability to Pay” </w:t>
      </w:r>
      <w:r>
        <w:rPr>
          <w:rFonts w:ascii="Arial" w:cs="Arial" w:eastAsia="Arial" w:hAnsi="Arial"/>
          <w:sz w:val="19"/>
          <w:szCs w:val="19"/>
          <w:color w:val="auto"/>
        </w:rPr>
        <w:t>means a Debtor’s failure or inability to pay a Receivable as a result of a deterioration in such</w:t>
      </w:r>
      <w:r>
        <w:rPr>
          <w:rFonts w:ascii="Arial" w:cs="Arial" w:eastAsia="Arial" w:hAnsi="Arial"/>
          <w:sz w:val="19"/>
          <w:szCs w:val="19"/>
          <w:i w:val="1"/>
          <w:iCs w:val="1"/>
          <w:color w:val="auto"/>
        </w:rPr>
        <w:t xml:space="preserve"> </w:t>
      </w:r>
      <w:r>
        <w:rPr>
          <w:rFonts w:ascii="Arial" w:cs="Arial" w:eastAsia="Arial" w:hAnsi="Arial"/>
          <w:sz w:val="19"/>
          <w:szCs w:val="19"/>
          <w:color w:val="auto"/>
        </w:rPr>
        <w:t>Debtor’s credit quality as evidenced by an event where such Debtor (A)(i) is dissolved (other than pursuant to a consolidation, amalgamation or merger); (ii) becomes insolvent or is unable to pay its debts or fails or admits in writing its inability generally to pay its debts as they become due; (iii) makes a general assignment, arrangement or composition with or for the benefit of its creditors; (iv) institutes or has instituted against it a proceeding seeking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(aa) results in a judgment of insolvency or bankruptcy or the entry of an order for relief or the making of an order for its winding up or liquidation or (bb) is not dismissed, discharged, stayed or restrained in each case within 60 days of the institution or presentation thereof; (v) has a resolution passed for its winding-up, official management or liquidation; (vi) seeks or becomes subject to the appointment of an administrator, provisional liquidator, conservator, receiver, trustee, custodian or other similar official for it or for all or substantially all of its assets; (vii)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60 days thereafter, (viii) causes or is subject to any event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7" w:right="239" w:bottom="1440" w:gutter="0" w:footer="0" w:header="0"/>
        </w:sectPr>
      </w:pPr>
    </w:p>
    <w:bookmarkStart w:id="124" w:name="page125"/>
    <w:bookmarkEnd w:id="124"/>
    <w:p>
      <w:pPr>
        <w:jc w:val="both"/>
        <w:spacing w:after="0" w:line="290" w:lineRule="auto"/>
        <w:rPr>
          <w:sz w:val="20"/>
          <w:szCs w:val="20"/>
          <w:color w:val="auto"/>
        </w:rPr>
      </w:pPr>
      <w:r>
        <w:rPr>
          <w:rFonts w:ascii="Arial" w:cs="Arial" w:eastAsia="Arial" w:hAnsi="Arial"/>
          <w:sz w:val="19"/>
          <w:szCs w:val="19"/>
          <w:color w:val="auto"/>
        </w:rPr>
        <w:t xml:space="preserve">with respect to it which, under the applicable laws of any jurisdiction, has an analogous effect to any of the events specified in clauses (i) to (vii) (inclusive); (ix) takes any action in furtherance of, or indicating its consent to, approval of, or acquiescence in, any of the foregoing acts; or (x) at any time that the long-term unenhanced, unsecured indebtedness rating of such Debtor is </w:t>
      </w:r>
      <w:r>
        <w:rPr>
          <w:rFonts w:ascii="Arial" w:cs="Arial" w:eastAsia="Arial" w:hAnsi="Arial"/>
          <w:sz w:val="19"/>
          <w:szCs w:val="19"/>
          <w:i w:val="1"/>
          <w:iCs w:val="1"/>
          <w:color w:val="auto"/>
        </w:rPr>
        <w:t xml:space="preserve">“CCC” </w:t>
      </w:r>
      <w:r>
        <w:rPr>
          <w:rFonts w:ascii="Arial" w:cs="Arial" w:eastAsia="Arial" w:hAnsi="Arial"/>
          <w:sz w:val="19"/>
          <w:szCs w:val="19"/>
          <w:color w:val="auto"/>
        </w:rPr>
        <w:t>(or its equivalent) or lower, fails to pay 10% or more of the aggregate amount of Purchased Receivables owed by it, for</w:t>
      </w:r>
      <w:r>
        <w:rPr>
          <w:rFonts w:ascii="Arial" w:cs="Arial" w:eastAsia="Arial" w:hAnsi="Arial"/>
          <w:sz w:val="19"/>
          <w:szCs w:val="19"/>
          <w:i w:val="1"/>
          <w:iCs w:val="1"/>
          <w:color w:val="auto"/>
        </w:rPr>
        <w:t xml:space="preserve"> </w:t>
      </w:r>
      <w:r>
        <w:rPr>
          <w:rFonts w:ascii="Arial" w:cs="Arial" w:eastAsia="Arial" w:hAnsi="Arial"/>
          <w:sz w:val="19"/>
          <w:szCs w:val="19"/>
          <w:color w:val="auto"/>
        </w:rPr>
        <w:t>more than 30 days beyond the relevant Maturity Dates thereof (unless such Debtor claims, and the Company agrees and confirms in writing, such failure to pay is a result of a commercial dispute related to such Purchased Receivables), or (B) fails, after giving effect to any applicable grace period for the relevant obligation(s) of such Debtor (other than such Receivable), to make, when due, any payments equal to or exceeding $25,000,000 under such obligations.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“Funded Amount” </w:t>
      </w:r>
      <w:r>
        <w:rPr>
          <w:rFonts w:ascii="Arial" w:cs="Arial" w:eastAsia="Arial" w:hAnsi="Arial"/>
          <w:sz w:val="22"/>
          <w:szCs w:val="22"/>
          <w:color w:val="auto"/>
        </w:rPr>
        <w:t>means the aggregate amount of Purchase Prices paid by the Banks hereunder, less the Collections, if any,</w:t>
      </w:r>
      <w:r>
        <w:rPr>
          <w:rFonts w:ascii="Arial" w:cs="Arial" w:eastAsia="Arial" w:hAnsi="Arial"/>
          <w:sz w:val="22"/>
          <w:szCs w:val="22"/>
          <w:i w:val="1"/>
          <w:iCs w:val="1"/>
          <w:color w:val="auto"/>
        </w:rPr>
        <w:t xml:space="preserve"> </w:t>
      </w:r>
      <w:r>
        <w:rPr>
          <w:rFonts w:ascii="Arial" w:cs="Arial" w:eastAsia="Arial" w:hAnsi="Arial"/>
          <w:sz w:val="22"/>
          <w:szCs w:val="22"/>
          <w:color w:val="auto"/>
        </w:rPr>
        <w:t>theretofore paid to and received by the Banks.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i w:val="1"/>
          <w:iCs w:val="1"/>
          <w:color w:val="auto"/>
        </w:rPr>
        <w:t xml:space="preserve">“Governmental Authority” </w:t>
      </w:r>
      <w:r>
        <w:rPr>
          <w:rFonts w:ascii="Arial" w:cs="Arial" w:eastAsia="Arial" w:hAnsi="Arial"/>
          <w:sz w:val="21"/>
          <w:szCs w:val="21"/>
          <w:color w:val="auto"/>
        </w:rPr>
        <w:t>means any nation or government, any state or other political subdivision thereof and any entity</w:t>
      </w:r>
      <w:r>
        <w:rPr>
          <w:rFonts w:ascii="Arial" w:cs="Arial" w:eastAsia="Arial" w:hAnsi="Arial"/>
          <w:sz w:val="21"/>
          <w:szCs w:val="21"/>
          <w:i w:val="1"/>
          <w:iCs w:val="1"/>
          <w:color w:val="auto"/>
        </w:rPr>
        <w:t xml:space="preserve"> </w:t>
      </w:r>
      <w:r>
        <w:rPr>
          <w:rFonts w:ascii="Arial" w:cs="Arial" w:eastAsia="Arial" w:hAnsi="Arial"/>
          <w:sz w:val="21"/>
          <w:szCs w:val="21"/>
          <w:color w:val="auto"/>
        </w:rPr>
        <w:t>exercising executive, legislative, judicial, regulatory or administrative functions of or pertaining to government.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“Historical Dilution” </w:t>
      </w:r>
      <w:r>
        <w:rPr>
          <w:rFonts w:ascii="Arial" w:cs="Arial" w:eastAsia="Arial" w:hAnsi="Arial"/>
          <w:sz w:val="22"/>
          <w:szCs w:val="22"/>
          <w:color w:val="auto"/>
        </w:rPr>
        <w:t>means, with respect to a Debtor at any time, a rate equal to a fraction the numerator of which is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value of the </w:t>
      </w:r>
      <w:r>
        <w:rPr>
          <w:rFonts w:ascii="Arial" w:cs="Arial" w:eastAsia="Arial" w:hAnsi="Arial"/>
          <w:sz w:val="22"/>
          <w:szCs w:val="22"/>
          <w:i w:val="1"/>
          <w:iCs w:val="1"/>
          <w:color w:val="auto"/>
        </w:rPr>
        <w:t>“Credit Memos”</w:t>
      </w:r>
      <w:r>
        <w:rPr>
          <w:rFonts w:ascii="Arial" w:cs="Arial" w:eastAsia="Arial" w:hAnsi="Arial"/>
          <w:sz w:val="22"/>
          <w:szCs w:val="22"/>
          <w:color w:val="auto"/>
        </w:rPr>
        <w:t xml:space="preserve"> for the same month of the previous year and the denominator of which is the value of </w:t>
      </w:r>
      <w:r>
        <w:rPr>
          <w:rFonts w:ascii="Arial" w:cs="Arial" w:eastAsia="Arial" w:hAnsi="Arial"/>
          <w:sz w:val="22"/>
          <w:szCs w:val="22"/>
          <w:i w:val="1"/>
          <w:iCs w:val="1"/>
          <w:color w:val="auto"/>
        </w:rPr>
        <w:t>“Sales”</w:t>
      </w:r>
      <w:r>
        <w:rPr>
          <w:rFonts w:ascii="Arial" w:cs="Arial" w:eastAsia="Arial" w:hAnsi="Arial"/>
          <w:sz w:val="22"/>
          <w:szCs w:val="22"/>
          <w:color w:val="auto"/>
        </w:rPr>
        <w:t xml:space="preserve"> for such month and year, in each case for such Debtor as indicated in the relevant Portfolio Report received by the Administrative Agent and as distributed to the Banks.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“Indemnified Taxes” </w:t>
      </w:r>
      <w:r>
        <w:rPr>
          <w:rFonts w:ascii="Arial" w:cs="Arial" w:eastAsia="Arial" w:hAnsi="Arial"/>
          <w:sz w:val="22"/>
          <w:szCs w:val="22"/>
          <w:color w:val="auto"/>
        </w:rPr>
        <w:t>has the meaning ascribed to in Section 7.2.</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i w:val="1"/>
          <w:iCs w:val="1"/>
          <w:color w:val="auto"/>
        </w:rPr>
        <w:t xml:space="preserve">“Invoice” </w:t>
      </w:r>
      <w:r>
        <w:rPr>
          <w:rFonts w:ascii="Arial" w:cs="Arial" w:eastAsia="Arial" w:hAnsi="Arial"/>
          <w:sz w:val="22"/>
          <w:szCs w:val="22"/>
          <w:color w:val="auto"/>
        </w:rPr>
        <w:t>means an invoice issued by the Company to a Debtor for payment for goods or services supplied pursuant to a</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 between the Company and such Debtor.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“Late Interest Percentage” </w:t>
      </w:r>
      <w:r>
        <w:rPr>
          <w:rFonts w:ascii="Arial" w:cs="Arial" w:eastAsia="Arial" w:hAnsi="Arial"/>
          <w:sz w:val="22"/>
          <w:szCs w:val="22"/>
          <w:color w:val="auto"/>
        </w:rPr>
        <w:t>means, with respect to Purchased Receivables, a rate equal to the product of (a) the sum of (i)</w:t>
      </w:r>
      <w:r>
        <w:rPr>
          <w:rFonts w:ascii="Arial" w:cs="Arial" w:eastAsia="Arial" w:hAnsi="Arial"/>
          <w:sz w:val="22"/>
          <w:szCs w:val="22"/>
          <w:i w:val="1"/>
          <w:iCs w:val="1"/>
          <w:color w:val="auto"/>
        </w:rPr>
        <w:t xml:space="preserve"> </w:t>
      </w:r>
      <w:r>
        <w:rPr>
          <w:rFonts w:ascii="Arial" w:cs="Arial" w:eastAsia="Arial" w:hAnsi="Arial"/>
          <w:sz w:val="22"/>
          <w:szCs w:val="22"/>
          <w:color w:val="auto"/>
        </w:rPr>
        <w:t>LIBOR for ninety-eight (98) days as of the relevant date, and (ii) 0.75%, and (b) a fraction the numerator of which is ninety-eight (98) and the denominator of which is 360.</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i w:val="1"/>
          <w:iCs w:val="1"/>
          <w:color w:val="auto"/>
        </w:rPr>
        <w:t xml:space="preserve">“Law” </w:t>
      </w:r>
      <w:r>
        <w:rPr>
          <w:rFonts w:ascii="Arial" w:cs="Arial" w:eastAsia="Arial" w:hAnsi="Arial"/>
          <w:sz w:val="22"/>
          <w:szCs w:val="22"/>
          <w:color w:val="auto"/>
        </w:rPr>
        <w:t>means any law (including common law), constitution, statute, treaty, regulation, rule, ordinance, order, injunction,</w:t>
      </w:r>
      <w:r>
        <w:rPr>
          <w:rFonts w:ascii="Arial" w:cs="Arial" w:eastAsia="Arial" w:hAnsi="Arial"/>
          <w:sz w:val="22"/>
          <w:szCs w:val="22"/>
          <w:i w:val="1"/>
          <w:iCs w:val="1"/>
          <w:color w:val="auto"/>
        </w:rPr>
        <w:t xml:space="preserve"> </w:t>
      </w:r>
      <w:r>
        <w:rPr>
          <w:rFonts w:ascii="Arial" w:cs="Arial" w:eastAsia="Arial" w:hAnsi="Arial"/>
          <w:sz w:val="22"/>
          <w:szCs w:val="22"/>
          <w:color w:val="auto"/>
        </w:rPr>
        <w:t>writ, decree or award of any Governmental Authority.</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i w:val="1"/>
          <w:iCs w:val="1"/>
          <w:color w:val="auto"/>
        </w:rPr>
        <w:t xml:space="preserve">“LIBOR” </w:t>
      </w:r>
      <w:r>
        <w:rPr>
          <w:rFonts w:ascii="Arial" w:cs="Arial" w:eastAsia="Arial" w:hAnsi="Arial"/>
          <w:sz w:val="19"/>
          <w:szCs w:val="19"/>
          <w:color w:val="auto"/>
        </w:rPr>
        <w:t>means, for any applicable period, the rate per annum determined by the Administrative Agent on the date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two (2) Business Days prior to the applicable Settlement Date for deposits in Dollars for a period equal to such period, which appears in the Bloomberg Financial Markets system as the composite offered rate for London interbank deposits for such period as of 11:00 a.m. (London, England time). If that rate does not appear on that display page, LIBOR for such period will be the rate per annum shown on Reuters Screen LIBOR01 Page or any successor page as the composite offered rate for London interbank deposits for such period, as shown under the heading “USD” as of 11:00 a.m. (London, England time) two (2) Business Days before the commencement of such period, or if such service is not available, by reference to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7" w:right="239" w:bottom="1440" w:gutter="0" w:footer="0" w:header="0"/>
        </w:sectPr>
      </w:pPr>
    </w:p>
    <w:bookmarkStart w:id="125" w:name="page126"/>
    <w:bookmarkEnd w:id="125"/>
    <w:p>
      <w:pPr>
        <w:jc w:val="both"/>
        <w:spacing w:after="0" w:line="248" w:lineRule="auto"/>
        <w:rPr>
          <w:sz w:val="20"/>
          <w:szCs w:val="20"/>
          <w:color w:val="auto"/>
        </w:rPr>
      </w:pPr>
      <w:r>
        <w:rPr>
          <w:rFonts w:ascii="Arial" w:cs="Arial" w:eastAsia="Arial" w:hAnsi="Arial"/>
          <w:sz w:val="22"/>
          <w:szCs w:val="22"/>
          <w:color w:val="auto"/>
        </w:rPr>
        <w:t xml:space="preserve">British Bankers’ Association Interest Settlement Rates for deposits in USD for a period equal to such relevant period;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to the extent that an interest rate is not ascertainable pursuant to the foregoing provisions of this definition, “LIBOR” shall be the interest rate per annum determined by the Administrative Agent to be the average of the rates per annum at which deposits in USD are offered for such relevant period by the Administrative Agent in the London interbank market in London, England on the date that is two (2) Business Days prior to the beginning of such period.</w:t>
      </w:r>
    </w:p>
    <w:p>
      <w:pPr>
        <w:spacing w:after="0" w:line="192" w:lineRule="exact"/>
        <w:rPr>
          <w:sz w:val="20"/>
          <w:szCs w:val="20"/>
          <w:color w:val="auto"/>
        </w:rPr>
      </w:pPr>
    </w:p>
    <w:p>
      <w:pPr>
        <w:ind w:right="6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Material Adverse Effect</w:t>
      </w:r>
      <w:r>
        <w:rPr>
          <w:rFonts w:ascii="Arial" w:cs="Arial" w:eastAsia="Arial" w:hAnsi="Arial"/>
          <w:sz w:val="21"/>
          <w:szCs w:val="21"/>
          <w:color w:val="auto"/>
        </w:rPr>
        <w:t>” means a material adverse effect on (a) the business, operations, property or financial condition of the Parent and its subsidiaries taken as a whole or (b) the validity or enforceability of any material term of this Agreement or the rights or remedies of the Administrative Agent or the Banks hereunder or acquired hereunder.</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“Maturity Date” </w:t>
      </w:r>
      <w:r>
        <w:rPr>
          <w:rFonts w:ascii="Arial" w:cs="Arial" w:eastAsia="Arial" w:hAnsi="Arial"/>
          <w:sz w:val="22"/>
          <w:szCs w:val="22"/>
          <w:color w:val="auto"/>
        </w:rPr>
        <w:t>means, with respect to a Purchased Receivable, the date on which such Purchased Receivable becomes</w:t>
      </w:r>
      <w:r>
        <w:rPr>
          <w:rFonts w:ascii="Arial" w:cs="Arial" w:eastAsia="Arial" w:hAnsi="Arial"/>
          <w:sz w:val="22"/>
          <w:szCs w:val="22"/>
          <w:i w:val="1"/>
          <w:iCs w:val="1"/>
          <w:color w:val="auto"/>
        </w:rPr>
        <w:t xml:space="preserve"> </w:t>
      </w:r>
      <w:r>
        <w:rPr>
          <w:rFonts w:ascii="Arial" w:cs="Arial" w:eastAsia="Arial" w:hAnsi="Arial"/>
          <w:sz w:val="22"/>
          <w:szCs w:val="22"/>
          <w:color w:val="auto"/>
        </w:rPr>
        <w:t>due and payable by the Debtor.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“Mizuho” </w:t>
      </w:r>
      <w:r>
        <w:rPr>
          <w:rFonts w:ascii="Arial" w:cs="Arial" w:eastAsia="Arial" w:hAnsi="Arial"/>
          <w:sz w:val="22"/>
          <w:szCs w:val="22"/>
          <w:color w:val="auto"/>
        </w:rPr>
        <w:t>has the meaning ascribed to it in the preamble 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“Monsanto Agreement” </w:t>
      </w:r>
      <w:r>
        <w:rPr>
          <w:rFonts w:ascii="Arial" w:cs="Arial" w:eastAsia="Arial" w:hAnsi="Arial"/>
          <w:sz w:val="22"/>
          <w:szCs w:val="22"/>
          <w:color w:val="auto"/>
        </w:rPr>
        <w:t>means the Amended and Restated Exclusive Agency and Marketing Agreement by and between</w:t>
      </w:r>
      <w:r>
        <w:rPr>
          <w:rFonts w:ascii="Arial" w:cs="Arial" w:eastAsia="Arial" w:hAnsi="Arial"/>
          <w:sz w:val="22"/>
          <w:szCs w:val="22"/>
          <w:i w:val="1"/>
          <w:iCs w:val="1"/>
          <w:color w:val="auto"/>
        </w:rPr>
        <w:t xml:space="preserve"> </w:t>
      </w:r>
      <w:r>
        <w:rPr>
          <w:rFonts w:ascii="Arial" w:cs="Arial" w:eastAsia="Arial" w:hAnsi="Arial"/>
          <w:sz w:val="22"/>
          <w:szCs w:val="22"/>
          <w:color w:val="auto"/>
        </w:rPr>
        <w:t>The Monsanto Company and the Company.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“Monsanto Receivables” </w:t>
      </w:r>
      <w:r>
        <w:rPr>
          <w:rFonts w:ascii="Arial" w:cs="Arial" w:eastAsia="Arial" w:hAnsi="Arial"/>
          <w:sz w:val="22"/>
          <w:szCs w:val="22"/>
          <w:color w:val="auto"/>
        </w:rPr>
        <w:t>means accounts receivable (and all related proceeds) originated and owned by The Monsanto</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from an Approved Debtor pursuant to, and otherwise subject to the terms of, the Monsanto Agreement and collected by the Company as an agent on behalf of The Monsanto Company thereunder.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means the Office of Foreign Assets Control of the United States Department of the Treasury.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“OFAC Lists” </w:t>
      </w:r>
      <w:r>
        <w:rPr>
          <w:rFonts w:ascii="Arial" w:cs="Arial" w:eastAsia="Arial" w:hAnsi="Arial"/>
          <w:sz w:val="22"/>
          <w:szCs w:val="22"/>
          <w:color w:val="auto"/>
        </w:rPr>
        <w:t>has the meaning ascribed to it in Section 19.9(b).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“OFAC Violation” </w:t>
      </w:r>
      <w:r>
        <w:rPr>
          <w:rFonts w:ascii="Arial" w:cs="Arial" w:eastAsia="Arial" w:hAnsi="Arial"/>
          <w:sz w:val="22"/>
          <w:szCs w:val="22"/>
          <w:color w:val="auto"/>
        </w:rPr>
        <w:t>has the meaning ascribed to it in Section 19.9(c).</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“Original Amount” </w:t>
      </w:r>
      <w:r>
        <w:rPr>
          <w:rFonts w:ascii="Arial" w:cs="Arial" w:eastAsia="Arial" w:hAnsi="Arial"/>
          <w:sz w:val="19"/>
          <w:szCs w:val="19"/>
          <w:color w:val="auto"/>
        </w:rPr>
        <w:t>means, in relation to a Receivable or a Purchased Receivable, as applicable, the amount owing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Debtor in respect of such Receivable or Purchased Receivable, as applicable, such amount being the aggregate amount payable under the relevant Invoice, less any related Trade Credit Amount applied against such payable amount on or before the purchase date of such Receivable or Purchased Receivable, as applicable. For the avoidance of doubt, the Original Amount of any Purchased Receivable shall not be reduced as a result of any write-down or write-off of such Purchased Receivable by any Bank.</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i w:val="1"/>
          <w:iCs w:val="1"/>
          <w:color w:val="auto"/>
        </w:rPr>
        <w:t xml:space="preserve">“Other Taxes” </w:t>
      </w:r>
      <w:r>
        <w:rPr>
          <w:rFonts w:ascii="Arial" w:cs="Arial" w:eastAsia="Arial" w:hAnsi="Arial"/>
          <w:sz w:val="21"/>
          <w:szCs w:val="21"/>
          <w:color w:val="auto"/>
        </w:rPr>
        <w:t>means any and all present or future stamp or documentary taxes or any other excise, sales, goods and</w:t>
      </w:r>
      <w:r>
        <w:rPr>
          <w:rFonts w:ascii="Arial" w:cs="Arial" w:eastAsia="Arial" w:hAnsi="Arial"/>
          <w:sz w:val="21"/>
          <w:szCs w:val="21"/>
          <w:i w:val="1"/>
          <w:iCs w:val="1"/>
          <w:color w:val="auto"/>
        </w:rPr>
        <w:t xml:space="preserve"> </w:t>
      </w:r>
      <w:r>
        <w:rPr>
          <w:rFonts w:ascii="Arial" w:cs="Arial" w:eastAsia="Arial" w:hAnsi="Arial"/>
          <w:sz w:val="21"/>
          <w:szCs w:val="21"/>
          <w:color w:val="auto"/>
        </w:rPr>
        <w:t>services or transfer taxes, charges or similar levies arising from any payment made under any Transaction Document or from the execution, delivery or enforcement of, or otherwise with respect to, any Transaction Document.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“Parent” </w:t>
      </w:r>
      <w:r>
        <w:rPr>
          <w:rFonts w:ascii="Arial" w:cs="Arial" w:eastAsia="Arial" w:hAnsi="Arial"/>
          <w:sz w:val="22"/>
          <w:szCs w:val="22"/>
          <w:color w:val="auto"/>
        </w:rPr>
        <w:t>has the meaning ascribed to it in the preamble hereto.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7" w:right="239" w:bottom="1440" w:gutter="0" w:footer="0" w:header="0"/>
        </w:sectPr>
      </w:pPr>
    </w:p>
    <w:bookmarkStart w:id="126" w:name="page127"/>
    <w:bookmarkEnd w:id="126"/>
    <w:p>
      <w:pPr>
        <w:jc w:val="both"/>
        <w:ind w:firstLine="648"/>
        <w:spacing w:after="0" w:line="343" w:lineRule="auto"/>
        <w:rPr>
          <w:sz w:val="20"/>
          <w:szCs w:val="20"/>
          <w:color w:val="auto"/>
        </w:rPr>
      </w:pPr>
      <w:r>
        <w:rPr>
          <w:rFonts w:ascii="Arial" w:cs="Arial" w:eastAsia="Arial" w:hAnsi="Arial"/>
          <w:sz w:val="19"/>
          <w:szCs w:val="19"/>
          <w:i w:val="1"/>
          <w:iCs w:val="1"/>
          <w:color w:val="auto"/>
        </w:rPr>
        <w:t xml:space="preserve">“Payment Account” </w:t>
      </w:r>
      <w:r>
        <w:rPr>
          <w:rFonts w:ascii="Arial" w:cs="Arial" w:eastAsia="Arial" w:hAnsi="Arial"/>
          <w:sz w:val="19"/>
          <w:szCs w:val="19"/>
          <w:color w:val="auto"/>
        </w:rPr>
        <w:t>means the account of the Administrative Agent set forth under its signature on the signature page</w:t>
      </w:r>
      <w:r>
        <w:rPr>
          <w:rFonts w:ascii="Arial" w:cs="Arial" w:eastAsia="Arial" w:hAnsi="Arial"/>
          <w:sz w:val="19"/>
          <w:szCs w:val="19"/>
          <w:i w:val="1"/>
          <w:iCs w:val="1"/>
          <w:color w:val="auto"/>
        </w:rPr>
        <w:t xml:space="preserve"> </w:t>
      </w:r>
      <w:r>
        <w:rPr>
          <w:rFonts w:ascii="Arial" w:cs="Arial" w:eastAsia="Arial" w:hAnsi="Arial"/>
          <w:sz w:val="19"/>
          <w:szCs w:val="19"/>
          <w:color w:val="auto"/>
        </w:rPr>
        <w:t>hereto, or such other account as the Administrative Agent may hereafter designate in writing as such to the other parties hereto.</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 business trust, joint stock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trust, unincorporated association, joint venture, Governmental Authority or other entity of whatever nature.</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i w:val="1"/>
          <w:iCs w:val="1"/>
          <w:color w:val="auto"/>
        </w:rPr>
        <w:t xml:space="preserve">“Portfolio Report” </w:t>
      </w:r>
      <w:r>
        <w:rPr>
          <w:rFonts w:ascii="Arial" w:cs="Arial" w:eastAsia="Arial" w:hAnsi="Arial"/>
          <w:sz w:val="19"/>
          <w:szCs w:val="19"/>
          <w:color w:val="auto"/>
        </w:rPr>
        <w:t>means a report, substantially in the form of Schedule 4, delivered in electronic form and which shall</w:t>
      </w:r>
      <w:r>
        <w:rPr>
          <w:rFonts w:ascii="Arial" w:cs="Arial" w:eastAsia="Arial" w:hAnsi="Arial"/>
          <w:sz w:val="19"/>
          <w:szCs w:val="19"/>
          <w:i w:val="1"/>
          <w:iCs w:val="1"/>
          <w:color w:val="auto"/>
        </w:rPr>
        <w:t xml:space="preserve"> </w:t>
      </w:r>
      <w:r>
        <w:rPr>
          <w:rFonts w:ascii="Arial" w:cs="Arial" w:eastAsia="Arial" w:hAnsi="Arial"/>
          <w:sz w:val="19"/>
          <w:szCs w:val="19"/>
          <w:color w:val="auto"/>
        </w:rPr>
        <w:t>contain, inter alia, the list of Receivables which have been determined to be Purchased Receivables hereunder, with separate entries for (i) Receivables previously purchased by the Banks in accordance with Section 4.1 and (ii) Replacement Receivables, as well as a list of all relevant Invoices and for each Approved Debtor, a calculation of the Trade Credit Amount.</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“Prime Rate” </w:t>
      </w:r>
      <w:r>
        <w:rPr>
          <w:rFonts w:ascii="Arial" w:cs="Arial" w:eastAsia="Arial" w:hAnsi="Arial"/>
          <w:sz w:val="22"/>
          <w:szCs w:val="22"/>
          <w:color w:val="auto"/>
        </w:rPr>
        <w:t>means the rate of interest per annum that Mizuho announces from time to time as its prime lending rate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United States, as in effect from time to time. The Prime Rate is a reference rate and does not necessarily represent the lowest or best rate actually charged to any customer. Mizuho or any other Bank may make commercial loans or other loans at rates of interest at, above or below the Prime Rate.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i w:val="1"/>
          <w:iCs w:val="1"/>
          <w:color w:val="auto"/>
        </w:rPr>
        <w:t xml:space="preserve">“Pro Rata Share” </w:t>
      </w:r>
      <w:r>
        <w:rPr>
          <w:rFonts w:ascii="Arial" w:cs="Arial" w:eastAsia="Arial" w:hAnsi="Arial"/>
          <w:sz w:val="21"/>
          <w:szCs w:val="21"/>
          <w:color w:val="auto"/>
        </w:rPr>
        <w:t>means, with respect to any Bank, (i) with respect to any Purchased Receivable, an amount (expressed as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 percentage) equal to (x) that portion of the Purchase Price of such Purchased Receivable paid by such Bank,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(y) the Purchase Price of such Purchased Receivable paid by all of the Banks, and (ii) for all other purposes under this Agreement, an amount (expressed as a percentage) equal to (x) the aggregate Purchase Prices of all Purchased Receivables paid by such Bank,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(y) the aggregate Purchase Prices of all Purchased Receivables paid by all of the Banks. For the avoidance of doubt, the Pro Rata Share of any Bank with respect to any Receivable that is required to be repurchased by such Bank in accordance with Section 4.5(e) shall be such Bank’s Pro Rata Share with respect to such Receivable as of the initial Settlement Date on which it was purchased.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“Purchase Price” </w:t>
      </w:r>
      <w:r>
        <w:rPr>
          <w:rFonts w:ascii="Arial" w:cs="Arial" w:eastAsia="Arial" w:hAnsi="Arial"/>
          <w:sz w:val="22"/>
          <w:szCs w:val="22"/>
          <w:color w:val="auto"/>
        </w:rPr>
        <w:t>means, in relation to any Purchased Receivable, the Agreed Base Value thereof times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Discount.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“Purchase Request” </w:t>
      </w:r>
      <w:r>
        <w:rPr>
          <w:rFonts w:ascii="Arial" w:cs="Arial" w:eastAsia="Arial" w:hAnsi="Arial"/>
          <w:sz w:val="22"/>
          <w:szCs w:val="22"/>
          <w:color w:val="auto"/>
        </w:rPr>
        <w:t>means a request for purchase signed by an officer or other authorized signatory of the Company in the</w:t>
      </w:r>
      <w:r>
        <w:rPr>
          <w:rFonts w:ascii="Arial" w:cs="Arial" w:eastAsia="Arial" w:hAnsi="Arial"/>
          <w:sz w:val="22"/>
          <w:szCs w:val="22"/>
          <w:i w:val="1"/>
          <w:iCs w:val="1"/>
          <w:color w:val="auto"/>
        </w:rPr>
        <w:t xml:space="preserve"> </w:t>
      </w:r>
      <w:r>
        <w:rPr>
          <w:rFonts w:ascii="Arial" w:cs="Arial" w:eastAsia="Arial" w:hAnsi="Arial"/>
          <w:sz w:val="22"/>
          <w:szCs w:val="22"/>
          <w:color w:val="auto"/>
        </w:rPr>
        <w:t>form attached hereto as Schedule 1.</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“Purchased Receivable” </w:t>
      </w:r>
      <w:r>
        <w:rPr>
          <w:rFonts w:ascii="Arial" w:cs="Arial" w:eastAsia="Arial" w:hAnsi="Arial"/>
          <w:sz w:val="22"/>
          <w:szCs w:val="22"/>
          <w:color w:val="auto"/>
        </w:rPr>
        <w:t>means, at any time, any Receivable sold by the Company and acquired by the Banks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“Receivable” </w:t>
      </w:r>
      <w:r>
        <w:rPr>
          <w:rFonts w:ascii="Arial" w:cs="Arial" w:eastAsia="Arial" w:hAnsi="Arial"/>
          <w:sz w:val="22"/>
          <w:szCs w:val="22"/>
          <w:color w:val="auto"/>
        </w:rPr>
        <w:t>means the indebtedness of an Approved Debtor to the Company arising under a Contract and which is</w:t>
      </w:r>
      <w:r>
        <w:rPr>
          <w:rFonts w:ascii="Arial" w:cs="Arial" w:eastAsia="Arial" w:hAnsi="Arial"/>
          <w:sz w:val="22"/>
          <w:szCs w:val="22"/>
          <w:i w:val="1"/>
          <w:iCs w:val="1"/>
          <w:color w:val="auto"/>
        </w:rPr>
        <w:t xml:space="preserve"> </w:t>
      </w:r>
      <w:r>
        <w:rPr>
          <w:rFonts w:ascii="Arial" w:cs="Arial" w:eastAsia="Arial" w:hAnsi="Arial"/>
          <w:sz w:val="22"/>
          <w:szCs w:val="22"/>
          <w:color w:val="auto"/>
        </w:rPr>
        <w:t>evidenced by an Invoice (including the right to receive payment of any interest or finance charges or other liabilities of such Debtor under the Contract), together with all Related Assets with respect thereto and all Collections and other proceeds with respect to the foregoing.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7" w:right="239" w:bottom="1440" w:gutter="0" w:footer="0" w:header="0"/>
        </w:sectPr>
      </w:pPr>
    </w:p>
    <w:bookmarkStart w:id="127" w:name="page128"/>
    <w:bookmarkEnd w:id="127"/>
    <w:p>
      <w:pPr>
        <w:jc w:val="both"/>
        <w:ind w:firstLine="648"/>
        <w:spacing w:after="0" w:line="265" w:lineRule="auto"/>
        <w:rPr>
          <w:sz w:val="20"/>
          <w:szCs w:val="20"/>
          <w:color w:val="auto"/>
        </w:rPr>
      </w:pPr>
      <w:r>
        <w:rPr>
          <w:rFonts w:ascii="Arial" w:cs="Arial" w:eastAsia="Arial" w:hAnsi="Arial"/>
          <w:sz w:val="21"/>
          <w:szCs w:val="21"/>
          <w:i w:val="1"/>
          <w:iCs w:val="1"/>
          <w:color w:val="auto"/>
        </w:rPr>
        <w:t xml:space="preserve">“Related Assets” </w:t>
      </w:r>
      <w:r>
        <w:rPr>
          <w:rFonts w:ascii="Arial" w:cs="Arial" w:eastAsia="Arial" w:hAnsi="Arial"/>
          <w:sz w:val="21"/>
          <w:szCs w:val="21"/>
          <w:color w:val="auto"/>
        </w:rPr>
        <w:t>means, with respect to the Receivables (i) all related rights and remedies under or in connection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Contract with respect thereto including bills of lading, bills of exchange, promissory notes and accessions, (ii) all guaranties, suretyships, letters of credit, security, liens and other arrangements supporting payment thereof, (iii) all Sales Records (including electronic records) with respect thereto, (iv) all related insurance, and (v) all proceeds of the foregoing.</w:t>
      </w:r>
    </w:p>
    <w:p>
      <w:pPr>
        <w:spacing w:after="0" w:line="17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i w:val="1"/>
          <w:iCs w:val="1"/>
          <w:color w:val="auto"/>
        </w:rPr>
        <w:t xml:space="preserve">“Related Parties” </w:t>
      </w:r>
      <w:r>
        <w:rPr>
          <w:rFonts w:ascii="Arial" w:cs="Arial" w:eastAsia="Arial" w:hAnsi="Arial"/>
          <w:sz w:val="19"/>
          <w:szCs w:val="19"/>
          <w:color w:val="auto"/>
        </w:rPr>
        <w:t>means, with respect to any Person, such Person’s Affiliates and the partners, directors, officers,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agents, trustees, administrators, managers, advisors and representatives of such Person and of such Person’s Affiliates.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“Replacement Receivables” </w:t>
      </w:r>
      <w:r>
        <w:rPr>
          <w:rFonts w:ascii="Arial" w:cs="Arial" w:eastAsia="Arial" w:hAnsi="Arial"/>
          <w:sz w:val="22"/>
          <w:szCs w:val="22"/>
          <w:color w:val="auto"/>
        </w:rPr>
        <w:t>has the meaning ascribed to it in Section 4.3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“Repurchase Event” </w:t>
      </w:r>
      <w:r>
        <w:rPr>
          <w:rFonts w:ascii="Arial" w:cs="Arial" w:eastAsia="Arial" w:hAnsi="Arial"/>
          <w:sz w:val="22"/>
          <w:szCs w:val="22"/>
          <w:color w:val="auto"/>
        </w:rPr>
        <w:t>means, with respect to a Purchased Receivable:</w:t>
      </w:r>
    </w:p>
    <w:p>
      <w:pPr>
        <w:spacing w:after="0" w:line="220" w:lineRule="exact"/>
        <w:rPr>
          <w:sz w:val="20"/>
          <w:szCs w:val="20"/>
          <w:color w:val="auto"/>
        </w:rPr>
      </w:pPr>
    </w:p>
    <w:p>
      <w:pPr>
        <w:jc w:val="both"/>
        <w:ind w:left="660" w:right="20" w:firstLine="645"/>
        <w:spacing w:after="0" w:line="253" w:lineRule="auto"/>
        <w:tabs>
          <w:tab w:leader="none" w:pos="1617"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representation or warranty made by the Company in any Transaction Document with respect to such Receivable is inaccurate, incorrect or untrue, in any material respect, on any date as of which it is made or deemed to be made; or</w:t>
      </w:r>
    </w:p>
    <w:p>
      <w:pPr>
        <w:spacing w:after="0" w:line="185" w:lineRule="exact"/>
        <w:rPr>
          <w:rFonts w:ascii="Arial" w:cs="Arial" w:eastAsia="Arial" w:hAnsi="Arial"/>
          <w:sz w:val="22"/>
          <w:szCs w:val="22"/>
          <w:color w:val="auto"/>
        </w:rPr>
      </w:pPr>
    </w:p>
    <w:p>
      <w:pPr>
        <w:ind w:left="660" w:firstLine="645"/>
        <w:spacing w:after="0" w:line="263" w:lineRule="auto"/>
        <w:tabs>
          <w:tab w:leader="none" w:pos="1631"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fails to comply with any of its covenants with respect to such Receivable set forth in Section 11 of this Agreement or in any other Transaction Document; or</w:t>
      </w:r>
    </w:p>
    <w:p>
      <w:pPr>
        <w:spacing w:after="0" w:line="174" w:lineRule="exact"/>
        <w:rPr>
          <w:rFonts w:ascii="Arial" w:cs="Arial" w:eastAsia="Arial" w:hAnsi="Arial"/>
          <w:sz w:val="22"/>
          <w:szCs w:val="22"/>
          <w:color w:val="auto"/>
        </w:rPr>
      </w:pPr>
    </w:p>
    <w:p>
      <w:pPr>
        <w:jc w:val="both"/>
        <w:ind w:left="660" w:firstLine="645"/>
        <w:spacing w:after="0" w:line="286" w:lineRule="auto"/>
        <w:tabs>
          <w:tab w:leader="none" w:pos="169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Purchased Receivable becomes subject to a Dilution, or on any day the Original Amount of such Purchased Receivable (x) is reduced or adjusted as a result of any defective, rejected, returned, repossessed or foreclosed merchandise, any defective or rejected services, any discount or other adjustment by the Company (including on account of credits, rebates, chargebacks, inventory transfers, allowances for early payments and other allowances) or any obligation of the Company owed to the applicable Debtor to make such a discount or adjustment, (y) is reduced or cancelled as a result of a setoff, deduction or counterclaim in respect of any claim by the Debtor thereof against the Company (whether such claim arises out of the same or a related or an unrelated transaction) or (z) otherwise is less than the amount reported by the Company in (or for purposes of) any settlement statement delivered pursuant to this Agreement (for any reason other than receipt of Collections on such Purchased Receivable or such Purchased Receivable being written off as uncollectible based on Debtor’s Financial Inability to Pay); provided, however, that to the extent that the occurrence of any matter described in the foregoing paragraphs (x) or (y) would otherwise result in a Repurchase Event, no Repurchase Event with respect to any such Purchased Receivable shall occur if the amount of any such adjustment caused by the occurrence of such event has already been included in the calculation of the Purchase Price paid with respect to such Purchased Receivable.</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“Required Banks” </w:t>
      </w:r>
      <w:r>
        <w:rPr>
          <w:rFonts w:ascii="Arial" w:cs="Arial" w:eastAsia="Arial" w:hAnsi="Arial"/>
          <w:sz w:val="22"/>
          <w:szCs w:val="22"/>
          <w:color w:val="auto"/>
        </w:rPr>
        <w:t>means, at any time, the Banks representing more than 50% of the then aggregate Purchase Prices of 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Purchased Receivables paid by all of the Banks;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the Purchased Receivables of any Defaulting Bank shall be disregarded in determining Required Banks at any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7" w:right="239" w:bottom="1440" w:gutter="0" w:footer="0" w:header="0"/>
        </w:sectPr>
      </w:pPr>
    </w:p>
    <w:bookmarkStart w:id="128" w:name="page129"/>
    <w:bookmarkEnd w:id="128"/>
    <w:p>
      <w:pPr>
        <w:ind w:right="1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Responsible Officer</w:t>
      </w:r>
      <w:r>
        <w:rPr>
          <w:rFonts w:ascii="Arial" w:cs="Arial" w:eastAsia="Arial" w:hAnsi="Arial"/>
          <w:sz w:val="19"/>
          <w:szCs w:val="19"/>
          <w:color w:val="auto"/>
        </w:rPr>
        <w:t>” means the Chairman, President or an Executive, Senior or other Vice President of the Company and, with respect to financial matters, the Chief Financial Officer, the Treasurer or the Controller of the Company.</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“Sales Records” </w:t>
      </w:r>
      <w:r>
        <w:rPr>
          <w:rFonts w:ascii="Arial" w:cs="Arial" w:eastAsia="Arial" w:hAnsi="Arial"/>
          <w:sz w:val="22"/>
          <w:szCs w:val="22"/>
          <w:color w:val="auto"/>
        </w:rPr>
        <w:t>means the accounts, all sales ledgers, purchase and sales day books, sales invoices, supply contracts and</w:t>
      </w:r>
      <w:r>
        <w:rPr>
          <w:rFonts w:ascii="Arial" w:cs="Arial" w:eastAsia="Arial" w:hAnsi="Arial"/>
          <w:sz w:val="22"/>
          <w:szCs w:val="22"/>
          <w:i w:val="1"/>
          <w:iCs w:val="1"/>
          <w:color w:val="auto"/>
        </w:rPr>
        <w:t xml:space="preserve"> </w:t>
      </w:r>
      <w:r>
        <w:rPr>
          <w:rFonts w:ascii="Arial" w:cs="Arial" w:eastAsia="Arial" w:hAnsi="Arial"/>
          <w:sz w:val="22"/>
          <w:szCs w:val="22"/>
          <w:color w:val="auto"/>
        </w:rPr>
        <w:t>other related books and records of the Company relating to a Debtor and on an individual Purchased Receivable basis for the purpose of identifying amounts paid or to be paid in respect of such Purchased Receivable.</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 xml:space="preserve">“Settlement Date” </w:t>
      </w:r>
      <w:r>
        <w:rPr>
          <w:rFonts w:ascii="Arial" w:cs="Arial" w:eastAsia="Arial" w:hAnsi="Arial"/>
          <w:sz w:val="22"/>
          <w:szCs w:val="22"/>
          <w:color w:val="auto"/>
        </w:rPr>
        <w:t>means, Wednesday of each calendar week (or, if such Wednesday is not a Business Day, the immediately</w:t>
      </w:r>
      <w:r>
        <w:rPr>
          <w:rFonts w:ascii="Arial" w:cs="Arial" w:eastAsia="Arial" w:hAnsi="Arial"/>
          <w:sz w:val="22"/>
          <w:szCs w:val="22"/>
          <w:i w:val="1"/>
          <w:iCs w:val="1"/>
          <w:color w:val="auto"/>
        </w:rPr>
        <w:t xml:space="preserve"> </w:t>
      </w:r>
      <w:r>
        <w:rPr>
          <w:rFonts w:ascii="Arial" w:cs="Arial" w:eastAsia="Arial" w:hAnsi="Arial"/>
          <w:sz w:val="22"/>
          <w:szCs w:val="22"/>
          <w:color w:val="auto"/>
        </w:rPr>
        <w:t>succeeding Business Day) or such other date as the Administrative Agent, each Bank and the Company may from time to time agree to, provided that (i) with respect to the initial purchase hereunder, the date of such purchase shall be the initial Settlement Date and (ii) on or after the Termination Date, the Administrative Agent and the Banks may select Settlement Dates by notice to the Company.</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i w:val="1"/>
          <w:iCs w:val="1"/>
          <w:color w:val="auto"/>
        </w:rPr>
        <w:t xml:space="preserve">“Settlement Period” </w:t>
      </w:r>
      <w:r>
        <w:rPr>
          <w:rFonts w:ascii="Arial" w:cs="Arial" w:eastAsia="Arial" w:hAnsi="Arial"/>
          <w:sz w:val="19"/>
          <w:szCs w:val="19"/>
          <w:color w:val="auto"/>
        </w:rPr>
        <w:t>means (a) with respect to the initial purchase, a period from and including the date of such 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Section 4.2 to and including the first Tuesday following the date of the initial purchase or as otherwise agreed between the Administrative Agent, each Bank and the Company and (b) thereafter, each period from and including the Wednesday following the immediately preceding Settlement Period to and including the Tuesday of the immediately following calendar week or as otherwise agreed between the Administrative Agent, each Bank and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at any time the Administrative Agent, each Bank and the Company may mutually agree to select any different period as the Settlement Period.</w:t>
      </w:r>
    </w:p>
    <w:p>
      <w:pPr>
        <w:spacing w:after="0" w:line="15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i w:val="1"/>
          <w:iCs w:val="1"/>
          <w:color w:val="auto"/>
        </w:rPr>
        <w:t xml:space="preserve">“Stated Termination Date” </w:t>
      </w:r>
      <w:r>
        <w:rPr>
          <w:rFonts w:ascii="Arial" w:cs="Arial" w:eastAsia="Arial" w:hAnsi="Arial"/>
          <w:sz w:val="19"/>
          <w:szCs w:val="19"/>
          <w:color w:val="auto"/>
        </w:rPr>
        <w:t>means October 30, 2013, or such later date as may be extended annually by mutual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of each Bank and the Company no later than ninety (90) days in advance of the then scheduled Stated Termination Date.</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“Tax” </w:t>
      </w:r>
      <w:r>
        <w:rPr>
          <w:rFonts w:ascii="Arial" w:cs="Arial" w:eastAsia="Arial" w:hAnsi="Arial"/>
          <w:sz w:val="22"/>
          <w:szCs w:val="22"/>
          <w:color w:val="auto"/>
        </w:rPr>
        <w:t>means with respect to any Person any present or future taxes, charges, fees, levies, imposts, duties or assessments</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income, gross receipts, profits, withholding, excise, property, sales, use, value added, license, occupation and franchise taxes and any interest or penalty payable in connection with any failure to pay any of the same); Taxes and Taxation shall be construed accordingly.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“Termination Date” </w:t>
      </w:r>
      <w:r>
        <w:rPr>
          <w:rFonts w:ascii="Arial" w:cs="Arial" w:eastAsia="Arial" w:hAnsi="Arial"/>
          <w:sz w:val="22"/>
          <w:szCs w:val="22"/>
          <w:color w:val="auto"/>
        </w:rPr>
        <w:t>means the earliest to occur of (i) termination of this Agreement pursuant to Section 18, (ii) the Stated</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Termination Date and (iii) the Business Day designated by either the Company or the Administrative Agent and the Banks with no less than thirty (30) days prior notice to the other party.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“Termination Event” </w:t>
      </w:r>
      <w:r>
        <w:rPr>
          <w:rFonts w:ascii="Arial" w:cs="Arial" w:eastAsia="Arial" w:hAnsi="Arial"/>
          <w:sz w:val="22"/>
          <w:szCs w:val="22"/>
          <w:color w:val="auto"/>
        </w:rPr>
        <w:t>means any of the events set forth in Section 18.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“Termination Interest” </w:t>
      </w:r>
      <w:r>
        <w:rPr>
          <w:rFonts w:ascii="Arial" w:cs="Arial" w:eastAsia="Arial" w:hAnsi="Arial"/>
          <w:sz w:val="19"/>
          <w:szCs w:val="19"/>
          <w:color w:val="auto"/>
        </w:rPr>
        <w:t>means, with respect to the Total Purchased Receivables, a rate equal to the product of (a) the sum of</w:t>
      </w:r>
    </w:p>
    <w:p>
      <w:pPr>
        <w:spacing w:after="0" w:line="56" w:lineRule="exact"/>
        <w:rPr>
          <w:sz w:val="20"/>
          <w:szCs w:val="20"/>
          <w:color w:val="auto"/>
        </w:rPr>
      </w:pPr>
    </w:p>
    <w:p>
      <w:pPr>
        <w:ind w:firstLine="8"/>
        <w:spacing w:after="0" w:line="246" w:lineRule="auto"/>
        <w:tabs>
          <w:tab w:leader="none" w:pos="259" w:val="left"/>
        </w:tabs>
        <w:numPr>
          <w:ilvl w:val="0"/>
          <w:numId w:val="34"/>
        </w:numPr>
        <w:rPr>
          <w:rFonts w:ascii="Arial" w:cs="Arial" w:eastAsia="Arial" w:hAnsi="Arial"/>
          <w:sz w:val="22"/>
          <w:szCs w:val="22"/>
          <w:color w:val="auto"/>
        </w:rPr>
      </w:pPr>
      <w:r>
        <w:rPr>
          <w:rFonts w:ascii="Arial" w:cs="Arial" w:eastAsia="Arial" w:hAnsi="Arial"/>
          <w:sz w:val="22"/>
          <w:szCs w:val="22"/>
          <w:color w:val="auto"/>
        </w:rPr>
        <w:t>LIBOR for five (5) days and (ii) 2.75%, (b) a fraction the numerator of which is the number of days during the period referred to in clause (i) above plus fifteen (15)</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7" w:right="2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color w:val="auto"/>
        </w:rPr>
        <w:t>days, and the denominator of which is 360 and (c) the aggregate Agreed Base Value of the Total Purchased Receivables.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“Total Purchased Receivables” </w:t>
      </w:r>
      <w:r>
        <w:rPr>
          <w:rFonts w:ascii="Arial" w:cs="Arial" w:eastAsia="Arial" w:hAnsi="Arial"/>
          <w:sz w:val="22"/>
          <w:szCs w:val="22"/>
          <w:color w:val="auto"/>
        </w:rPr>
        <w:t>has the meaning ascribed to it in Section 18.5.</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i w:val="1"/>
          <w:iCs w:val="1"/>
          <w:color w:val="auto"/>
        </w:rPr>
        <w:t xml:space="preserve">“Trade Credit Amount” </w:t>
      </w:r>
      <w:r>
        <w:rPr>
          <w:rFonts w:ascii="Arial" w:cs="Arial" w:eastAsia="Arial" w:hAnsi="Arial"/>
          <w:sz w:val="19"/>
          <w:szCs w:val="19"/>
          <w:color w:val="auto"/>
        </w:rPr>
        <w:t>means, with respect to a Purchased Receivable, the Dollar amount from time to time accrued on the</w:t>
      </w:r>
      <w:r>
        <w:rPr>
          <w:rFonts w:ascii="Arial" w:cs="Arial" w:eastAsia="Arial" w:hAnsi="Arial"/>
          <w:sz w:val="19"/>
          <w:szCs w:val="19"/>
          <w:i w:val="1"/>
          <w:iCs w:val="1"/>
          <w:color w:val="auto"/>
        </w:rPr>
        <w:t xml:space="preserve"> </w:t>
      </w:r>
      <w:r>
        <w:rPr>
          <w:rFonts w:ascii="Arial" w:cs="Arial" w:eastAsia="Arial" w:hAnsi="Arial"/>
          <w:sz w:val="19"/>
          <w:szCs w:val="19"/>
          <w:color w:val="auto"/>
        </w:rPr>
        <w:t>books and records of the Company and as reported on each Portfolio Report delivered to the Administrative Agent and as distributed to the Banks as a trade credit, trade allowance, return allowance or similar arrangement between the Company and the related Approved Debtor that might result in a reduction of such Purchased Receivable in the future.</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“Transaction Document” </w:t>
      </w:r>
      <w:r>
        <w:rPr>
          <w:rFonts w:ascii="Arial" w:cs="Arial" w:eastAsia="Arial" w:hAnsi="Arial"/>
          <w:sz w:val="22"/>
          <w:szCs w:val="22"/>
          <w:color w:val="auto"/>
        </w:rPr>
        <w:t>means each of this Agreement, each Purchase Request, each Portfolio Report, the blocked</w:t>
      </w:r>
      <w:r>
        <w:rPr>
          <w:rFonts w:ascii="Arial" w:cs="Arial" w:eastAsia="Arial" w:hAnsi="Arial"/>
          <w:sz w:val="22"/>
          <w:szCs w:val="22"/>
          <w:i w:val="1"/>
          <w:iCs w:val="1"/>
          <w:color w:val="auto"/>
        </w:rPr>
        <w:t xml:space="preserve"> </w:t>
      </w:r>
      <w:r>
        <w:rPr>
          <w:rFonts w:ascii="Arial" w:cs="Arial" w:eastAsia="Arial" w:hAnsi="Arial"/>
          <w:sz w:val="22"/>
          <w:szCs w:val="22"/>
          <w:color w:val="auto"/>
        </w:rPr>
        <w:t>account agreements, and all related documents.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from time to time in effect in the State of New York.</w:t>
      </w: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TERMS OF PURCHASE ON AN UNCOMMITTED BASIS.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i w:val="1"/>
          <w:iCs w:val="1"/>
          <w:color w:val="auto"/>
        </w:rPr>
        <w:t xml:space="preserve">Section 2.1. </w:t>
      </w:r>
      <w:r>
        <w:rPr>
          <w:rFonts w:ascii="Arial" w:cs="Arial" w:eastAsia="Arial" w:hAnsi="Arial"/>
          <w:sz w:val="19"/>
          <w:szCs w:val="19"/>
          <w:color w:val="auto"/>
        </w:rPr>
        <w:t>Prior to the Termination Date, subject to the terms and conditions of this Agreement, the Company may, at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Company’s option, offer to sell and assign from time to time to the Banks, and the Banks hereby agree, severally and not jointly, to consider on an uncommitted basis to purchase a 100% interest in all or any portion of the present and future Receivables of each Approved Debtor as identified in the most recent Portfolio Report delivered to the Administrative Agent under this Agreement or as identified in such other manner acceptable to the Administrative Agent and the Required Banks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Funded Amount at no time shall exceed (a) the Agreement Amount or (b) with respect to an Approved Debtor, the applicable Debtor Sublimit; </w:t>
      </w:r>
      <w:r>
        <w:rPr>
          <w:rFonts w:ascii="Arial" w:cs="Arial" w:eastAsia="Arial" w:hAnsi="Arial"/>
          <w:sz w:val="19"/>
          <w:szCs w:val="19"/>
          <w:i w:val="1"/>
          <w:iCs w:val="1"/>
          <w:color w:val="auto"/>
        </w:rPr>
        <w:t>further provided</w:t>
      </w:r>
      <w:r>
        <w:rPr>
          <w:rFonts w:ascii="Arial" w:cs="Arial" w:eastAsia="Arial" w:hAnsi="Arial"/>
          <w:sz w:val="19"/>
          <w:szCs w:val="19"/>
          <w:color w:val="auto"/>
        </w:rPr>
        <w:t>, that in any event (i) the Receivables that may be purchased and sold hereunder with respect to an Approved Debtor shall be deemed to be the Receivables of such Approved Debtor with the earliest due date (based upon their net invoice value excluding all accruals for any discounts) and (ii) the Original Amount of the Receivables offered to be purchased and sold hereunder with respect to each Approved Debtor shall represent a share of the total Original Amount of all Receivables offered to be purchased and sold hereunder of all Approved Debtors which is approximately equal (as determined by the Administrative Agent in its reasonable discretion and which shall be binding on the parties hereto, absent manifest error) to the share that the Original Amount of all Receivables of such Approved Debtor represents of the total Original Amount of all Receivables of all Approved Debtors.</w:t>
      </w:r>
    </w:p>
    <w:p>
      <w:pPr>
        <w:spacing w:after="0" w:line="200" w:lineRule="exact"/>
        <w:rPr>
          <w:sz w:val="20"/>
          <w:szCs w:val="20"/>
          <w:color w:val="auto"/>
        </w:rPr>
      </w:pPr>
    </w:p>
    <w:p>
      <w:pPr>
        <w:spacing w:after="0" w:line="32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CONDITIONS PRECEDENT.</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3.1.</w:t>
      </w:r>
      <w:r>
        <w:rPr>
          <w:sz w:val="20"/>
          <w:szCs w:val="20"/>
          <w:color w:val="auto"/>
        </w:rPr>
        <w:tab/>
      </w:r>
      <w:r>
        <w:rPr>
          <w:rFonts w:ascii="Arial" w:cs="Arial" w:eastAsia="Arial" w:hAnsi="Arial"/>
          <w:sz w:val="19"/>
          <w:szCs w:val="19"/>
          <w:color w:val="auto"/>
        </w:rPr>
        <w:t>The Company shall not be entitled to request the Banks to make the initial purchase of Purchased Receivables,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unless:</w:t>
      </w:r>
    </w:p>
    <w:p>
      <w:pPr>
        <w:spacing w:after="0" w:line="215" w:lineRule="exact"/>
        <w:rPr>
          <w:sz w:val="20"/>
          <w:szCs w:val="20"/>
          <w:color w:val="auto"/>
        </w:rPr>
      </w:pPr>
    </w:p>
    <w:p>
      <w:pPr>
        <w:ind w:firstLine="1305"/>
        <w:spacing w:after="0" w:line="276" w:lineRule="auto"/>
        <w:tabs>
          <w:tab w:leader="none" w:pos="177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Administrative Agent and each Bank have received all of the documents listed in Schedule 2 in form and substance reasonably satisfactory to each of them;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7" w:right="239" w:bottom="1440" w:gutter="0" w:footer="0" w:header="0"/>
        </w:sectPr>
      </w:pPr>
    </w:p>
    <w:bookmarkStart w:id="130" w:name="page131"/>
    <w:bookmarkEnd w:id="130"/>
    <w:p>
      <w:pPr>
        <w:ind w:right="20" w:firstLine="1305"/>
        <w:spacing w:after="0" w:line="276" w:lineRule="auto"/>
        <w:tabs>
          <w:tab w:leader="none" w:pos="181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representations and warranties made by the Company in Section 10 of this Agreement and in any other Transaction Documents are true and correct as of the Closing Date;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Administrative Agent has received the fees and other amounts payable by the Company pursuant to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15.1;</w:t>
      </w:r>
    </w:p>
    <w:p>
      <w:pPr>
        <w:spacing w:after="0" w:line="215" w:lineRule="exact"/>
        <w:rPr>
          <w:rFonts w:ascii="Arial" w:cs="Arial" w:eastAsia="Arial" w:hAnsi="Arial"/>
          <w:sz w:val="19"/>
          <w:szCs w:val="19"/>
          <w:color w:val="auto"/>
        </w:rPr>
      </w:pPr>
    </w:p>
    <w:p>
      <w:pPr>
        <w:ind w:left="1880" w:hanging="575"/>
        <w:spacing w:after="0"/>
        <w:tabs>
          <w:tab w:leader="none" w:pos="18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shall have established the segregated Blocked Accounts for the collection of the Purchased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Receivables;</w:t>
      </w:r>
    </w:p>
    <w:p>
      <w:pPr>
        <w:spacing w:after="0" w:line="215" w:lineRule="exact"/>
        <w:rPr>
          <w:rFonts w:ascii="Arial" w:cs="Arial" w:eastAsia="Arial" w:hAnsi="Arial"/>
          <w:sz w:val="19"/>
          <w:szCs w:val="19"/>
          <w:color w:val="auto"/>
        </w:rPr>
      </w:pPr>
    </w:p>
    <w:p>
      <w:pPr>
        <w:ind w:left="1720" w:hanging="415"/>
        <w:spacing w:after="0"/>
        <w:tabs>
          <w:tab w:leader="none" w:pos="17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 Termination Event shall have occurred; and</w:t>
      </w:r>
    </w:p>
    <w:p>
      <w:pPr>
        <w:spacing w:after="0" w:line="233" w:lineRule="exact"/>
        <w:rPr>
          <w:rFonts w:ascii="Arial" w:cs="Arial" w:eastAsia="Arial" w:hAnsi="Arial"/>
          <w:sz w:val="22"/>
          <w:szCs w:val="22"/>
          <w:color w:val="auto"/>
        </w:rPr>
      </w:pPr>
    </w:p>
    <w:p>
      <w:pPr>
        <w:jc w:val="both"/>
        <w:ind w:firstLine="1305"/>
        <w:spacing w:after="0" w:line="254" w:lineRule="auto"/>
        <w:tabs>
          <w:tab w:leader="none" w:pos="1733"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Closing Date falls at least four Business Days after the date of the delivery of the initial Purchase Request and initial Portfolio Report to the Administrative Agent and the Banks. Such Portfolio Report shall list the Receivables requested to be purchased in a format and contain such information as shall be reasonably satisfactory to the Administrative Agent and the Banks.</w:t>
      </w:r>
    </w:p>
    <w:p>
      <w:pPr>
        <w:spacing w:after="0" w:line="29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PURCHASE OF RECEIVABLES.</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4.1.</w:t>
      </w:r>
      <w:r>
        <w:rPr>
          <w:sz w:val="20"/>
          <w:szCs w:val="20"/>
          <w:color w:val="auto"/>
        </w:rPr>
        <w:tab/>
      </w:r>
      <w:r>
        <w:rPr>
          <w:rFonts w:ascii="Arial" w:cs="Arial" w:eastAsia="Arial" w:hAnsi="Arial"/>
          <w:sz w:val="19"/>
          <w:szCs w:val="19"/>
          <w:color w:val="auto"/>
        </w:rPr>
        <w:t>No purchase shall be made hereunder except as follows:</w:t>
      </w:r>
    </w:p>
    <w:p>
      <w:pPr>
        <w:spacing w:after="0" w:line="233" w:lineRule="exact"/>
        <w:rPr>
          <w:sz w:val="20"/>
          <w:szCs w:val="20"/>
          <w:color w:val="auto"/>
        </w:rPr>
      </w:pPr>
    </w:p>
    <w:p>
      <w:pPr>
        <w:jc w:val="both"/>
        <w:ind w:firstLine="1305"/>
        <w:spacing w:after="0" w:line="264" w:lineRule="auto"/>
        <w:tabs>
          <w:tab w:leader="none" w:pos="1784" w:val="left"/>
        </w:tabs>
        <w:numPr>
          <w:ilvl w:val="0"/>
          <w:numId w:val="37"/>
        </w:numPr>
        <w:rPr>
          <w:rFonts w:ascii="Arial" w:cs="Arial" w:eastAsia="Arial" w:hAnsi="Arial"/>
          <w:sz w:val="21"/>
          <w:szCs w:val="21"/>
          <w:color w:val="auto"/>
        </w:rPr>
      </w:pPr>
      <w:r>
        <w:rPr>
          <w:rFonts w:ascii="Arial" w:cs="Arial" w:eastAsia="Arial" w:hAnsi="Arial"/>
          <w:sz w:val="21"/>
          <w:szCs w:val="21"/>
          <w:color w:val="auto"/>
        </w:rPr>
        <w:t>Prior to 12:00 noon New York time at least four (4) Business Days prior to a Settlement Date on which the Company wishes the Banks to purchase Receivables, the Administrative Agent shall have received a Purchase Request and a Portfolio Report in connection with such purchase, which the Administrative Agent shall promptly, and if received by 12:00 noon on the day of receipt thereof from the Company, by no later than 2:00 pm on such date, transmit to each Bank, together with an estimate prepared by the Administrative Agent of the Purchase Price for the applicable Receivables to be sold on such Settlement Date, and the Pro Rata Share of each of such Bank.</w:t>
      </w:r>
    </w:p>
    <w:p>
      <w:pPr>
        <w:spacing w:after="0" w:line="175" w:lineRule="exact"/>
        <w:rPr>
          <w:rFonts w:ascii="Arial" w:cs="Arial" w:eastAsia="Arial" w:hAnsi="Arial"/>
          <w:sz w:val="21"/>
          <w:szCs w:val="21"/>
          <w:color w:val="auto"/>
        </w:rPr>
      </w:pPr>
    </w:p>
    <w:p>
      <w:pPr>
        <w:jc w:val="both"/>
        <w:ind w:firstLine="1305"/>
        <w:spacing w:after="0" w:line="258" w:lineRule="auto"/>
        <w:tabs>
          <w:tab w:leader="none" w:pos="1783"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No later than 10:00 a.m. New York time on the third Business Day prior to such Settlement Date, each Bank will notify the Administrative Agent of whether it has agreed, in its sole discretion, to purchase the Receivables set forth in the applicable Purchase Request on the next Settlement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if any Bank (a </w:t>
      </w:r>
      <w:r>
        <w:rPr>
          <w:rFonts w:ascii="Arial" w:cs="Arial" w:eastAsia="Arial" w:hAnsi="Arial"/>
          <w:sz w:val="21"/>
          <w:szCs w:val="21"/>
          <w:i w:val="1"/>
          <w:iCs w:val="1"/>
          <w:color w:val="auto"/>
        </w:rPr>
        <w:t>“Non-Purchasing Bank”</w:t>
      </w:r>
      <w:r>
        <w:rPr>
          <w:rFonts w:ascii="Arial" w:cs="Arial" w:eastAsia="Arial" w:hAnsi="Arial"/>
          <w:sz w:val="21"/>
          <w:szCs w:val="21"/>
          <w:color w:val="auto"/>
        </w:rPr>
        <w:t xml:space="preserve">) notifies the Administrative Agent in accordance with the foregoing that such Bank will not purchase its share of such Receivables (provided that any such notice shall apply to all Receivables set forth in the applicable Purchase Request, and no Bank shall have the right to purchase only certain individual Receivables subject to the same Purchase Request), the Administrative Agent shall promptly notify each other Bank of such Non-Purchasing Bank’s decision, and each other Bank (i) shall have the right, but not the obligation, in its sole discretion, to purchase a pro rata share of such Non-Purchasing Bank’s share of such Receivables, and (ii) shall notify the Administrative Agent of whether it will make such purchase no later than 11:00 a.m. New York time on the third Business Day prior to such Settlement Date; </w:t>
      </w:r>
      <w:r>
        <w:rPr>
          <w:rFonts w:ascii="Arial" w:cs="Arial" w:eastAsia="Arial" w:hAnsi="Arial"/>
          <w:sz w:val="21"/>
          <w:szCs w:val="21"/>
          <w:i w:val="1"/>
          <w:iCs w:val="1"/>
          <w:color w:val="auto"/>
        </w:rPr>
        <w:t>provided further</w:t>
      </w:r>
      <w:r>
        <w:rPr>
          <w:rFonts w:ascii="Arial" w:cs="Arial" w:eastAsia="Arial" w:hAnsi="Arial"/>
          <w:sz w:val="21"/>
          <w:szCs w:val="21"/>
          <w:color w:val="auto"/>
        </w:rPr>
        <w:t>, (x) if any Bank fails to promptly notify the Administrative Agent of its decision to purchase any Receivable after the receipt of the applicable Purchase Request, then such Bank shall be deemed to be a Non-Purchasing Bank with respect to such Receivable, and (y) if any Bank fails to promptly notify the Administrative Agent of its decision to purchase any Receivable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7" w:right="239" w:bottom="1440" w:gutter="0" w:footer="0" w:header="0"/>
        </w:sectPr>
      </w:pPr>
    </w:p>
    <w:bookmarkStart w:id="131" w:name="page132"/>
    <w:bookmarkEnd w:id="131"/>
    <w:p>
      <w:pPr>
        <w:jc w:val="both"/>
        <w:spacing w:after="0" w:line="253" w:lineRule="auto"/>
        <w:rPr>
          <w:sz w:val="20"/>
          <w:szCs w:val="20"/>
          <w:color w:val="auto"/>
        </w:rPr>
      </w:pPr>
      <w:r>
        <w:rPr>
          <w:rFonts w:ascii="Arial" w:cs="Arial" w:eastAsia="Arial" w:hAnsi="Arial"/>
          <w:sz w:val="22"/>
          <w:szCs w:val="22"/>
          <w:color w:val="auto"/>
        </w:rPr>
        <w:t xml:space="preserve">after receipt of notice of a Non-Purchasing Bank’s decision, such Bank shall be deemed to have decided to not purchase its pro rata share of such Receivable; </w:t>
      </w:r>
      <w:r>
        <w:rPr>
          <w:rFonts w:ascii="Arial" w:cs="Arial" w:eastAsia="Arial" w:hAnsi="Arial"/>
          <w:sz w:val="22"/>
          <w:szCs w:val="22"/>
          <w:i w:val="1"/>
          <w:iCs w:val="1"/>
          <w:color w:val="auto"/>
        </w:rPr>
        <w:t>provided further</w:t>
      </w:r>
      <w:r>
        <w:rPr>
          <w:rFonts w:ascii="Arial" w:cs="Arial" w:eastAsia="Arial" w:hAnsi="Arial"/>
          <w:sz w:val="22"/>
          <w:szCs w:val="22"/>
          <w:color w:val="auto"/>
        </w:rPr>
        <w:t>, for the avoidance of doubt, this Section 4.1(b) shall not apply to any repurchase of a Receivable by a Bank required in accordance with Section 4.5(e).</w:t>
      </w:r>
    </w:p>
    <w:p>
      <w:pPr>
        <w:spacing w:after="0" w:line="186" w:lineRule="exact"/>
        <w:rPr>
          <w:sz w:val="20"/>
          <w:szCs w:val="20"/>
          <w:color w:val="auto"/>
        </w:rPr>
      </w:pPr>
    </w:p>
    <w:p>
      <w:pPr>
        <w:jc w:val="both"/>
        <w:ind w:firstLine="1305"/>
        <w:spacing w:after="0" w:line="250" w:lineRule="auto"/>
        <w:tabs>
          <w:tab w:leader="none" w:pos="1946"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 later than 12:00 noon New York time three (3) Business Days prior to the Settlement Date, the Administrative Agent will notify the Company of the Banks that will purchase the applicable Receivables on such Settlement Date, and if, in accordance with Section 4.1(b), the aggregate amount of such Receivables is less than the Receivables set forth in the applicable Purchase Request, then the notice by the Administrative Agent to the Company shall set forth the applicable Receivables subject to such Purchase Request that such Banks are willing to purchase, which Receivables shall be determined by the Administrative Agent in its reasonable discretion.</w:t>
      </w:r>
    </w:p>
    <w:p>
      <w:pPr>
        <w:spacing w:after="0" w:line="188" w:lineRule="exact"/>
        <w:rPr>
          <w:rFonts w:ascii="Arial" w:cs="Arial" w:eastAsia="Arial" w:hAnsi="Arial"/>
          <w:sz w:val="22"/>
          <w:szCs w:val="22"/>
          <w:color w:val="auto"/>
        </w:rPr>
      </w:pPr>
    </w:p>
    <w:p>
      <w:pPr>
        <w:jc w:val="both"/>
        <w:ind w:firstLine="1305"/>
        <w:spacing w:after="0" w:line="254" w:lineRule="auto"/>
        <w:tabs>
          <w:tab w:leader="none" w:pos="1972"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 later than 12:00 noon New York time two (2) Business Days prior to the Settlement Date, the Administrative Agent shall calculate the Purchase Price for the applicable Receivables to be sold on such Settlement Date and promptly send such calculation to the Company and each of the Banks, together with the Pro Rata Share of each of such Bank (giving effect to Section 4.1(b) and Section 4.5(e), as applicable).</w:t>
      </w:r>
    </w:p>
    <w:p>
      <w:pPr>
        <w:spacing w:after="0" w:line="185" w:lineRule="exact"/>
        <w:rPr>
          <w:rFonts w:ascii="Arial" w:cs="Arial" w:eastAsia="Arial" w:hAnsi="Arial"/>
          <w:sz w:val="22"/>
          <w:szCs w:val="22"/>
          <w:color w:val="auto"/>
        </w:rPr>
      </w:pPr>
    </w:p>
    <w:p>
      <w:pPr>
        <w:jc w:val="both"/>
        <w:ind w:firstLine="1305"/>
        <w:spacing w:after="0" w:line="251" w:lineRule="auto"/>
        <w:tabs>
          <w:tab w:leader="none" w:pos="1743"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aggregate of the Funded Amount of the Receivables referred to in the Portfolio Report (after giving effect to such purchase) as of the applicable Settlement Date will not exceed (i) the Agreement Amount or (ii) with respect to an Approved Debtor, the Debtor Sublimit. No Bank’s Pro Rata Share of the aggregate of the Funded Amount of the Receivables referred to in the Portfolio Report (after giving effect to such purchase) as of the applicable Settlement Date will exceed such Bank’s Stated Amount.</w:t>
      </w:r>
    </w:p>
    <w:p>
      <w:pPr>
        <w:spacing w:after="0" w:line="189" w:lineRule="exact"/>
        <w:rPr>
          <w:rFonts w:ascii="Arial" w:cs="Arial" w:eastAsia="Arial" w:hAnsi="Arial"/>
          <w:sz w:val="22"/>
          <w:szCs w:val="22"/>
          <w:color w:val="auto"/>
        </w:rPr>
      </w:pPr>
    </w:p>
    <w:p>
      <w:pPr>
        <w:ind w:firstLine="1305"/>
        <w:spacing w:after="0" w:line="358" w:lineRule="auto"/>
        <w:tabs>
          <w:tab w:leader="none" w:pos="17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Invoices referred to in the Portfolio Report each shall have a date certain for payment which is no more than 90 days from the earlier of (i) the date of sale or (ii) dispatch of the goods by the Company, and are denominated in Dollars.</w:t>
      </w:r>
    </w:p>
    <w:p>
      <w:pPr>
        <w:spacing w:after="0" w:line="90" w:lineRule="exact"/>
        <w:rPr>
          <w:rFonts w:ascii="Arial" w:cs="Arial" w:eastAsia="Arial" w:hAnsi="Arial"/>
          <w:sz w:val="19"/>
          <w:szCs w:val="19"/>
          <w:color w:val="auto"/>
        </w:rPr>
      </w:pPr>
    </w:p>
    <w:p>
      <w:pPr>
        <w:jc w:val="both"/>
        <w:ind w:firstLine="1305"/>
        <w:spacing w:after="0" w:line="278" w:lineRule="auto"/>
        <w:tabs>
          <w:tab w:leader="none" w:pos="181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As of such Settlement Date, the representations and warranties made by the Company in Section 10 of this Agreement are true and correct in all material respects (except for those representations and warranties that are conditioned by materiality, which shall be true and correct in all respects) and no Termination Event shall have occurred.</w:t>
      </w:r>
    </w:p>
    <w:p>
      <w:pPr>
        <w:spacing w:after="0" w:line="16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4.2.</w:t>
      </w:r>
      <w:r>
        <w:rPr>
          <w:sz w:val="20"/>
          <w:szCs w:val="20"/>
          <w:color w:val="auto"/>
        </w:rPr>
        <w:tab/>
      </w:r>
      <w:r>
        <w:rPr>
          <w:rFonts w:ascii="Arial" w:cs="Arial" w:eastAsia="Arial" w:hAnsi="Arial"/>
          <w:sz w:val="19"/>
          <w:szCs w:val="19"/>
          <w:color w:val="auto"/>
        </w:rPr>
        <w:t>(a) With respect to each purchase of Receivables on a Settlement Date:</w:t>
      </w:r>
    </w:p>
    <w:p>
      <w:pPr>
        <w:spacing w:after="0" w:line="233" w:lineRule="exact"/>
        <w:rPr>
          <w:sz w:val="20"/>
          <w:szCs w:val="20"/>
          <w:color w:val="auto"/>
        </w:rPr>
      </w:pPr>
    </w:p>
    <w:p>
      <w:pPr>
        <w:jc w:val="both"/>
        <w:ind w:left="660" w:firstLine="1293"/>
        <w:spacing w:after="0" w:line="254" w:lineRule="auto"/>
        <w:tabs>
          <w:tab w:leader="none" w:pos="2435"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Bank that is purchasing Receivables on such Settlement Date, whether in its sole discretion in accordance with Section 4.1 or as required by Section 4.5(e), shall make its Pro Rata Share of the Purchase Price thereof available to the Administrative Agent not later than 2:00 p.m. (New York City time) on such Settlement Date, by wire transfer of same day funds in Dollars, to the Payment Account; and</w:t>
      </w:r>
    </w:p>
    <w:p>
      <w:pPr>
        <w:spacing w:after="0" w:line="185" w:lineRule="exact"/>
        <w:rPr>
          <w:rFonts w:ascii="Arial" w:cs="Arial" w:eastAsia="Arial" w:hAnsi="Arial"/>
          <w:sz w:val="22"/>
          <w:szCs w:val="22"/>
          <w:color w:val="auto"/>
        </w:rPr>
      </w:pPr>
    </w:p>
    <w:p>
      <w:pPr>
        <w:ind w:left="660" w:firstLine="1293"/>
        <w:spacing w:after="0" w:line="276" w:lineRule="auto"/>
        <w:tabs>
          <w:tab w:leader="none" w:pos="24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Upon receipt of the amounts set forth in Section 4.2(a)(i), the Administrative Agent, on behalf of the purchasing Banks, shall pay the Purchase Price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7" w:right="239" w:bottom="1440" w:gutter="0" w:footer="0" w:header="0"/>
        </w:sectPr>
      </w:pPr>
    </w:p>
    <w:bookmarkStart w:id="132" w:name="page133"/>
    <w:bookmarkEnd w:id="132"/>
    <w:p>
      <w:pPr>
        <w:ind w:left="660" w:right="20"/>
        <w:spacing w:after="0" w:line="287" w:lineRule="auto"/>
        <w:rPr>
          <w:sz w:val="20"/>
          <w:szCs w:val="20"/>
          <w:color w:val="auto"/>
        </w:rPr>
      </w:pPr>
      <w:r>
        <w:rPr>
          <w:rFonts w:ascii="Arial" w:cs="Arial" w:eastAsia="Arial" w:hAnsi="Arial"/>
          <w:sz w:val="21"/>
          <w:szCs w:val="21"/>
          <w:color w:val="auto"/>
        </w:rPr>
        <w:t>the Company for the Purchased Receivables sold to such Banks on such Settlement Date, less any other amounts owing to the Administrative Agent and the Banks hereunder, by 4:00 p.m. New York time on such Settlement Date.</w:t>
      </w:r>
    </w:p>
    <w:p>
      <w:pPr>
        <w:spacing w:after="0" w:line="152" w:lineRule="exact"/>
        <w:rPr>
          <w:sz w:val="20"/>
          <w:szCs w:val="20"/>
          <w:color w:val="auto"/>
        </w:rPr>
      </w:pPr>
    </w:p>
    <w:p>
      <w:pPr>
        <w:jc w:val="both"/>
        <w:ind w:firstLine="1305"/>
        <w:spacing w:after="0" w:line="262" w:lineRule="auto"/>
        <w:tabs>
          <w:tab w:leader="none" w:pos="1769" w:val="left"/>
        </w:tabs>
        <w:numPr>
          <w:ilvl w:val="0"/>
          <w:numId w:val="40"/>
        </w:numPr>
        <w:rPr>
          <w:rFonts w:ascii="Arial" w:cs="Arial" w:eastAsia="Arial" w:hAnsi="Arial"/>
          <w:sz w:val="21"/>
          <w:szCs w:val="21"/>
          <w:color w:val="auto"/>
        </w:rPr>
      </w:pPr>
      <w:r>
        <w:rPr>
          <w:rFonts w:ascii="Arial" w:cs="Arial" w:eastAsia="Arial" w:hAnsi="Arial"/>
          <w:sz w:val="21"/>
          <w:szCs w:val="21"/>
          <w:color w:val="auto"/>
        </w:rPr>
        <w:t>If no Bank decides, in its sole discretion, to purchase any Receivables offered by the Company in accordance with Section 3 on the terms and conditions then in effect (but subject to the requirements of Section 4.5(e)), the Banks may in their discretion propose in writing to the Company modifications to the Applicable Margin, Approved Debtors, and/or Debtor Sublimits as conditions to their consent to purchase such Receivables within one Business Day of receipt of the applicable Purchase Request; if the Company agrees to such modifications, it shall so indicate in writing within one Business Day of receipt of such proposal, whereupon the Banks may decide in their discretion to purchase the Receivables listed in the relevant Purchase Request on such modified terms in accordance with clause (a) above.</w:t>
      </w:r>
    </w:p>
    <w:p>
      <w:pPr>
        <w:spacing w:after="0" w:line="180" w:lineRule="exact"/>
        <w:rPr>
          <w:rFonts w:ascii="Arial" w:cs="Arial" w:eastAsia="Arial" w:hAnsi="Arial"/>
          <w:sz w:val="21"/>
          <w:szCs w:val="21"/>
          <w:color w:val="auto"/>
        </w:rPr>
      </w:pPr>
    </w:p>
    <w:p>
      <w:pPr>
        <w:jc w:val="both"/>
        <w:ind w:firstLine="1305"/>
        <w:spacing w:after="0" w:line="290" w:lineRule="auto"/>
        <w:tabs>
          <w:tab w:leader="none" w:pos="174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shall be entitled, to the extent collected by the Company, to receive and retain an amount equal to Collections on the Purchased Receivables in excess of all amounts owed to the Banks as set forth in Section 4.5(d) and (e), such amount to first be applied to the delivery to the Company of any Trade Credit Amounts due to the Company, as applicable, with the remainder of such amounts to be paid to the Company as a servicing fee. Without limiting the liability and obligations of the Company hereunder, each Bank shall be entitled to offset against and deduct from such excess all amounts owing by the Company to such Bank under this Agreement and the Transaction Documents not previously distributed to such Bank. So long as the Company is acting as servicer for the Purchased Receivables, the Company will be entitled to retain such excess (less such offsets and deductions) as the Purchased Receivables are collected. Should the Administrative Agent terminate the Company’s appointment as servicer, each Bank will pay to the Company its Pro Rata Share of such excess over and above the amounts which such Bank is entitled to offset, upon collection of all amounts owing in respect of the Purchased Receivables purchased thereby.</w:t>
      </w:r>
    </w:p>
    <w:p>
      <w:pPr>
        <w:spacing w:after="0" w:line="155" w:lineRule="exact"/>
        <w:rPr>
          <w:rFonts w:ascii="Arial" w:cs="Arial" w:eastAsia="Arial" w:hAnsi="Arial"/>
          <w:sz w:val="19"/>
          <w:szCs w:val="19"/>
          <w:color w:val="auto"/>
        </w:rPr>
      </w:pPr>
    </w:p>
    <w:p>
      <w:pPr>
        <w:jc w:val="both"/>
        <w:ind w:firstLine="1305"/>
        <w:spacing w:after="0" w:line="297" w:lineRule="auto"/>
        <w:tabs>
          <w:tab w:leader="none" w:pos="1796"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parties agree that the calculation of Agreed Base Value of Purchased Receivables includes Trade Credit Amounts which the Approved Debtors have historically been entitled to receive if certain conditions in the future are met. To the extent that such Approved Debtors are not entitled to receive any such Trade Credit Amounts, or in the event that any such Approved Debtors are entitled to receive such Trade Credit Amounts but elect not to apply the corresponding Trade Credit Amount to the reduction of any payment made on a Purchased Receivable, and the Collections with respect to such Purchased Receivable include any such corresponding Trade Credit Amount, the amount thereof shall be attributable to and paid to the Company.</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i w:val="1"/>
          <w:iCs w:val="1"/>
          <w:color w:val="auto"/>
        </w:rPr>
        <w:t xml:space="preserve">Section 4.3. </w:t>
      </w:r>
      <w:r>
        <w:rPr>
          <w:rFonts w:ascii="Arial" w:cs="Arial" w:eastAsia="Arial" w:hAnsi="Arial"/>
          <w:sz w:val="21"/>
          <w:szCs w:val="21"/>
          <w:color w:val="auto"/>
        </w:rPr>
        <w:t>Until the Termination Date, with the prior consent of the Banks in accordance with Section 4.1(a) if such</w:t>
      </w:r>
      <w:r>
        <w:rPr>
          <w:rFonts w:ascii="Arial" w:cs="Arial" w:eastAsia="Arial" w:hAnsi="Arial"/>
          <w:sz w:val="21"/>
          <w:szCs w:val="21"/>
          <w:i w:val="1"/>
          <w:iCs w:val="1"/>
          <w:color w:val="auto"/>
        </w:rPr>
        <w:t xml:space="preserve"> </w:t>
      </w:r>
      <w:r>
        <w:rPr>
          <w:rFonts w:ascii="Arial" w:cs="Arial" w:eastAsia="Arial" w:hAnsi="Arial"/>
          <w:sz w:val="21"/>
          <w:szCs w:val="21"/>
          <w:color w:val="auto"/>
        </w:rPr>
        <w:t>purchase is to occur on a Settlement Date, and without consent if such purchase is to occur between two Settlement Dates, Collections may be used by the Company, as servicer, and as agent for and on account of the Banks, to purchase from the Company Receivables of Approved Debtors that meet all of the requirements contained herein applicable to the initial Purchased Receivables (</w:t>
      </w:r>
      <w:r>
        <w:rPr>
          <w:rFonts w:ascii="Arial" w:cs="Arial" w:eastAsia="Arial" w:hAnsi="Arial"/>
          <w:sz w:val="21"/>
          <w:szCs w:val="21"/>
          <w:i w:val="1"/>
          <w:iCs w:val="1"/>
          <w:color w:val="auto"/>
        </w:rPr>
        <w:t>“Replacement Receivables”</w:t>
      </w:r>
      <w:r>
        <w:rPr>
          <w:rFonts w:ascii="Arial" w:cs="Arial" w:eastAsia="Arial" w:hAnsi="Arial"/>
          <w:sz w:val="21"/>
          <w:szCs w:val="21"/>
          <w:color w:val="auto"/>
        </w:rPr>
        <w:t>), which Replacement Receivables shall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7" w:right="239" w:bottom="1440" w:gutter="0" w:footer="0" w:header="0"/>
        </w:sectPr>
      </w:pPr>
    </w:p>
    <w:bookmarkStart w:id="133" w:name="page134"/>
    <w:bookmarkEnd w:id="133"/>
    <w:p>
      <w:pPr>
        <w:jc w:val="both"/>
        <w:spacing w:after="0" w:line="247" w:lineRule="auto"/>
        <w:rPr>
          <w:sz w:val="20"/>
          <w:szCs w:val="20"/>
          <w:color w:val="auto"/>
        </w:rPr>
      </w:pPr>
      <w:r>
        <w:rPr>
          <w:rFonts w:ascii="Arial" w:cs="Arial" w:eastAsia="Arial" w:hAnsi="Arial"/>
          <w:sz w:val="22"/>
          <w:szCs w:val="22"/>
          <w:color w:val="auto"/>
        </w:rPr>
        <w:t>held for the exclusive benefit and account of the Banks to the same extent as the original Purchased Receivables and shall constitute Purchased Receivables for all purposes of the Agreement. For purposes of maintaining the perfection of the Banks’ interest in any Purchased Receivables and the proceeds thereof, each Bank hereby appoints the Company as its agent in respect of any Collections prior to such Collections being used to purchase Replacement Receivables, provided that the Company’s sole duty as such agent shall be to hold such Collections in trust for the benefit of such Bank or to purchase Replacement Receivables as aforesaid.</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Section 4.4. </w:t>
      </w:r>
      <w:r>
        <w:rPr>
          <w:rFonts w:ascii="Arial" w:cs="Arial" w:eastAsia="Arial" w:hAnsi="Arial"/>
          <w:sz w:val="19"/>
          <w:szCs w:val="19"/>
          <w:color w:val="auto"/>
        </w:rPr>
        <w:t>(a) The Company will instruct all Debtors under the Purchased Receivables to make all payments on account</w:t>
      </w:r>
      <w:r>
        <w:rPr>
          <w:rFonts w:ascii="Arial" w:cs="Arial" w:eastAsia="Arial" w:hAnsi="Arial"/>
          <w:sz w:val="19"/>
          <w:szCs w:val="19"/>
          <w:i w:val="1"/>
          <w:iCs w:val="1"/>
          <w:color w:val="auto"/>
        </w:rPr>
        <w:t xml:space="preserve"> </w:t>
      </w:r>
      <w:r>
        <w:rPr>
          <w:rFonts w:ascii="Arial" w:cs="Arial" w:eastAsia="Arial" w:hAnsi="Arial"/>
          <w:sz w:val="19"/>
          <w:szCs w:val="19"/>
          <w:color w:val="auto"/>
        </w:rPr>
        <w:t>thereof to the relevant Blocked Accounts. Each Invoice shall also require that payments be made to the relevant Blocked Accounts. All Collections will be received and held in the Blocked Accounts in the name of the Administrative Agent, for the benefit of the Banks, as the owner thereof and, except as otherwise provided in this Agreement, will be applied in the manner set forth in (b) below. The Administrative Agent may, or at the request of the Required Banks, shall, suspend or terminate all of the Company’s right, power and interest in a Blocked Account at any time upon the occurrence and during the continuance of a Termination Event.</w:t>
      </w:r>
    </w:p>
    <w:p>
      <w:pPr>
        <w:spacing w:after="0" w:line="147" w:lineRule="exact"/>
        <w:rPr>
          <w:sz w:val="20"/>
          <w:szCs w:val="20"/>
          <w:color w:val="auto"/>
        </w:rPr>
      </w:pPr>
    </w:p>
    <w:p>
      <w:pPr>
        <w:jc w:val="both"/>
        <w:ind w:firstLine="1305"/>
        <w:spacing w:after="0" w:line="251" w:lineRule="auto"/>
        <w:tabs>
          <w:tab w:leader="none" w:pos="1769" w:val="left"/>
        </w:tabs>
        <w:numPr>
          <w:ilvl w:val="0"/>
          <w:numId w:val="41"/>
        </w:numPr>
        <w:rPr>
          <w:rFonts w:ascii="Arial" w:cs="Arial" w:eastAsia="Arial" w:hAnsi="Arial"/>
          <w:sz w:val="22"/>
          <w:szCs w:val="22"/>
          <w:color w:val="auto"/>
        </w:rPr>
      </w:pPr>
      <w:r>
        <w:rPr>
          <w:rFonts w:ascii="Arial" w:cs="Arial" w:eastAsia="Arial" w:hAnsi="Arial"/>
          <w:sz w:val="22"/>
          <w:szCs w:val="22"/>
          <w:color w:val="auto"/>
        </w:rPr>
        <w:t>Prior to the Termination Date, all of the Collections deposited into the Blocked Accounts shall be swept daily and transferred into the Company’s operating account, as designated by the Company to the financial institution maintaining such Blocked Accounts, and each Bank hereby directs the Company to, no later than on the Business Day following the day on which Collections are received in such operating account, pay, apply or reserve for payment, as the case may be, such Collections as follows:</w:t>
      </w:r>
    </w:p>
    <w:p>
      <w:pPr>
        <w:spacing w:after="0" w:line="189" w:lineRule="exact"/>
        <w:rPr>
          <w:rFonts w:ascii="Arial" w:cs="Arial" w:eastAsia="Arial" w:hAnsi="Arial"/>
          <w:sz w:val="22"/>
          <w:szCs w:val="22"/>
          <w:color w:val="auto"/>
        </w:rPr>
      </w:pPr>
    </w:p>
    <w:p>
      <w:pPr>
        <w:ind w:left="660" w:right="20" w:firstLine="1293"/>
        <w:spacing w:after="0" w:line="358" w:lineRule="auto"/>
        <w:tabs>
          <w:tab w:leader="none" w:pos="2408" w:val="left"/>
        </w:tabs>
        <w:numPr>
          <w:ilvl w:val="1"/>
          <w:numId w:val="41"/>
        </w:numPr>
        <w:rPr>
          <w:rFonts w:ascii="Arial" w:cs="Arial" w:eastAsia="Arial" w:hAnsi="Arial"/>
          <w:sz w:val="19"/>
          <w:szCs w:val="19"/>
          <w:color w:val="auto"/>
        </w:rPr>
      </w:pPr>
      <w:r>
        <w:rPr>
          <w:rFonts w:ascii="Arial" w:cs="Arial" w:eastAsia="Arial" w:hAnsi="Arial"/>
          <w:sz w:val="19"/>
          <w:szCs w:val="19"/>
          <w:color w:val="auto"/>
        </w:rPr>
        <w:t>first, reserve for payment to the Banks at the next Settlement Date the amount equal to the difference between the Agreed Base Value and the Purchase Price of the Purchased Receivables (other than Defaulted Receivables);</w:t>
      </w:r>
    </w:p>
    <w:p>
      <w:pPr>
        <w:spacing w:after="0" w:line="90" w:lineRule="exact"/>
        <w:rPr>
          <w:rFonts w:ascii="Arial" w:cs="Arial" w:eastAsia="Arial" w:hAnsi="Arial"/>
          <w:sz w:val="19"/>
          <w:szCs w:val="19"/>
          <w:color w:val="auto"/>
        </w:rPr>
      </w:pPr>
    </w:p>
    <w:p>
      <w:pPr>
        <w:jc w:val="both"/>
        <w:ind w:left="660" w:firstLine="1293"/>
        <w:spacing w:after="0" w:line="320" w:lineRule="auto"/>
        <w:tabs>
          <w:tab w:leader="none" w:pos="2441" w:val="left"/>
        </w:tabs>
        <w:numPr>
          <w:ilvl w:val="1"/>
          <w:numId w:val="41"/>
        </w:numPr>
        <w:rPr>
          <w:rFonts w:ascii="Arial" w:cs="Arial" w:eastAsia="Arial" w:hAnsi="Arial"/>
          <w:sz w:val="19"/>
          <w:szCs w:val="19"/>
          <w:color w:val="auto"/>
        </w:rPr>
      </w:pPr>
      <w:r>
        <w:rPr>
          <w:rFonts w:ascii="Arial" w:cs="Arial" w:eastAsia="Arial" w:hAnsi="Arial"/>
          <w:sz w:val="19"/>
          <w:szCs w:val="19"/>
          <w:color w:val="auto"/>
        </w:rPr>
        <w:t>second, reserve for payment to the Banks at the next Settlement Date (X) the amount of any Dilutions which may have accrued or been granted in relation to the relevant Purchased Receivables that were not otherwise accounted for in the calculation of Purchase Price and (Y) Collections related to any Defaulted Receivables;</w:t>
      </w:r>
    </w:p>
    <w:p>
      <w:pPr>
        <w:spacing w:after="0" w:line="125" w:lineRule="exact"/>
        <w:rPr>
          <w:rFonts w:ascii="Arial" w:cs="Arial" w:eastAsia="Arial" w:hAnsi="Arial"/>
          <w:sz w:val="19"/>
          <w:szCs w:val="19"/>
          <w:color w:val="auto"/>
        </w:rPr>
      </w:pPr>
    </w:p>
    <w:p>
      <w:pPr>
        <w:jc w:val="both"/>
        <w:ind w:left="660" w:firstLine="1293"/>
        <w:spacing w:after="0" w:line="290" w:lineRule="auto"/>
        <w:tabs>
          <w:tab w:leader="none" w:pos="2488"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third, reserve for payment to the Banks on the next Settlement Date the sum of (A) the Purchase Price of the Purchased Receivables (other than Defaulted Receivables), except for such amounts as may be used to purchase Replacement Receivables for the time remaining in the applicable Settlement Period by the Company on the Banks’ behalf (</w:t>
      </w:r>
      <w:r>
        <w:rPr>
          <w:rFonts w:ascii="Arial" w:cs="Arial" w:eastAsia="Arial" w:hAnsi="Arial"/>
          <w:sz w:val="19"/>
          <w:szCs w:val="19"/>
          <w:i w:val="1"/>
          <w:iCs w:val="1"/>
          <w:color w:val="auto"/>
        </w:rPr>
        <w:t>“Net Daily Collections”</w:t>
      </w:r>
      <w:r>
        <w:rPr>
          <w:rFonts w:ascii="Arial" w:cs="Arial" w:eastAsia="Arial" w:hAnsi="Arial"/>
          <w:sz w:val="19"/>
          <w:szCs w:val="19"/>
          <w:color w:val="auto"/>
        </w:rPr>
        <w:t>) at the price determined in accordance with Section 4.1(d), plus (B) in the event that a Debtor Default Event shall have occurred and then be continuing with respect to any Approved Debtor, an amount equal to the excess of (x) the Original Amount of the Purchased Receivables (other than Defaulted Receivables) of all Approved Debtors over (y) the Agreed Base Value of all Purchased Receivables (other than Defaulted Receivables), such amount not to exceed the Agreed Base Value of Defaulted Receivables of each Approved Debtor subject to a Debtor Default Event, plus (C) all other amounts which may be owing to the Administrative Agent or any Bank under this Agreement or any other Transaction Document with respect to any Collections of Purchased Receivables;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7" w:right="239" w:bottom="1440" w:gutter="0" w:footer="0" w:header="0"/>
        </w:sectPr>
      </w:pPr>
    </w:p>
    <w:bookmarkStart w:id="134" w:name="page135"/>
    <w:bookmarkEnd w:id="134"/>
    <w:p>
      <w:pPr>
        <w:jc w:val="both"/>
        <w:ind w:left="660" w:right="20" w:firstLine="1293"/>
        <w:spacing w:after="0" w:line="260" w:lineRule="auto"/>
        <w:tabs>
          <w:tab w:leader="none" w:pos="2584" w:val="left"/>
        </w:tabs>
        <w:numPr>
          <w:ilvl w:val="0"/>
          <w:numId w:val="42"/>
        </w:numPr>
        <w:rPr>
          <w:rFonts w:ascii="Arial" w:cs="Arial" w:eastAsia="Arial" w:hAnsi="Arial"/>
          <w:sz w:val="22"/>
          <w:szCs w:val="22"/>
          <w:color w:val="auto"/>
        </w:rPr>
      </w:pPr>
      <w:r>
        <w:rPr>
          <w:rFonts w:ascii="Arial" w:cs="Arial" w:eastAsia="Arial" w:hAnsi="Arial"/>
          <w:sz w:val="22"/>
          <w:szCs w:val="22"/>
          <w:color w:val="auto"/>
        </w:rPr>
        <w:t>fourth, with respect to any Collections of Purchased Receivables which include any Trade Credit Amounts owing to the Company, reserve for payment to the Company such corresponding Trade Credit Amounts subject to the last sentence of the following paragraph.</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If on any Settlement Date any Bank decides in its sole discretion (but subject to the requirements of Section 4.5(e)), not to purchase Replacement Receivables title to which has not yet transferred to such Bank pursuant hereto with Collections, the Company shall remit and hold such Bank’s Pro Rata Share of all Collections (including, without limitation, Collections received relating to Trade Credit Amounts) in the Blocked Accounts until the next Settlement Date, whereupon it shall follow the procedures set forth in Section 4.5(d) and (e), provided, however, that if a Termination Event has occurred or the Termination Date has been declared, on the applicable Final Collection Date the Company shall follow the procedures set forth in Section 18. The Company shall comply in all respects with each such direction of the applicable Bank. The Company’s interest in any Collections relating to Trade Credit Amounts or that it would otherwise receive as its servicing fee shall at all times following the occurrence of a Termination Event be subordinate to each Bank’s interest in the Collections until the Final Collection Date.</w:t>
      </w:r>
    </w:p>
    <w:p>
      <w:pPr>
        <w:spacing w:after="0" w:line="158" w:lineRule="exact"/>
        <w:rPr>
          <w:sz w:val="20"/>
          <w:szCs w:val="20"/>
          <w:color w:val="auto"/>
        </w:rPr>
      </w:pPr>
    </w:p>
    <w:p>
      <w:pPr>
        <w:jc w:val="both"/>
        <w:ind w:firstLine="1305"/>
        <w:spacing w:after="0" w:line="260" w:lineRule="auto"/>
        <w:tabs>
          <w:tab w:leader="none" w:pos="1757" w:val="left"/>
        </w:tabs>
        <w:numPr>
          <w:ilvl w:val="0"/>
          <w:numId w:val="43"/>
        </w:numPr>
        <w:rPr>
          <w:rFonts w:ascii="Arial" w:cs="Arial" w:eastAsia="Arial" w:hAnsi="Arial"/>
          <w:sz w:val="22"/>
          <w:szCs w:val="22"/>
          <w:color w:val="auto"/>
        </w:rPr>
      </w:pPr>
      <w:r>
        <w:rPr>
          <w:rFonts w:ascii="Arial" w:cs="Arial" w:eastAsia="Arial" w:hAnsi="Arial"/>
          <w:sz w:val="22"/>
          <w:szCs w:val="22"/>
          <w:color w:val="auto"/>
        </w:rPr>
        <w:t>While the Company is acting in the capacity of Servicer, any amounts in respect of the payment of Net Daily Collections shall be deemed to have been paid to the Company and deposited into the Blocked Account immediately upon receipt thereof by the Company.</w:t>
      </w:r>
    </w:p>
    <w:p>
      <w:pPr>
        <w:spacing w:after="0" w:line="177" w:lineRule="exact"/>
        <w:rPr>
          <w:rFonts w:ascii="Arial" w:cs="Arial" w:eastAsia="Arial" w:hAnsi="Arial"/>
          <w:sz w:val="22"/>
          <w:szCs w:val="22"/>
          <w:color w:val="auto"/>
        </w:rPr>
      </w:pPr>
    </w:p>
    <w:p>
      <w:pPr>
        <w:ind w:firstLine="1305"/>
        <w:spacing w:after="0" w:line="276" w:lineRule="auto"/>
        <w:tabs>
          <w:tab w:leader="none" w:pos="1742" w:val="left"/>
        </w:tabs>
        <w:numPr>
          <w:ilvl w:val="0"/>
          <w:numId w:val="43"/>
        </w:numPr>
        <w:rPr>
          <w:rFonts w:ascii="Arial" w:cs="Arial" w:eastAsia="Arial" w:hAnsi="Arial"/>
          <w:sz w:val="22"/>
          <w:szCs w:val="22"/>
          <w:color w:val="auto"/>
        </w:rPr>
      </w:pPr>
      <w:r>
        <w:rPr>
          <w:rFonts w:ascii="Arial" w:cs="Arial" w:eastAsia="Arial" w:hAnsi="Arial"/>
          <w:sz w:val="22"/>
          <w:szCs w:val="22"/>
          <w:color w:val="auto"/>
        </w:rPr>
        <w:t>Except as set forth in Sections 4.5(e) and 21, at no time shall the Company have any right, title or interest in or to, or be the owner of, any Purchased Receivable.</w:t>
      </w:r>
    </w:p>
    <w:p>
      <w:pPr>
        <w:spacing w:after="0" w:line="160" w:lineRule="exact"/>
        <w:rPr>
          <w:rFonts w:ascii="Arial" w:cs="Arial" w:eastAsia="Arial" w:hAnsi="Arial"/>
          <w:sz w:val="22"/>
          <w:szCs w:val="22"/>
          <w:color w:val="auto"/>
        </w:rPr>
      </w:pPr>
    </w:p>
    <w:p>
      <w:pPr>
        <w:jc w:val="both"/>
        <w:ind w:firstLine="1305"/>
        <w:spacing w:after="0" w:line="291" w:lineRule="auto"/>
        <w:tabs>
          <w:tab w:leader="none" w:pos="17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Each of the Administrative Agent and each Bank agrees that at no time shall either the Administrative Agent or any Bank have any rights or interest in any Monsanto Receivables and that the Company shall at all times be entitled to any collections deposited into the Blocked Accounts related to Monsanto Receivables;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at any time after the Termination Date, an Approved Debtor does not make a full payment on the Purchased Receivables and the Monsanto Receivables and the applicable Approved Debtor shall have not otherwise stated to which accounts receivable the payment should be applied and the Company has notified the Administrative Agent and the Banks that the Company has not determined pursuant to the terms of this Agreement and the Monsanto Agreement as to which accounts receivable the payment should be applied, each of the Administrative Agent and each Bank agrees that such payment shall be applied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to the Purchased Receivables and the Monsanto Receivables of such Approved Debtor.</w:t>
      </w:r>
    </w:p>
    <w:p>
      <w:pPr>
        <w:spacing w:after="0" w:line="15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i w:val="1"/>
          <w:iCs w:val="1"/>
          <w:color w:val="auto"/>
        </w:rPr>
        <w:t>Section 4.5.</w:t>
      </w:r>
      <w:r>
        <w:rPr>
          <w:sz w:val="20"/>
          <w:szCs w:val="20"/>
          <w:color w:val="auto"/>
        </w:rPr>
        <w:tab/>
      </w:r>
      <w:r>
        <w:rPr>
          <w:rFonts w:ascii="Arial" w:cs="Arial" w:eastAsia="Arial" w:hAnsi="Arial"/>
          <w:sz w:val="19"/>
          <w:szCs w:val="19"/>
          <w:color w:val="auto"/>
        </w:rPr>
        <w:t>(a) The Company and the Banks shall settle amounts owing as between them hereunder on each Settlement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jc w:val="both"/>
        <w:ind w:firstLine="1305"/>
        <w:spacing w:after="0" w:line="260" w:lineRule="auto"/>
        <w:tabs>
          <w:tab w:leader="none" w:pos="1728"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Company shall deliver to the Administrative Agent (for distribution to the Banks) prior to the Closing Date the initial Portfolio Report, in the form of a hard copy or electronically in a manner acceptable to the Administrative Agent, as at the last day of the immediately preceding week.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7" w:right="239" w:bottom="1440" w:gutter="0" w:footer="0" w:header="0"/>
        </w:sectPr>
      </w:pPr>
    </w:p>
    <w:bookmarkStart w:id="135" w:name="page136"/>
    <w:bookmarkEnd w:id="135"/>
    <w:p>
      <w:pPr>
        <w:ind w:left="520" w:hanging="415"/>
        <w:spacing w:after="0"/>
        <w:tabs>
          <w:tab w:leader="none" w:pos="5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Thereafter:</w:t>
      </w:r>
    </w:p>
    <w:p>
      <w:pPr>
        <w:spacing w:after="0" w:line="233" w:lineRule="exact"/>
        <w:rPr>
          <w:rFonts w:ascii="Arial" w:cs="Arial" w:eastAsia="Arial" w:hAnsi="Arial"/>
          <w:sz w:val="22"/>
          <w:szCs w:val="22"/>
          <w:color w:val="auto"/>
        </w:rPr>
      </w:pPr>
    </w:p>
    <w:p>
      <w:pPr>
        <w:ind w:left="1140" w:hanging="387"/>
        <w:spacing w:after="0"/>
        <w:tabs>
          <w:tab w:leader="none" w:pos="11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by 12:00 noon New York time four Business Days prior to each Settlement Date; and</w:t>
      </w:r>
    </w:p>
    <w:p>
      <w:pPr>
        <w:spacing w:after="0" w:line="233" w:lineRule="exact"/>
        <w:rPr>
          <w:rFonts w:ascii="Arial" w:cs="Arial" w:eastAsia="Arial" w:hAnsi="Arial"/>
          <w:sz w:val="22"/>
          <w:szCs w:val="22"/>
          <w:color w:val="auto"/>
        </w:rPr>
      </w:pPr>
    </w:p>
    <w:p>
      <w:pPr>
        <w:jc w:val="both"/>
        <w:ind w:left="-540" w:firstLine="1293"/>
        <w:spacing w:after="0" w:line="254" w:lineRule="auto"/>
        <w:tabs>
          <w:tab w:leader="none" w:pos="1444" w:val="left"/>
        </w:tabs>
        <w:numPr>
          <w:ilvl w:val="1"/>
          <w:numId w:val="45"/>
        </w:numPr>
        <w:rPr>
          <w:rFonts w:ascii="Arial" w:cs="Arial" w:eastAsia="Arial" w:hAnsi="Arial"/>
          <w:sz w:val="22"/>
          <w:szCs w:val="22"/>
          <w:color w:val="auto"/>
        </w:rPr>
      </w:pPr>
      <w:r>
        <w:rPr>
          <w:rFonts w:ascii="Arial" w:cs="Arial" w:eastAsia="Arial" w:hAnsi="Arial"/>
          <w:sz w:val="22"/>
          <w:szCs w:val="22"/>
          <w:color w:val="auto"/>
        </w:rPr>
        <w:t>within five Business Days following the Termination Date, the Company shall deliver to the Administrative Agent and the Banks, in the form of a hard copy or electronically in a manner acceptable to the Administrative Agent, a Portfolio Report as at the following dates (or on the date otherwise agreed between the Company and the Administrative Agent and each Bank):</w:t>
      </w:r>
    </w:p>
    <w:p>
      <w:pPr>
        <w:spacing w:after="0" w:line="185" w:lineRule="exact"/>
        <w:rPr>
          <w:rFonts w:ascii="Arial" w:cs="Arial" w:eastAsia="Arial" w:hAnsi="Arial"/>
          <w:sz w:val="22"/>
          <w:szCs w:val="22"/>
          <w:color w:val="auto"/>
        </w:rPr>
      </w:pPr>
    </w:p>
    <w:p>
      <w:pPr>
        <w:ind w:left="3240" w:hanging="542"/>
        <w:spacing w:after="0"/>
        <w:tabs>
          <w:tab w:leader="none" w:pos="3240" w:val="left"/>
        </w:tabs>
        <w:numPr>
          <w:ilvl w:val="2"/>
          <w:numId w:val="45"/>
        </w:numPr>
        <w:rPr>
          <w:rFonts w:ascii="Arial" w:cs="Arial" w:eastAsia="Arial" w:hAnsi="Arial"/>
          <w:sz w:val="19"/>
          <w:szCs w:val="19"/>
          <w:color w:val="auto"/>
        </w:rPr>
      </w:pPr>
      <w:r>
        <w:rPr>
          <w:rFonts w:ascii="Arial" w:cs="Arial" w:eastAsia="Arial" w:hAnsi="Arial"/>
          <w:sz w:val="19"/>
          <w:szCs w:val="19"/>
          <w:color w:val="auto"/>
        </w:rPr>
        <w:t>as at the last day of the immediately preceding Settlement Period (in the case of</w:t>
      </w:r>
    </w:p>
    <w:p>
      <w:pPr>
        <w:spacing w:after="0" w:line="56"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paragraph (i) above);</w:t>
      </w:r>
    </w:p>
    <w:p>
      <w:pPr>
        <w:spacing w:after="0" w:line="201" w:lineRule="exact"/>
        <w:rPr>
          <w:rFonts w:ascii="Arial" w:cs="Arial" w:eastAsia="Arial" w:hAnsi="Arial"/>
          <w:sz w:val="19"/>
          <w:szCs w:val="19"/>
          <w:color w:val="auto"/>
        </w:rPr>
      </w:pPr>
    </w:p>
    <w:p>
      <w:pPr>
        <w:ind w:left="760" w:right="20" w:firstLine="2586"/>
        <w:spacing w:after="0" w:line="263" w:lineRule="auto"/>
        <w:tabs>
          <w:tab w:leader="none" w:pos="3857" w:val="left"/>
        </w:tabs>
        <w:numPr>
          <w:ilvl w:val="3"/>
          <w:numId w:val="45"/>
        </w:numPr>
        <w:rPr>
          <w:rFonts w:ascii="Arial" w:cs="Arial" w:eastAsia="Arial" w:hAnsi="Arial"/>
          <w:sz w:val="22"/>
          <w:szCs w:val="22"/>
          <w:color w:val="auto"/>
        </w:rPr>
      </w:pPr>
      <w:r>
        <w:rPr>
          <w:rFonts w:ascii="Arial" w:cs="Arial" w:eastAsia="Arial" w:hAnsi="Arial"/>
          <w:sz w:val="22"/>
          <w:szCs w:val="22"/>
          <w:color w:val="auto"/>
        </w:rPr>
        <w:t>as at the Company’s close of business on the day immediately preceding the Termination Date (in the case of paragraph (ii) above).</w:t>
      </w:r>
    </w:p>
    <w:p>
      <w:pPr>
        <w:spacing w:after="0" w:line="174" w:lineRule="exact"/>
        <w:rPr>
          <w:rFonts w:ascii="Arial" w:cs="Arial" w:eastAsia="Arial" w:hAnsi="Arial"/>
          <w:sz w:val="22"/>
          <w:szCs w:val="22"/>
          <w:color w:val="auto"/>
        </w:rPr>
      </w:pPr>
    </w:p>
    <w:p>
      <w:pPr>
        <w:ind w:left="540" w:hanging="435"/>
        <w:spacing w:after="0"/>
        <w:tabs>
          <w:tab w:leader="none" w:pos="5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On each Settlement Date by 12:00 noon New York time, to the extent available from Collections:</w:t>
      </w:r>
    </w:p>
    <w:p>
      <w:pPr>
        <w:spacing w:after="0" w:line="233" w:lineRule="exact"/>
        <w:rPr>
          <w:rFonts w:ascii="Arial" w:cs="Arial" w:eastAsia="Arial" w:hAnsi="Arial"/>
          <w:sz w:val="22"/>
          <w:szCs w:val="22"/>
          <w:color w:val="auto"/>
        </w:rPr>
      </w:pPr>
    </w:p>
    <w:p>
      <w:pPr>
        <w:jc w:val="both"/>
        <w:ind w:left="-540" w:firstLine="1293"/>
        <w:spacing w:after="0" w:line="307" w:lineRule="auto"/>
        <w:tabs>
          <w:tab w:leader="none" w:pos="1154"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Company shall pay to the Administrative Agent for the benefit of the Banks at the Payment Account for prompt payment to the Banks on such Settlement Date (if received by the Administrative Agent by 12:00 noon New York time, and if not, promptly after receipt thereof) the amounts set forth in Section 4.4(b)(i) and (ii) in respect of Purchased Receivables (other than Defaulted Receivables), to the extent any part thereof has not been previously paid;</w:t>
      </w:r>
    </w:p>
    <w:p>
      <w:pPr>
        <w:spacing w:after="0" w:line="138" w:lineRule="exact"/>
        <w:rPr>
          <w:rFonts w:ascii="Arial" w:cs="Arial" w:eastAsia="Arial" w:hAnsi="Arial"/>
          <w:sz w:val="19"/>
          <w:szCs w:val="19"/>
          <w:color w:val="auto"/>
        </w:rPr>
      </w:pPr>
    </w:p>
    <w:p>
      <w:pPr>
        <w:jc w:val="both"/>
        <w:ind w:left="-540" w:firstLine="1293"/>
        <w:spacing w:after="0" w:line="260" w:lineRule="auto"/>
        <w:tabs>
          <w:tab w:leader="none" w:pos="1214"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difference between the amount reserved pursuant to Section 4.4(b)(iii) and the Purchase Price for Replacement Receivables in accordance with Section 4.3 is positive, then the Company shall pay to the Banks by deposit to the Payment Account such difference.</w:t>
      </w:r>
    </w:p>
    <w:p>
      <w:pPr>
        <w:spacing w:after="0" w:line="177" w:lineRule="exact"/>
        <w:rPr>
          <w:rFonts w:ascii="Arial" w:cs="Arial" w:eastAsia="Arial" w:hAnsi="Arial"/>
          <w:sz w:val="22"/>
          <w:szCs w:val="22"/>
          <w:color w:val="auto"/>
        </w:rPr>
      </w:pPr>
    </w:p>
    <w:p>
      <w:pPr>
        <w:jc w:val="both"/>
        <w:ind w:left="-540" w:firstLine="1293"/>
        <w:spacing w:after="0" w:line="254" w:lineRule="auto"/>
        <w:tabs>
          <w:tab w:leader="none" w:pos="1261"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difference between the amount reserved pursuant to Section 4.4(b)(iii) and the Purchase Price for Replacement Receivables in accordance with Section 4.3 is negative, then each Bank shall pay to the Company such Bank’s Pro Rata Share of such difference, or at each Bank’s discretion, the Company shall deduct from the amounts due to such Bank pursuant to clause (d)(i) above such difference.</w:t>
      </w:r>
    </w:p>
    <w:p>
      <w:pPr>
        <w:spacing w:after="0" w:line="185" w:lineRule="exact"/>
        <w:rPr>
          <w:rFonts w:ascii="Arial" w:cs="Arial" w:eastAsia="Arial" w:hAnsi="Arial"/>
          <w:sz w:val="22"/>
          <w:szCs w:val="22"/>
          <w:color w:val="auto"/>
        </w:rPr>
      </w:pPr>
    </w:p>
    <w:p>
      <w:pPr>
        <w:jc w:val="both"/>
        <w:ind w:left="-540" w:firstLine="1293"/>
        <w:spacing w:after="0" w:line="266" w:lineRule="auto"/>
        <w:tabs>
          <w:tab w:leader="none" w:pos="1262" w:val="left"/>
        </w:tabs>
        <w:numPr>
          <w:ilvl w:val="1"/>
          <w:numId w:val="45"/>
        </w:numPr>
        <w:rPr>
          <w:rFonts w:ascii="Arial" w:cs="Arial" w:eastAsia="Arial" w:hAnsi="Arial"/>
          <w:sz w:val="21"/>
          <w:szCs w:val="21"/>
          <w:color w:val="auto"/>
        </w:rPr>
      </w:pPr>
      <w:r>
        <w:rPr>
          <w:rFonts w:ascii="Arial" w:cs="Arial" w:eastAsia="Arial" w:hAnsi="Arial"/>
          <w:sz w:val="21"/>
          <w:szCs w:val="21"/>
          <w:color w:val="auto"/>
        </w:rPr>
        <w:t>To the extent that any Bank has received any Collections directly, so long as no Termination Event has occurred, such Bank shall pay to the Company by deposit to the Company’s operating account (as designated by the Company), such amounts as may be used to purchase Replacement Receivables that such Bank has consented to purchase, as well as an amount equal to the aggregate amount of all Trade Credit Amounts that the Company is entitled to receive that have been received by such Bank from such Collections.</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807" w:right="239" w:bottom="1440" w:gutter="0" w:footer="0" w:header="0"/>
        </w:sectPr>
      </w:pPr>
    </w:p>
    <w:bookmarkStart w:id="136" w:name="page137"/>
    <w:bookmarkEnd w:id="136"/>
    <w:p>
      <w:pPr>
        <w:jc w:val="both"/>
        <w:ind w:firstLine="1305"/>
        <w:spacing w:after="0" w:line="286" w:lineRule="auto"/>
        <w:tabs>
          <w:tab w:leader="none" w:pos="1730" w:val="left"/>
        </w:tabs>
        <w:numPr>
          <w:ilvl w:val="0"/>
          <w:numId w:val="46"/>
        </w:numPr>
        <w:rPr>
          <w:rFonts w:ascii="Arial" w:cs="Arial" w:eastAsia="Arial" w:hAnsi="Arial"/>
          <w:sz w:val="19"/>
          <w:szCs w:val="19"/>
          <w:color w:val="auto"/>
        </w:rPr>
      </w:pPr>
      <w:r>
        <w:rPr>
          <w:rFonts w:ascii="Arial" w:cs="Arial" w:eastAsia="Arial" w:hAnsi="Arial"/>
          <w:sz w:val="19"/>
          <w:szCs w:val="19"/>
          <w:color w:val="auto"/>
        </w:rPr>
        <w:t>On each Settlement Date, (i) the Company shall purchase from the Banks all Purchased Receivables other than Defaulted Receivables for a purchase price equal to the Purchase Price of such receivables minus any amounts received by the Banks as repayment of such Purchased Receivables and (ii) each Bank (x) shall repurchase any Receivables previously purchased by such Bank in accordance with Section 4.1 and any Replacement Receivables which have been purchased with such Bank’s consent in accordance with Section 4.3, in each case to the extent such Receivables have not yet been paid as of such Settlement Date and such Receivables remain part of the Receivables designated as sold on Schedule I of the related Purchase Request or in the related Portfolio Report, and (y) may in such Bank’s sole discretion purchase such Replacement Receivables which have been purchased by the Company without such Bank’s consent during the period between the previous Settlement Date and the current Settlement Date in accordance with Section 4.3; provided that in all cases the Company may use the purchase price that it would have paid the Banks for the Purchased Receivables in accordance with clause (i) above to purchase Replacement Receivables, provided in each case that the Company complies with the limitations set forth in Section 2.1 relating to the Agreement Amount and the Debtor Sublimits; provided further that, following a Debtor Default Event relating to any Approved Debtor, which such Debtor Default Event is then continuing, with respect to any Purchased Receivables (other than Defaulted Receivables) purchased by the Company pursuant to clause (i) above and not repurchased by the Banks pursuant to clause (ii) above, the purchase price payable by the Company under clause (i) above shall be increased by an amount equal to the excess of (x) the Original Amount of such Purchased Receivables (other than Defaulted Receivables) over (y) the Agreed Base Value of such Purchased Receivables (other than Defaulted Receivables), such amount not to exceed the Agreed Base Value of Defaulted Receivables related to each Approved Debtor subject to a Debtor Default Event.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i w:val="1"/>
          <w:iCs w:val="1"/>
          <w:color w:val="auto"/>
        </w:rPr>
        <w:t xml:space="preserve">Section 4.6. </w:t>
      </w:r>
      <w:r>
        <w:rPr>
          <w:rFonts w:ascii="Arial" w:cs="Arial" w:eastAsia="Arial" w:hAnsi="Arial"/>
          <w:sz w:val="21"/>
          <w:szCs w:val="21"/>
          <w:color w:val="auto"/>
        </w:rPr>
        <w:t>(a) On each Settlement Date in respect of which the Banks have agreed or been required in accordance with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Section 4.5(e) to purchase Receivables, title to all currently existing Receivables of the Approved Debtors set forth in each Portfolio Report originated by the Company shall, </w:t>
      </w:r>
      <w:r>
        <w:rPr>
          <w:rFonts w:ascii="Arial" w:cs="Arial" w:eastAsia="Arial" w:hAnsi="Arial"/>
          <w:sz w:val="21"/>
          <w:szCs w:val="21"/>
          <w:i w:val="1"/>
          <w:iCs w:val="1"/>
          <w:color w:val="auto"/>
        </w:rPr>
        <w:t>ipso facto</w:t>
      </w:r>
      <w:r>
        <w:rPr>
          <w:rFonts w:ascii="Arial" w:cs="Arial" w:eastAsia="Arial" w:hAnsi="Arial"/>
          <w:sz w:val="21"/>
          <w:szCs w:val="21"/>
          <w:color w:val="auto"/>
        </w:rPr>
        <w:t>, and without any further action on the part of the Company or the Administrative Agent or any Bank, transfer to the Banks to the extent necessary so that the Purchase Price of all Purchased Receivables is equal to the Funded Amount of such Purchased Receivables.</w:t>
      </w:r>
    </w:p>
    <w:p>
      <w:pPr>
        <w:spacing w:after="0" w:line="174" w:lineRule="exact"/>
        <w:rPr>
          <w:sz w:val="20"/>
          <w:szCs w:val="20"/>
          <w:color w:val="auto"/>
        </w:rPr>
      </w:pPr>
    </w:p>
    <w:p>
      <w:pPr>
        <w:jc w:val="both"/>
        <w:ind w:firstLine="1305"/>
        <w:spacing w:after="0" w:line="251" w:lineRule="auto"/>
        <w:tabs>
          <w:tab w:leader="none" w:pos="18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at any time the sale of all of the Receivables by the Company hereunder is limited by the Agreement Amount, the applicable Debtor Sublimit, or any other applicable limit set forth herein, the Receivables of such Approved Debtor originated by the Company that are otherwise purchased and sold hereunder up to such limitations shall be deemed to be the Receivables of such Approved Debtor with the earliest due date (based upon their net invoice value excluding all accruals for any discounts).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i w:val="1"/>
          <w:iCs w:val="1"/>
          <w:color w:val="auto"/>
        </w:rPr>
        <w:t xml:space="preserve">Section 4.7. </w:t>
      </w:r>
      <w:r>
        <w:rPr>
          <w:rFonts w:ascii="Arial" w:cs="Arial" w:eastAsia="Arial" w:hAnsi="Arial"/>
          <w:sz w:val="22"/>
          <w:szCs w:val="22"/>
          <w:color w:val="auto"/>
        </w:rPr>
        <w:t>(a) The Company will from time to time within five Business Days following any request, furnish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Agent and each Bank with a calculation of the amounts paid to or held in trust for such Bank by the Company under this Agreement.</w:t>
      </w:r>
    </w:p>
    <w:p>
      <w:pPr>
        <w:spacing w:after="0" w:line="177" w:lineRule="exact"/>
        <w:rPr>
          <w:sz w:val="20"/>
          <w:szCs w:val="20"/>
          <w:color w:val="auto"/>
        </w:rPr>
      </w:pPr>
    </w:p>
    <w:p>
      <w:pPr>
        <w:ind w:firstLine="1305"/>
        <w:spacing w:after="0" w:line="276" w:lineRule="auto"/>
        <w:tabs>
          <w:tab w:leader="none" w:pos="185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will provide the Administrative Agent and each Bank with such other reports, information, documents, books and records as the Administrative Agent or such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7" w:right="239" w:bottom="1440" w:gutter="0" w:footer="0" w:header="0"/>
        </w:sectPr>
      </w:pPr>
    </w:p>
    <w:bookmarkStart w:id="137" w:name="page138"/>
    <w:bookmarkEnd w:id="137"/>
    <w:p>
      <w:pPr>
        <w:jc w:val="both"/>
        <w:spacing w:after="0" w:line="292" w:lineRule="auto"/>
        <w:rPr>
          <w:sz w:val="20"/>
          <w:szCs w:val="20"/>
          <w:color w:val="auto"/>
        </w:rPr>
      </w:pPr>
      <w:r>
        <w:rPr>
          <w:rFonts w:ascii="Arial" w:cs="Arial" w:eastAsia="Arial" w:hAnsi="Arial"/>
          <w:sz w:val="19"/>
          <w:szCs w:val="19"/>
          <w:color w:val="auto"/>
        </w:rPr>
        <w:t>Bank may reasonably request and which may be lawfully disclosed or provided to the Administrative Agent or such Bank, including, without limitation, a certificate signed by its officers attesting to (i) the balance owing on each Purchased Receivable, (ii) the Maturity Date of each Purchased Receivable and the fact that the goods sold and/or services provided under the terms of the relevant Contracts were shipped in accordance with the terms of such Contracts, (iii) a copy of the purchase order or sales order and invoices relating to each Purchased Receivable, (iv) a copy of the bill of lading and any other shipping document relating to the Purchased Receivable and all billings, statements, correspondence and memoranda directed to the customer in relation to each Purchased Receivable, and (v) after the Termination Date, a full accounting of daily Collections received.</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Section 4.8. </w:t>
      </w:r>
      <w:r>
        <w:rPr>
          <w:rFonts w:ascii="Arial" w:cs="Arial" w:eastAsia="Arial" w:hAnsi="Arial"/>
          <w:sz w:val="19"/>
          <w:szCs w:val="19"/>
          <w:color w:val="auto"/>
        </w:rPr>
        <w:t>The Administrative Agent and each Bank may keep records of all purchases, which records shall be consistent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with all information set forth in the Portfolio Reports delivered to the Administrative Agent and each Bank, and evidence the dates and amounts of purchases and the applicable Discount in effect from time to time. Such records shall be presumptive evidence but the failure to record any purchase shall not limit or otherwise affect any obligations of the Company hereunder or the Debtors’ obligations to make payments on the Purchased Receivables when due;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the event of any inconsistency between the Administrative Agent’s records and any Bank’s records, the recordations in the Administrative Agent’s records shall govern.</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i w:val="1"/>
          <w:iCs w:val="1"/>
          <w:color w:val="auto"/>
        </w:rPr>
        <w:t xml:space="preserve">Section 4.9. </w:t>
      </w:r>
      <w:r>
        <w:rPr>
          <w:rFonts w:ascii="Arial" w:cs="Arial" w:eastAsia="Arial" w:hAnsi="Arial"/>
          <w:sz w:val="21"/>
          <w:szCs w:val="21"/>
          <w:color w:val="auto"/>
        </w:rPr>
        <w:t>The Company will, from time to time, at its expense, promptly execute and deliver all instruments and</w:t>
      </w:r>
      <w:r>
        <w:rPr>
          <w:rFonts w:ascii="Arial" w:cs="Arial" w:eastAsia="Arial" w:hAnsi="Arial"/>
          <w:sz w:val="21"/>
          <w:szCs w:val="21"/>
          <w:i w:val="1"/>
          <w:iCs w:val="1"/>
          <w:color w:val="auto"/>
        </w:rPr>
        <w:t xml:space="preserve"> </w:t>
      </w:r>
      <w:r>
        <w:rPr>
          <w:rFonts w:ascii="Arial" w:cs="Arial" w:eastAsia="Arial" w:hAnsi="Arial"/>
          <w:sz w:val="21"/>
          <w:szCs w:val="21"/>
          <w:color w:val="auto"/>
        </w:rPr>
        <w:t>documents and take all action that may be reasonably necessary and that the Administrative Agent and each Bank may reasonably request, in order to perfect, protect or more fully evidence such Bank’s ownership of the Purchased Receivables, or to enable the Administrative Agent or any Bank to exercise or enforce any of its rights hereunder.</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 xml:space="preserve">Section 4.10. </w:t>
      </w:r>
      <w:r>
        <w:rPr>
          <w:rFonts w:ascii="Arial" w:cs="Arial" w:eastAsia="Arial" w:hAnsi="Arial"/>
          <w:sz w:val="22"/>
          <w:szCs w:val="22"/>
          <w:color w:val="auto"/>
        </w:rPr>
        <w:t>Any payment by a Debtor in respect of any indebtedness owed by it to the Company in respect of Purchased</w:t>
      </w:r>
      <w:r>
        <w:rPr>
          <w:rFonts w:ascii="Arial" w:cs="Arial" w:eastAsia="Arial" w:hAnsi="Arial"/>
          <w:sz w:val="22"/>
          <w:szCs w:val="22"/>
          <w:i w:val="1"/>
          <w:iCs w:val="1"/>
          <w:color w:val="auto"/>
        </w:rPr>
        <w:t xml:space="preserve"> </w:t>
      </w:r>
      <w:r>
        <w:rPr>
          <w:rFonts w:ascii="Arial" w:cs="Arial" w:eastAsia="Arial" w:hAnsi="Arial"/>
          <w:sz w:val="22"/>
          <w:szCs w:val="22"/>
          <w:color w:val="auto"/>
        </w:rPr>
        <w:t>Receivables shall, except as otherwise specified by such Debtor or required by the related Contract or law, be applied, first, as a Collection of any Purchased Receivables then outstanding of such Debtor in the order of the age of such Purchased Receivables, starting with the oldest of such Purchased Receivables and, second, to any other indebtedness of such Debtor to the Company in respect of Purchased Receivables.</w:t>
      </w:r>
    </w:p>
    <w:p>
      <w:pPr>
        <w:spacing w:after="0" w:line="19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i w:val="1"/>
          <w:iCs w:val="1"/>
          <w:color w:val="auto"/>
        </w:rPr>
        <w:t xml:space="preserve">Section 4.11. </w:t>
      </w:r>
      <w:r>
        <w:rPr>
          <w:rFonts w:ascii="Arial" w:cs="Arial" w:eastAsia="Arial" w:hAnsi="Arial"/>
          <w:sz w:val="21"/>
          <w:szCs w:val="21"/>
          <w:color w:val="auto"/>
        </w:rPr>
        <w:t>All purchases shall be made by the Banks simultaneously and proportionately to their respective Pro Rata</w:t>
      </w:r>
      <w:r>
        <w:rPr>
          <w:rFonts w:ascii="Arial" w:cs="Arial" w:eastAsia="Arial" w:hAnsi="Arial"/>
          <w:sz w:val="21"/>
          <w:szCs w:val="21"/>
          <w:i w:val="1"/>
          <w:iCs w:val="1"/>
          <w:color w:val="auto"/>
        </w:rPr>
        <w:t xml:space="preserve"> </w:t>
      </w:r>
      <w:r>
        <w:rPr>
          <w:rFonts w:ascii="Arial" w:cs="Arial" w:eastAsia="Arial" w:hAnsi="Arial"/>
          <w:sz w:val="21"/>
          <w:szCs w:val="21"/>
          <w:color w:val="auto"/>
        </w:rPr>
        <w:t>Shares, it being understood that no Bank shall be responsible for any default by any other Bank in such other Bank’s obligation to make a purchase requested hereunder nor shall the Bank’s Stated Amount of any Bank be increased or decreased as a result of a default by any other Bank in such other Bank’s obligation to make a purchase requested hereunder, unless such Bank agrees to such purchase, increase or decrease, as the case may be, in writing.</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Section 4.12. </w:t>
      </w:r>
      <w:r>
        <w:rPr>
          <w:rFonts w:ascii="Arial" w:cs="Arial" w:eastAsia="Arial" w:hAnsi="Arial"/>
          <w:sz w:val="22"/>
          <w:szCs w:val="22"/>
          <w:color w:val="auto"/>
        </w:rPr>
        <w:t>In the event that a Bank fails to make its Pro Rata Share of the Purchase Price (or any portion thereof)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available to the Administrative Agent in accordance with section 4.2(a)(i) (such Bank, a </w:t>
      </w:r>
      <w:r>
        <w:rPr>
          <w:rFonts w:ascii="Arial" w:cs="Arial" w:eastAsia="Arial" w:hAnsi="Arial"/>
          <w:sz w:val="22"/>
          <w:szCs w:val="22"/>
          <w:i w:val="1"/>
          <w:iCs w:val="1"/>
          <w:color w:val="auto"/>
        </w:rPr>
        <w:t>“Defaulting Bank”</w:t>
      </w:r>
      <w:r>
        <w:rPr>
          <w:rFonts w:ascii="Arial" w:cs="Arial" w:eastAsia="Arial" w:hAnsi="Arial"/>
          <w:sz w:val="22"/>
          <w:szCs w:val="22"/>
          <w:color w:val="auto"/>
        </w:rPr>
        <w:t>), the Administrative Agent or a non-Defaulting Bank may, in its sole discretion, make such amount available to the Company in excess of its Pro Rata Share in such Purchased Receivable, and if more than one non-Defaulting Bank intends to make such amount available to the Company, then the amount thereof shall be allocated pro rata amongst all such non-Defaulting Banks that are willing to make such amount available to the Company. If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7" w:right="239" w:bottom="1440" w:gutter="0" w:footer="0" w:header="0"/>
        </w:sectPr>
      </w:pPr>
    </w:p>
    <w:bookmarkStart w:id="138" w:name="page139"/>
    <w:bookmarkEnd w:id="138"/>
    <w:p>
      <w:pPr>
        <w:jc w:val="both"/>
        <w:spacing w:after="0" w:line="286" w:lineRule="auto"/>
        <w:rPr>
          <w:sz w:val="20"/>
          <w:szCs w:val="20"/>
          <w:color w:val="auto"/>
        </w:rPr>
      </w:pPr>
      <w:r>
        <w:rPr>
          <w:rFonts w:ascii="Arial" w:cs="Arial" w:eastAsia="Arial" w:hAnsi="Arial"/>
          <w:sz w:val="19"/>
          <w:szCs w:val="19"/>
          <w:color w:val="auto"/>
        </w:rPr>
        <w:t>Administrative Agent or non-Defaulting Bank, as the case may be, shall have made such funds available, then, to the extent that such Defaulting Bank shall not have made its Pro Rata Share of the Purchase Price available to the Company, such Defaulting Bank agrees to repay to the Administrative Agent or non-Defaulting Bank, as the case may be, forthwith on demand such corresponding amount together with interest thereon, for each day from and including such purchase date to but excluding the date such amount is repaid to the Administrative Agent or non-Defaulting Bank, as the case may be, at a rate determined by the Administrative Agent or non-Defaulting Bank, as the case may be, to represent its cost of overnight or short-term funds plus the Applicable Margin and reasonable breakage costs (which determination shall be conclusive absent manifest error). If such Defaulting Bank shall repay to the Administrative Agent or non-Defaulting Bank, as the case may be, such corresponding amount, such amount shall constitute such Defaulting Bank’s Pro Rata Share of the Purchased Receivable for purposes of this Agreement. Notwithstanding anything to the contrary herein (a) the Administrative Agent shall not be liable to the Company or any other Person for the failure of a Defaulting Bank to make its Pro Rata Share of the Purchase Price (or any portion thereof) available to the Company in accordance with Section 4.2(a)(i) or otherwise and (b) no non-Defaulting Bank shall be liable to the Company or any other Person for the failure of a Defaulting Bank to make its Pro Rata Share of the Purchase Price (or any portion thereof) available to the Company in accordance with Section 4.2(a)(i) or otherwise. The Company hereby reserves any and all rights or remedies that may be available under applicable Laws against any Defaulting Bank in relation to the foregoing.</w:t>
      </w: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5.</w:t>
        <w:tab/>
        <w:t>LIMITED LIABILITY.</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5.1.</w:t>
      </w:r>
      <w:r>
        <w:rPr>
          <w:sz w:val="20"/>
          <w:szCs w:val="20"/>
          <w:color w:val="auto"/>
        </w:rPr>
        <w:tab/>
      </w:r>
      <w:r>
        <w:rPr>
          <w:rFonts w:ascii="Arial" w:cs="Arial" w:eastAsia="Arial" w:hAnsi="Arial"/>
          <w:sz w:val="19"/>
          <w:szCs w:val="19"/>
          <w:i w:val="1"/>
          <w:iCs w:val="1"/>
          <w:color w:val="auto"/>
        </w:rPr>
        <w:t>Deemed Collections/Repurchase Obligation.</w:t>
      </w:r>
    </w:p>
    <w:p>
      <w:pPr>
        <w:spacing w:after="0" w:line="23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5.1.1 If a Repurchase Event with respect to a Purchased Receivable occurs under clause (iii) of the definition thereof and the related reduction, adjustment, cancellation or setoff relates only to a portion of the aggregate Original Amount and not the entire aggregate Original Amount, the Company shall be deemed to have received on such day a Collection on such Purchased Receivable in the amount of such reduction, adjustment, cancellation or setoff. All such Collections deemed received by the Company under this Section 5.1.1 shall be remitted by the Company to such account as shall be directed by the Administrative Agent in accordance with Section 7.1. On receipt of all amounts referred to above, the Banks shall (at the cost and expense of the Company) execute such documents as may be necessary to re-assign that portion of the applicable Purchased Receivables which represents the amounts so paid, without recourse, representation or warranty (except as to the title thereto by the Banks), to the Company.</w:t>
      </w:r>
    </w:p>
    <w:p>
      <w:pPr>
        <w:spacing w:after="0" w:line="18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5.1.2 Except as set forth in Section 5.1.1 with respect to partial reductions, adjustments, cancellations or setoffs of any Original Amount, if a Purchased Receivable remains unpaid and a Repurchase Event with respect to such Purchased Receivable has occurred, the Administrative Agent may, by written notice, require the Company to pay to the Banks in respect of such Purchased Receivable, as directed by the Administrative Agent, an amount equal to the Agreed Base Value of such Purchased Receivable (or so much of it as was paid by the Banks to the Company and remains unpaid as Collections), and if such Purchased Receivable is being repurchased by the Company after the Maturity Date of such Purchased Receivable, together with interest thereon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7" w:right="239" w:bottom="1440" w:gutter="0" w:footer="0" w:header="0"/>
        </w:sectPr>
      </w:pPr>
    </w:p>
    <w:bookmarkStart w:id="139" w:name="page140"/>
    <w:bookmarkEnd w:id="139"/>
    <w:p>
      <w:pPr>
        <w:jc w:val="both"/>
        <w:spacing w:after="0" w:line="294" w:lineRule="auto"/>
        <w:rPr>
          <w:sz w:val="20"/>
          <w:szCs w:val="20"/>
          <w:color w:val="auto"/>
        </w:rPr>
      </w:pPr>
      <w:r>
        <w:rPr>
          <w:rFonts w:ascii="Arial" w:cs="Arial" w:eastAsia="Arial" w:hAnsi="Arial"/>
          <w:sz w:val="19"/>
          <w:szCs w:val="19"/>
          <w:color w:val="auto"/>
        </w:rPr>
        <w:t>at the interest rate specified in Section 7.6 from the due date to the date of the Company’ payment in full thereof, and any other amounts then payable by the Company hereunder including breakage costs under Section 7.4, whereupon such amount shall become due and payable from the Company to the Banks on the date specified in such notice and shall be paid into an account specified by the Administrative Agent. On receipt of all amounts referred to above, the Banks shall (at the cost and expense of the Company) execute such documents as may be necessary to re-assign the applicable Purchased Receivables without recourse, representation or warranty (except as to the title thereto by the Banks), to the Company.</w:t>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i w:val="1"/>
          <w:iCs w:val="1"/>
          <w:color w:val="auto"/>
        </w:rPr>
        <w:t>Section 5.2. True Sale</w:t>
      </w:r>
      <w:r>
        <w:rPr>
          <w:rFonts w:ascii="Arial" w:cs="Arial" w:eastAsia="Arial" w:hAnsi="Arial"/>
          <w:sz w:val="19"/>
          <w:szCs w:val="19"/>
          <w:color w:val="auto"/>
        </w:rPr>
        <w:t>. It is the intention of the parties hereto that each purchase made hereunder shall constitute a sale and</w:t>
      </w:r>
      <w:r>
        <w:rPr>
          <w:rFonts w:ascii="Arial" w:cs="Arial" w:eastAsia="Arial" w:hAnsi="Arial"/>
          <w:sz w:val="19"/>
          <w:szCs w:val="19"/>
          <w:i w:val="1"/>
          <w:iCs w:val="1"/>
          <w:color w:val="auto"/>
        </w:rPr>
        <w:t xml:space="preserve"> </w:t>
      </w:r>
      <w:r>
        <w:rPr>
          <w:rFonts w:ascii="Arial" w:cs="Arial" w:eastAsia="Arial" w:hAnsi="Arial"/>
          <w:sz w:val="19"/>
          <w:szCs w:val="19"/>
          <w:color w:val="auto"/>
        </w:rPr>
        <w:t>assignment of the related Purchased Receivable (and not merely a pledge), which sale and assignment is absolute, irrevocable and without recourse except as set forth in Sections 4.5(e), 5.1, 7.2, 7.4, 8, 15 and 18.5 and shall provide the Banks with the full benefits of ownership of such Purchased Receivable. In the event that, notwithstanding the intent of the parties, such purchase is deemed by a court of competent jurisdiction to constitute a pledge rather than a sale and assignment, the Company does hereby grant to the Administrative Agent, for the benefit of the Banks, in order to secure all the obligations of the Company to the Banks and the Administrative Agent hereunder, a first priority security interest in, to and on, the Purchased Receivables and the products and proceeds thereof including, without limitation, all Collections, all Trade Credit Amounts, all Related Assets and all other monies, instruments, securities, documents, investment property, financial assets and other property related to the Purchased Receivables from time to time on deposit in or credited to the Blocked Accounts or any other accounts and all other such property relating to the Purchased Receivables or any of them, and, in connection therewith, the Company hereby authorizes the Administrative Agent to file UCC financing statements with respect to the transactions contemplated hereby, together with any amendments relating thereto.</w:t>
      </w:r>
    </w:p>
    <w:p>
      <w:pPr>
        <w:spacing w:after="0" w:line="200" w:lineRule="exact"/>
        <w:rPr>
          <w:sz w:val="20"/>
          <w:szCs w:val="20"/>
          <w:color w:val="auto"/>
        </w:rPr>
      </w:pPr>
    </w:p>
    <w:p>
      <w:pPr>
        <w:spacing w:after="0" w:line="3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THE COMPANY AS SERVICER AND AGENT OF BANKS.</w:t>
      </w:r>
    </w:p>
    <w:p>
      <w:pPr>
        <w:spacing w:after="0" w:line="22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i w:val="1"/>
          <w:iCs w:val="1"/>
          <w:color w:val="auto"/>
        </w:rPr>
        <w:t>Section 6.1. Appointment of Servicer</w:t>
      </w:r>
      <w:r>
        <w:rPr>
          <w:rFonts w:ascii="Arial" w:cs="Arial" w:eastAsia="Arial" w:hAnsi="Arial"/>
          <w:sz w:val="19"/>
          <w:szCs w:val="19"/>
          <w:color w:val="auto"/>
        </w:rPr>
        <w:t>. Notwithstanding the sale of Purchased Receivables pursuant to this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shall continue to be responsible for the servicing and administration of the Purchased Receivables sold by it as agent and trustee for the Banks, all on the terms set out in this Agreement and subject to the right of the Banks to terminate the Company as servicer, agent and trustee pursuant to this Agreement at any time following the occurrence of a Termination Event, subject to the termination provisions of Section 6.3. In its capacity as servicer, the Company shall:</w:t>
      </w:r>
    </w:p>
    <w:p>
      <w:pPr>
        <w:spacing w:after="0" w:line="147" w:lineRule="exact"/>
        <w:rPr>
          <w:sz w:val="20"/>
          <w:szCs w:val="20"/>
          <w:color w:val="auto"/>
        </w:rPr>
      </w:pPr>
    </w:p>
    <w:p>
      <w:pPr>
        <w:ind w:firstLine="1305"/>
        <w:spacing w:after="0" w:line="276" w:lineRule="auto"/>
        <w:tabs>
          <w:tab w:leader="none" w:pos="1784"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direct each Approved Debtor to make all payments on all Receivables, including Purchased Receivables and Receivables not purchased by the Banks, to the Blocked Accounts;</w:t>
      </w:r>
    </w:p>
    <w:p>
      <w:pPr>
        <w:spacing w:after="0" w:line="160" w:lineRule="exact"/>
        <w:rPr>
          <w:rFonts w:ascii="Arial" w:cs="Arial" w:eastAsia="Arial" w:hAnsi="Arial"/>
          <w:sz w:val="22"/>
          <w:szCs w:val="22"/>
          <w:color w:val="auto"/>
        </w:rPr>
      </w:pPr>
    </w:p>
    <w:p>
      <w:pPr>
        <w:ind w:firstLine="1305"/>
        <w:spacing w:after="0" w:line="301" w:lineRule="auto"/>
        <w:tabs>
          <w:tab w:leader="none" w:pos="185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immediately pay over to the Blocked Accounts any Collections of Purchased Receivables received by the Company to the extent received other than in a Blocked Account, which shall be received in trust for the Banks;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7" w:right="239" w:bottom="1440" w:gutter="0" w:footer="0" w:header="0"/>
        </w:sectPr>
      </w:pPr>
    </w:p>
    <w:bookmarkStart w:id="140" w:name="page141"/>
    <w:bookmarkEnd w:id="140"/>
    <w:p>
      <w:pPr>
        <w:jc w:val="both"/>
        <w:ind w:firstLine="1305"/>
        <w:spacing w:after="0" w:line="260" w:lineRule="auto"/>
        <w:tabs>
          <w:tab w:leader="none" w:pos="1770"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promptly upon becoming aware thereof, notify the Administrative Agent (and the Administrative Agent shall promptly notify the Banks upon such notification thereof) in the event that all or any part of any Purchased Receivable is not paid in full within seven (7) Business Days following the Maturity Date thereof;</w:t>
      </w:r>
    </w:p>
    <w:p>
      <w:pPr>
        <w:spacing w:after="0" w:line="177" w:lineRule="exact"/>
        <w:rPr>
          <w:rFonts w:ascii="Arial" w:cs="Arial" w:eastAsia="Arial" w:hAnsi="Arial"/>
          <w:sz w:val="22"/>
          <w:szCs w:val="22"/>
          <w:color w:val="auto"/>
        </w:rPr>
      </w:pPr>
    </w:p>
    <w:p>
      <w:pPr>
        <w:ind w:firstLine="1305"/>
        <w:spacing w:after="0" w:line="276" w:lineRule="auto"/>
        <w:tabs>
          <w:tab w:leader="none" w:pos="17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comply with the terms and provisions of Section 4 hereof with regard to Collections, actions to be taken at each Settlement Date and the purchase at each Bank’s option of Replacement Receivables; and</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838" w:val="left"/>
        </w:tabs>
        <w:numPr>
          <w:ilvl w:val="0"/>
          <w:numId w:val="50"/>
        </w:numPr>
        <w:rPr>
          <w:rFonts w:ascii="Arial" w:cs="Arial" w:eastAsia="Arial" w:hAnsi="Arial"/>
          <w:sz w:val="19"/>
          <w:szCs w:val="19"/>
          <w:color w:val="auto"/>
        </w:rPr>
      </w:pPr>
      <w:r>
        <w:rPr>
          <w:rFonts w:ascii="Arial" w:cs="Arial" w:eastAsia="Arial" w:hAnsi="Arial"/>
          <w:sz w:val="19"/>
          <w:szCs w:val="19"/>
          <w:color w:val="auto"/>
        </w:rPr>
        <w:t>provide the Administrative Agent (for prompt distribution to the Banks) with a weekly reconciliation and Portfolio Report setting forth the list of Purchased Receivables and reconciling Collections made to the Blocked Accounts pursuant to paragraph (a) above in form and in substance as agreed upon between the Administrative Agent, the Banks and the Company.</w:t>
      </w:r>
    </w:p>
    <w:p>
      <w:pPr>
        <w:spacing w:after="0" w:line="12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i w:val="1"/>
          <w:iCs w:val="1"/>
          <w:color w:val="auto"/>
        </w:rPr>
        <w:t>Section 6.2. Agency</w:t>
      </w:r>
      <w:r>
        <w:rPr>
          <w:rFonts w:ascii="Arial" w:cs="Arial" w:eastAsia="Arial" w:hAnsi="Arial"/>
          <w:sz w:val="22"/>
          <w:szCs w:val="22"/>
          <w:color w:val="auto"/>
        </w:rPr>
        <w:t>. All products or proceeds (including Collections) of any Purchased Receivable received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(or the Company's agent) shall be held by the Company (or the Company's agent) in trust for the Administrative Agent and the Banks.</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i w:val="1"/>
          <w:iCs w:val="1"/>
          <w:color w:val="auto"/>
        </w:rPr>
        <w:t>Section 6.3. Termination of Appointment</w:t>
      </w:r>
      <w:r>
        <w:rPr>
          <w:rFonts w:ascii="Arial" w:cs="Arial" w:eastAsia="Arial" w:hAnsi="Arial"/>
          <w:sz w:val="19"/>
          <w:szCs w:val="19"/>
          <w:color w:val="auto"/>
        </w:rPr>
        <w:t>. The Administrative Agent may, and at the request of the Required Banks,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at any time following the occurrence of a Termination Event, or, immediately if upon the bankruptcy or insolvency of the Company or the Parent (however evidenced), (i) at its discretion give notice to each Debtor and take any lawful action to collect any Purchased Receivable sold from the Company directly from the respective Debtor and (ii) by notice in writing terminate the appointment of the Company as the Banks’ servicer and agent for the servicing of Purchased Receivables, in which case the Company undertakes to the Administrative Agent and the Banks not to interfere with such servicing or collection of any Purchased Receivable nor attempt to receive, nor itself make collection from the Debtor in respect of such Purchased Receivables. The Company shall have the option to repurchase all, or any portion of, Purchased Receivables sold by it upon any termination of the Company as servicer at the Repurchase Price as set forth in Section 21.1, provided no bankruptcy or insolvency (however evidenced) has occurred with respect to the Company or the Parent. The Company hereby grants and conveys to the Administrative Agent on behalf of the Banks an irrevocable power of attorney (coupled with an interest) authorizing and permitting the Administrative Agent, at its option, with or without notice to the Company, to do any one of the following: (a) endorsing the name of the Company upon any checks or other Receivables, (b) endorsing the name of the Company on any freight or express bill or bill of lading relating to any Purchased Receivables; (c) taking all action as the Administrative Agent deems appropriate, including, without limitation, the execution and filing of financing statements in the name of and on behalf of the Company to perfect any of the security interests granted to the Administrative Agent, for the benefit of the Banks, herein; </w:t>
      </w:r>
      <w:r>
        <w:rPr>
          <w:rFonts w:ascii="Arial" w:cs="Arial" w:eastAsia="Arial" w:hAnsi="Arial"/>
          <w:sz w:val="19"/>
          <w:szCs w:val="19"/>
          <w:u w:val="single" w:color="auto"/>
          <w:color w:val="auto"/>
        </w:rPr>
        <w:t>provided</w:t>
      </w:r>
      <w:r>
        <w:rPr>
          <w:rFonts w:ascii="Arial" w:cs="Arial" w:eastAsia="Arial" w:hAnsi="Arial"/>
          <w:sz w:val="19"/>
          <w:szCs w:val="19"/>
          <w:color w:val="auto"/>
        </w:rPr>
        <w:t>, unless and until a Termination Event shall have occurred, the Administrative Agent shall not exercise such power of attorney. The Company agrees that neither the Administrative Agent, any Bank nor the attorney-in-fact will be liable for any acts of commission or omission nor for any error of judgment or mistake of fact or law except to the extent the same constitutes gross negligence or willful misconduct. Without limiting the foregoing, in the event that a Debtor Default Event shall occur with respect to any Approved Debtor, the Administrative Agent and the Banks shall have the rights and remedies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7" w:right="239" w:bottom="1440" w:gutter="0" w:footer="0" w:header="0"/>
        </w:sectPr>
      </w:pPr>
    </w:p>
    <w:bookmarkStart w:id="141" w:name="page142"/>
    <w:bookmarkEnd w:id="141"/>
    <w:p>
      <w:pPr>
        <w:jc w:val="both"/>
        <w:spacing w:after="0" w:line="250" w:lineRule="auto"/>
        <w:rPr>
          <w:sz w:val="20"/>
          <w:szCs w:val="20"/>
          <w:color w:val="auto"/>
        </w:rPr>
      </w:pPr>
      <w:r>
        <w:rPr>
          <w:rFonts w:ascii="Arial" w:cs="Arial" w:eastAsia="Arial" w:hAnsi="Arial"/>
          <w:sz w:val="22"/>
          <w:szCs w:val="22"/>
          <w:color w:val="auto"/>
        </w:rPr>
        <w:t>as set forth in this Section 6.3 with respect to the Purchased Receivables of such Approved Debtor, and (i) references in this Section 6.3 to “Purchased Receivables” shall be deemed to be to the Purchased Receivables of such Approved Debtor, and (ii) references in this Section 6.3 to the “Termination Date” shall be deemed to be to the determination date of the occurrence of such Debtor Default Event.</w:t>
      </w: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PAYMENTS.</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7.1.</w:t>
      </w:r>
      <w:r>
        <w:rPr>
          <w:sz w:val="20"/>
          <w:szCs w:val="20"/>
          <w:color w:val="auto"/>
        </w:rPr>
        <w:tab/>
      </w:r>
      <w:r>
        <w:rPr>
          <w:rFonts w:ascii="Arial" w:cs="Arial" w:eastAsia="Arial" w:hAnsi="Arial"/>
          <w:sz w:val="19"/>
          <w:szCs w:val="19"/>
          <w:i w:val="1"/>
          <w:iCs w:val="1"/>
          <w:color w:val="auto"/>
        </w:rPr>
        <w:t>Place and Time.</w:t>
      </w:r>
    </w:p>
    <w:p>
      <w:pPr>
        <w:spacing w:after="0" w:line="233"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7.1.1 All payments to be made by the Company to the Banks pursuant to this Agreement shall be made on the date such amount is due by not later than 12:00 p.m. New York time to the Payment Account, or such other account as may be specified by the Administrative Agent. The Administrative Agent shall promptly distribute to each Bank, at such address as such Bank shall indicate in writing, such Bank’s applicable Pro Rata Share of all such payments to the extent received by the Administrative Agent.</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7.1.2 All payments to be made by the Administrative Agent and/or the Banks pursuant to this Agreement shall be made on the date such amount is due by not later than 4:00 p.m. New York Time to the account of the Company notified to the Administrative Agent by the Company.</w:t>
      </w:r>
    </w:p>
    <w:p>
      <w:pPr>
        <w:spacing w:after="0" w:line="17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7.2.</w:t>
      </w:r>
      <w:r>
        <w:rPr>
          <w:sz w:val="20"/>
          <w:szCs w:val="20"/>
          <w:color w:val="auto"/>
        </w:rPr>
        <w:tab/>
      </w:r>
      <w:r>
        <w:rPr>
          <w:rFonts w:ascii="Arial" w:cs="Arial" w:eastAsia="Arial" w:hAnsi="Arial"/>
          <w:sz w:val="19"/>
          <w:szCs w:val="19"/>
          <w:i w:val="1"/>
          <w:iCs w:val="1"/>
          <w:color w:val="auto"/>
        </w:rPr>
        <w:t>Taxes: Deduction; Withholding; Grossing Up.</w:t>
      </w:r>
    </w:p>
    <w:p>
      <w:pPr>
        <w:spacing w:after="0" w:line="233"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7.2.1 Any and all payments by the Company to or for the account of any Bank under any Transaction Document shall be made free and clear of and without deduction for any Taxes or Other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for this purpose, such Taxes or Other Taxes shall not include (i) overall income taxes (however determined), franchise taxes, or branch profits taxes, in each case, imposed on any Bank by the United States, the jurisdiction under whose laws such Bank is organized, the jurisdiction of such Bank’s principal place of business or the jurisdiction in which such Bank holds Receivables, or any political subdivision thereof; (ii) any backup withholding that is required by the Code to be withheld from amounts payable to any Bank that has failed to comply with Section 7.2.5, (iii) any United States withholding tax imposed with respect to any payment by the Company pursuant to any Transaction Document, but only up to the rate (if any) at which United States withholding tax would apply to such payments to such Bank at the time such Bank first becomes a party to this Agreement as more fully set forth in Section 7.2.5(b)(iv), and (iv) any and all taxes imposed pursuant to or as a result of Section 1471 through 1474 of the Code and any applicable Treasury Regulations promulgated thereunder or published administrative guidance implementing such Code sections, whether in existence on the date hereof or promulgated or published hereafter (“</w:t>
      </w:r>
      <w:r>
        <w:rPr>
          <w:rFonts w:ascii="Arial" w:cs="Arial" w:eastAsia="Arial" w:hAnsi="Arial"/>
          <w:sz w:val="19"/>
          <w:szCs w:val="19"/>
          <w:i w:val="1"/>
          <w:iCs w:val="1"/>
          <w:color w:val="auto"/>
        </w:rPr>
        <w:t>FATCA</w:t>
      </w:r>
      <w:r>
        <w:rPr>
          <w:rFonts w:ascii="Arial" w:cs="Arial" w:eastAsia="Arial" w:hAnsi="Arial"/>
          <w:sz w:val="19"/>
          <w:szCs w:val="19"/>
          <w:color w:val="auto"/>
        </w:rPr>
        <w:t>”) (all such Taxes other than those referred to in the provisos</w:t>
      </w:r>
    </w:p>
    <w:p>
      <w:pPr>
        <w:spacing w:after="0" w:line="8" w:lineRule="exact"/>
        <w:rPr>
          <w:sz w:val="20"/>
          <w:szCs w:val="20"/>
          <w:color w:val="auto"/>
        </w:rPr>
      </w:pPr>
    </w:p>
    <w:p>
      <w:pPr>
        <w:jc w:val="both"/>
        <w:ind w:firstLine="8"/>
        <w:spacing w:after="0" w:line="258" w:lineRule="auto"/>
        <w:tabs>
          <w:tab w:leader="none" w:pos="272"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through (iv) above shall hereinafter be referred to as “</w:t>
      </w:r>
      <w:r>
        <w:rPr>
          <w:rFonts w:ascii="Arial" w:cs="Arial" w:eastAsia="Arial" w:hAnsi="Arial"/>
          <w:sz w:val="21"/>
          <w:szCs w:val="21"/>
          <w:i w:val="1"/>
          <w:iCs w:val="1"/>
          <w:color w:val="auto"/>
        </w:rPr>
        <w:t>Indemnified Taxes</w:t>
      </w:r>
      <w:r>
        <w:rPr>
          <w:rFonts w:ascii="Arial" w:cs="Arial" w:eastAsia="Arial" w:hAnsi="Arial"/>
          <w:sz w:val="21"/>
          <w:szCs w:val="21"/>
          <w:color w:val="auto"/>
        </w:rPr>
        <w:t>”). If the Company shall be required by law to deduct any Indemnified Taxes from or in respect of any sum payable hereunder to any Bank, then (A) the sum payable shall be increased by the amount necessary to yield to such Bank (after payment of all Taxes) an amount equal to the sum it would have received had no such deductions been made, (B) the Company shall make such deductions, and (C) the Company shall pay the amount deducted to the relevant taxation authority or other authority in accordance with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7" w:right="239" w:bottom="1440" w:gutter="0" w:footer="0" w:header="0"/>
        </w:sectPr>
      </w:pPr>
    </w:p>
    <w:bookmarkStart w:id="142" w:name="page143"/>
    <w:bookmarkEnd w:id="142"/>
    <w:p>
      <w:pPr>
        <w:jc w:val="both"/>
        <w:spacing w:after="0" w:line="302" w:lineRule="auto"/>
        <w:rPr>
          <w:sz w:val="20"/>
          <w:szCs w:val="20"/>
          <w:color w:val="auto"/>
        </w:rPr>
      </w:pPr>
      <w:r>
        <w:rPr>
          <w:rFonts w:ascii="Arial" w:cs="Arial" w:eastAsia="Arial" w:hAnsi="Arial"/>
          <w:sz w:val="19"/>
          <w:szCs w:val="19"/>
          <w:color w:val="auto"/>
        </w:rPr>
        <w:t>applicable law. Further, if Company is required by law to deduct any Taxes other than Indemnified Taxes from or in respect of any sum payable hereunder to any Bank, then (A) Company shall make such deductions, (B) the Company shall pay the amount deducted to the relevant taxation authority or other authority in accordance with applicable law, and (C) the amounts so deducted and paid to the relevant taxation authority shall be treated under this Agreement as made to such Bank.</w:t>
      </w:r>
    </w:p>
    <w:p>
      <w:pPr>
        <w:spacing w:after="0" w:line="14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7.2.2 If the Company shall be required by law to deduct any Taxes or Other Taxes (whether or not Indemnified Taxes) from or in respect of any sum payable hereunder to any Bank, as promptly as possible thereafter, the Company shall send to the Administrative Agent and the affected Bank, a certified copy of an original official receipt showing payment thereof or such other evidence of such payment as may be available to the Company and acceptable to the taxing authorities having jurisdiction over such Bank. If the Company fails to pay any Taxes or Other Taxes so deducted when due to the appropriate taxing authority or fails to remit to the affected Bank the required receipts or other required documentary evidence, the Company shall indemnify the affected Bank, as applicable, for any incremental Taxes, interest or penalties that may become payable by such party as a result of any such failure.</w:t>
      </w:r>
    </w:p>
    <w:p>
      <w:pPr>
        <w:spacing w:after="0" w:line="18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7.2.3 The Company shall indemnify each Bank, within twenty (20) Business Days after written demand therefor, for the full amount of any Indemnified Taxes paid by such Bank on or with respect to any payment by or on account of any obligation of the Company hereunder (including Indemnified Taxes imposed or asserted on or attributable to amounts payable under this Section 7.2) and any penalties, interest and reasonable expenses arising therefrom or with respect thereto. Such demand shall be made as promptly as practicable, but in any event within 90 days after such affected Bank obtains actual knowledge of such event; provided, however, that if an affected Bank fails to make such demand within 90 days after such affected Bank obtains knowledge of such event, such affected Bank shall, with respect to compensation payable in respect of such event, not be entitled to compensation in respect of the costs and losses incurred between the 90th day after such affected Bank obtains actual knowledge of such event and the date such affected Bank makes such demand.</w:t>
      </w:r>
    </w:p>
    <w:p>
      <w:pPr>
        <w:spacing w:after="0" w:line="15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7.2.4 If any Bank determines, in its sole discretion, that it has received a refund or credit of any Taxes or Other Taxes as to which it has been indemnified by the Company, it shall pay over such refund or credit to the Company (but only to the extent of indemnity payments made, or additional amounts paid, by the Company under this Section 7.2 with respect to the Taxes or Other Taxes giving rise to such refund), net of all out-of-pocket expenses of such Bank and without interest (other than any interest paid by the relevant Governmental Authority with respect to such refund net of any applicable Taxes payable in respect of such interest); </w:t>
      </w:r>
      <w:r>
        <w:rPr>
          <w:rFonts w:ascii="Arial" w:cs="Arial" w:eastAsia="Arial" w:hAnsi="Arial"/>
          <w:sz w:val="21"/>
          <w:szCs w:val="21"/>
          <w:i w:val="1"/>
          <w:iCs w:val="1"/>
          <w:color w:val="auto"/>
        </w:rPr>
        <w:t>provided</w:t>
      </w:r>
      <w:r>
        <w:rPr>
          <w:rFonts w:ascii="Arial" w:cs="Arial" w:eastAsia="Arial" w:hAnsi="Arial"/>
          <w:sz w:val="21"/>
          <w:szCs w:val="21"/>
          <w:color w:val="auto"/>
        </w:rPr>
        <w:t>, that the Company agrees to repay each such Bank, within ten (10) Business Days after the request of such Bank, the amount paid over to the Company (plus any penalties, interest or other charges imposed by the relevant Governmental Authority) in the event such Bank is required to repay such refund to such Governmental Authority. This Section 7.2 shall not be construed to require any Bank to make available its tax returns (or any other information relating to its Taxes which it deems confidential) to the Company or any other Person.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7" w:right="239" w:bottom="1440" w:gutter="0" w:footer="0" w:header="0"/>
        </w:sectPr>
      </w:pPr>
    </w:p>
    <w:bookmarkStart w:id="143" w:name="page144"/>
    <w:bookmarkEnd w:id="143"/>
    <w:p>
      <w:pPr>
        <w:jc w:val="both"/>
        <w:ind w:firstLine="1297"/>
        <w:spacing w:after="0" w:line="261" w:lineRule="auto"/>
        <w:rPr>
          <w:sz w:val="20"/>
          <w:szCs w:val="20"/>
          <w:color w:val="auto"/>
        </w:rPr>
      </w:pPr>
      <w:r>
        <w:rPr>
          <w:rFonts w:ascii="Arial" w:cs="Arial" w:eastAsia="Arial" w:hAnsi="Arial"/>
          <w:sz w:val="21"/>
          <w:szCs w:val="21"/>
          <w:color w:val="auto"/>
        </w:rPr>
        <w:t>7.2.5 (a) Each Bank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to determine (x) whether or not payments made under any Transaction Document are subject to Taxes, (y) if applicable, the required rate of withholding or deduction, and (z) such Bank’s entitlement to any available exemption from, or reduction of, applicable Taxes in respect of all payments to be made to such Bank by the Company pursuant to this Agreement or otherwise to establish such Bank’s status for withholding tax purposes in the applicable jurisdiction.</w:t>
      </w:r>
    </w:p>
    <w:p>
      <w:pPr>
        <w:spacing w:after="0" w:line="181" w:lineRule="exact"/>
        <w:rPr>
          <w:sz w:val="20"/>
          <w:szCs w:val="20"/>
          <w:color w:val="auto"/>
        </w:rPr>
      </w:pPr>
    </w:p>
    <w:p>
      <w:pPr>
        <w:ind w:left="1740" w:hanging="435"/>
        <w:spacing w:after="0"/>
        <w:tabs>
          <w:tab w:leader="none" w:pos="17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33" w:lineRule="exact"/>
        <w:rPr>
          <w:rFonts w:ascii="Arial" w:cs="Arial" w:eastAsia="Arial" w:hAnsi="Arial"/>
          <w:sz w:val="22"/>
          <w:szCs w:val="22"/>
          <w:color w:val="auto"/>
        </w:rPr>
      </w:pPr>
    </w:p>
    <w:p>
      <w:pPr>
        <w:jc w:val="both"/>
        <w:ind w:left="660" w:firstLine="1293"/>
        <w:spacing w:after="0" w:line="264" w:lineRule="auto"/>
        <w:tabs>
          <w:tab w:leader="none" w:pos="2381" w:val="left"/>
        </w:tabs>
        <w:numPr>
          <w:ilvl w:val="2"/>
          <w:numId w:val="52"/>
        </w:numPr>
        <w:rPr>
          <w:rFonts w:ascii="Arial" w:cs="Arial" w:eastAsia="Arial" w:hAnsi="Arial"/>
          <w:sz w:val="21"/>
          <w:szCs w:val="21"/>
          <w:color w:val="auto"/>
        </w:rPr>
      </w:pPr>
      <w:r>
        <w:rPr>
          <w:rFonts w:ascii="Arial" w:cs="Arial" w:eastAsia="Arial" w:hAnsi="Arial"/>
          <w:sz w:val="21"/>
          <w:szCs w:val="21"/>
          <w:color w:val="auto"/>
        </w:rPr>
        <w:t>any Bank that is a “United States Person” within the meaning of Section 7701(a)(30) of the Code, and not an exempt recipient described in Section 6049(b)(4) of the Code, shall deliver to the Company and the Administrative Agent executed originals of Internal Revenue Service Form W-9 or such other documentation or information prescribed by applicable laws or reasonably requested by the Company or the Administrative Agent as will enable the Company or the Administrative Agent, as the case may be, to determine whether or not such Administrative Agent and/or any Bank is subject to backup withholding or information reporting requirements; and</w:t>
      </w:r>
    </w:p>
    <w:p>
      <w:pPr>
        <w:spacing w:after="0" w:line="175" w:lineRule="exact"/>
        <w:rPr>
          <w:rFonts w:ascii="Arial" w:cs="Arial" w:eastAsia="Arial" w:hAnsi="Arial"/>
          <w:sz w:val="21"/>
          <w:szCs w:val="21"/>
          <w:color w:val="auto"/>
        </w:rPr>
      </w:pPr>
    </w:p>
    <w:p>
      <w:pPr>
        <w:jc w:val="both"/>
        <w:ind w:left="660" w:firstLine="1293"/>
        <w:spacing w:after="0" w:line="284" w:lineRule="auto"/>
        <w:tabs>
          <w:tab w:leader="none" w:pos="2401" w:val="left"/>
        </w:tabs>
        <w:numPr>
          <w:ilvl w:val="2"/>
          <w:numId w:val="52"/>
        </w:numPr>
        <w:rPr>
          <w:rFonts w:ascii="Arial" w:cs="Arial" w:eastAsia="Arial" w:hAnsi="Arial"/>
          <w:sz w:val="19"/>
          <w:szCs w:val="19"/>
          <w:color w:val="auto"/>
        </w:rPr>
      </w:pPr>
      <w:r>
        <w:rPr>
          <w:rFonts w:ascii="Arial" w:cs="Arial" w:eastAsia="Arial" w:hAnsi="Arial"/>
          <w:sz w:val="19"/>
          <w:szCs w:val="19"/>
          <w:color w:val="auto"/>
        </w:rPr>
        <w:t>each Bank that is organized under the laws of a jurisdiction other than the United States (including each State thereof and the District of Columbia) (a “Foreign Bank”) that is entitled under the Code or any applicable treaty to an exemption from or reduction of withholding tax with respect to payments hereunder shall deliver to the Company and the Administrative Agent (in such number of copies as shall be reasonably requested by the recipient) on or prior to the date on which such Foreign Bank becomes a Bank under this Agreement (and from time to time thereafter upon the request of the Company or the Administrative Agent, but only if such Foreign Bank is legally entitled to do so), whichever of the following is applicable (I) executed originals of Internal Revenue Service Form W-8BEN claiming eligibility for benefits of an income tax treaty to which the United States is a party, (II) executed originals of Internal Revenue Service Form W-8ECI, (III) executed originals of Internal Revenue Service Form W-8IMY and all required supporting documentation, (IV) in the case of a Foreign Bank claiming the benefits of the exemption for portfolio interest under section 881(c) of the Internal Revenue Code, (x) a certificate to the effect that such Foreign Bank is not (A) a “bank” within the meaning of section 881(c)(3)(A) of the Code, (B) a “10 percent shareholder” of the Company within the meaning of section 881(c)(3)</w:t>
      </w:r>
    </w:p>
    <w:p>
      <w:pPr>
        <w:spacing w:after="0" w:line="8" w:lineRule="exact"/>
        <w:rPr>
          <w:rFonts w:ascii="Arial" w:cs="Arial" w:eastAsia="Arial" w:hAnsi="Arial"/>
          <w:sz w:val="19"/>
          <w:szCs w:val="19"/>
          <w:color w:val="auto"/>
        </w:rPr>
      </w:pPr>
    </w:p>
    <w:p>
      <w:pPr>
        <w:jc w:val="both"/>
        <w:ind w:left="660" w:hanging="4"/>
        <w:spacing w:after="0" w:line="258" w:lineRule="auto"/>
        <w:tabs>
          <w:tab w:leader="none" w:pos="1015" w:val="left"/>
        </w:tabs>
        <w:numPr>
          <w:ilvl w:val="0"/>
          <w:numId w:val="53"/>
        </w:numPr>
        <w:rPr>
          <w:rFonts w:ascii="Arial" w:cs="Arial" w:eastAsia="Arial" w:hAnsi="Arial"/>
          <w:sz w:val="21"/>
          <w:szCs w:val="21"/>
          <w:color w:val="auto"/>
        </w:rPr>
      </w:pPr>
      <w:r>
        <w:rPr>
          <w:rFonts w:ascii="Arial" w:cs="Arial" w:eastAsia="Arial" w:hAnsi="Arial"/>
          <w:sz w:val="21"/>
          <w:szCs w:val="21"/>
          <w:color w:val="auto"/>
        </w:rPr>
        <w:t>of the Code, or (C) a “controlled foreign corporation” described in section 881(c)(3)(C) of the Code, and (y) executed originals of Internal Revenue Service Form W-8BEN, or (V) executed originals of any other form prescribed by applicable laws as a basis for claiming exemption from or a reduction in United States Federal withholding tax together with such supplementary documentation as may be prescribed by applicable laws to permit the Company or the Administrative Agent to determine the withholding or deduction required to be made.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7" w:right="239" w:bottom="1440" w:gutter="0" w:footer="0" w:header="0"/>
        </w:sectPr>
      </w:pPr>
    </w:p>
    <w:bookmarkStart w:id="144" w:name="page145"/>
    <w:bookmarkEnd w:id="144"/>
    <w:p>
      <w:pPr>
        <w:jc w:val="both"/>
        <w:ind w:left="660" w:firstLine="1293"/>
        <w:spacing w:after="0" w:line="293" w:lineRule="auto"/>
        <w:tabs>
          <w:tab w:leader="none" w:pos="2515" w:val="left"/>
        </w:tabs>
        <w:numPr>
          <w:ilvl w:val="2"/>
          <w:numId w:val="54"/>
        </w:numPr>
        <w:rPr>
          <w:rFonts w:ascii="Arial" w:cs="Arial" w:eastAsia="Arial" w:hAnsi="Arial"/>
          <w:sz w:val="19"/>
          <w:szCs w:val="19"/>
          <w:color w:val="auto"/>
        </w:rPr>
      </w:pPr>
      <w:r>
        <w:rPr>
          <w:rFonts w:ascii="Arial" w:cs="Arial" w:eastAsia="Arial" w:hAnsi="Arial"/>
          <w:sz w:val="19"/>
          <w:szCs w:val="19"/>
          <w:color w:val="auto"/>
        </w:rPr>
        <w:t>Each Bank shall deliver to the Company and the Administrative Agent such other tax forms or other documents as shall be prescribed by applicable law, to the extent applicable, (x) to demonstrate that payments to such Bank under any Transaction Document are exempt from any United States withholding tax imposed pursuant to FATCA, and</w:t>
      </w:r>
    </w:p>
    <w:p>
      <w:pPr>
        <w:spacing w:after="0" w:line="1" w:lineRule="exact"/>
        <w:rPr>
          <w:rFonts w:ascii="Arial" w:cs="Arial" w:eastAsia="Arial" w:hAnsi="Arial"/>
          <w:sz w:val="19"/>
          <w:szCs w:val="19"/>
          <w:color w:val="auto"/>
        </w:rPr>
      </w:pPr>
    </w:p>
    <w:p>
      <w:pPr>
        <w:jc w:val="both"/>
        <w:ind w:left="660" w:hanging="4"/>
        <w:spacing w:after="0" w:line="258" w:lineRule="auto"/>
        <w:tabs>
          <w:tab w:leader="none" w:pos="981" w:val="left"/>
        </w:tabs>
        <w:numPr>
          <w:ilvl w:val="0"/>
          <w:numId w:val="55"/>
        </w:numPr>
        <w:rPr>
          <w:rFonts w:ascii="Arial" w:cs="Arial" w:eastAsia="Arial" w:hAnsi="Arial"/>
          <w:sz w:val="21"/>
          <w:szCs w:val="21"/>
          <w:color w:val="auto"/>
        </w:rPr>
      </w:pPr>
      <w:r>
        <w:rPr>
          <w:rFonts w:ascii="Arial" w:cs="Arial" w:eastAsia="Arial" w:hAnsi="Arial"/>
          <w:sz w:val="21"/>
          <w:szCs w:val="21"/>
          <w:color w:val="auto"/>
        </w:rPr>
        <w:t>to allow the Company and Administrative Agent to determine the amount to deduct or withhold under FATCA from a payment under any Transaction Document. Each Bank further agrees to complete and to deliver to the Company and the Administrative Agent from time to time, so long as it is eligible to do so, any successor or additional form required by the Internal Revenue Service or reasonably requested by the Company in order to secure an exemption from, or reduction in the rate of, withholding tax imposed pursuant to FATCA.</w:t>
      </w:r>
    </w:p>
    <w:p>
      <w:pPr>
        <w:spacing w:after="0" w:line="183" w:lineRule="exact"/>
        <w:rPr>
          <w:rFonts w:ascii="Arial" w:cs="Arial" w:eastAsia="Arial" w:hAnsi="Arial"/>
          <w:sz w:val="21"/>
          <w:szCs w:val="21"/>
          <w:color w:val="auto"/>
        </w:rPr>
      </w:pPr>
    </w:p>
    <w:p>
      <w:pPr>
        <w:ind w:right="20" w:firstLine="1305"/>
        <w:spacing w:after="0" w:line="276" w:lineRule="auto"/>
        <w:tabs>
          <w:tab w:leader="none" w:pos="1783" w:val="left"/>
        </w:tabs>
        <w:numPr>
          <w:ilvl w:val="1"/>
          <w:numId w:val="55"/>
        </w:numPr>
        <w:rPr>
          <w:rFonts w:ascii="Arial" w:cs="Arial" w:eastAsia="Arial" w:hAnsi="Arial"/>
          <w:sz w:val="22"/>
          <w:szCs w:val="22"/>
          <w:color w:val="auto"/>
        </w:rPr>
      </w:pPr>
      <w:r>
        <w:rPr>
          <w:rFonts w:ascii="Arial" w:cs="Arial" w:eastAsia="Arial" w:hAnsi="Arial"/>
          <w:sz w:val="22"/>
          <w:szCs w:val="22"/>
          <w:color w:val="auto"/>
        </w:rPr>
        <w:t>Each Bank shall promptly notify the Company and the Administrative Agent of any change in circumstances which would modify or render invalid any claimed exemption or reduction.</w:t>
      </w:r>
    </w:p>
    <w:p>
      <w:pPr>
        <w:spacing w:after="0" w:line="160" w:lineRule="exact"/>
        <w:rPr>
          <w:rFonts w:ascii="Arial" w:cs="Arial" w:eastAsia="Arial" w:hAnsi="Arial"/>
          <w:sz w:val="22"/>
          <w:szCs w:val="22"/>
          <w:color w:val="auto"/>
        </w:rPr>
      </w:pPr>
    </w:p>
    <w:p>
      <w:pPr>
        <w:jc w:val="both"/>
        <w:ind w:firstLine="1305"/>
        <w:spacing w:after="0" w:line="270" w:lineRule="auto"/>
        <w:tabs>
          <w:tab w:leader="none" w:pos="1716" w:val="left"/>
        </w:tabs>
        <w:numPr>
          <w:ilvl w:val="1"/>
          <w:numId w:val="55"/>
        </w:numPr>
        <w:rPr>
          <w:rFonts w:ascii="Arial" w:cs="Arial" w:eastAsia="Arial" w:hAnsi="Arial"/>
          <w:sz w:val="21"/>
          <w:szCs w:val="21"/>
          <w:color w:val="auto"/>
        </w:rPr>
      </w:pPr>
      <w:r>
        <w:rPr>
          <w:rFonts w:ascii="Arial" w:cs="Arial" w:eastAsia="Arial" w:hAnsi="Arial"/>
          <w:sz w:val="21"/>
          <w:szCs w:val="21"/>
          <w:color w:val="auto"/>
        </w:rPr>
        <w:t>If the form provided by a Bank at the time such Bank first becomes a party to this Agreement indicates a United States interest withholding tax rate in excess of zero, withholding tax at such rate shall be considered excluded from Taxes unless and until such Bank provides the appropriate forms certifying that a lesser rate applies, whereupon withholding tax at such lesser rate only shall be considered excluded from Taxes for periods governed by such form.</w:t>
      </w:r>
    </w:p>
    <w:p>
      <w:pPr>
        <w:spacing w:after="0" w:line="16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7.2.7 For any period with respect to which a Bank has failed to provide the Company and the Administrative Agent with the appropriate form, certificate or other document described in Section 7.2.5 (other than as a result of a change in law occurring after the date such Bank becomes a Bank under this Agreement), such Bank shall not be entitled to gross up under Section 7.2.1 with respect to Taxes imposed by reason of such failure; provided, however, that should a Bank become subject to Taxes because of its failure to deliver a form, certificate or other document required hereunder, the Company shall take such steps at the Bank’s expense as the Bank shall reasonably request to assist the Bank to recover such Taxes.</w:t>
      </w:r>
    </w:p>
    <w:p>
      <w:pPr>
        <w:spacing w:after="0" w:line="147"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7.2.8 Any Bank claiming any additional amounts payable pursuant to this Section 7.2 agrees to use reasonable efforts (consistent with its internal policy and legal and regulatory restrictions) to change the jurisdiction of its lending office if the making of such a change would avoid the need for, or reduce the amount of, any such additional amounts that may thereafter accrue and would not, in the reasonable judgment of such Bank, be otherwise disadvantageous to such Bank.</w:t>
      </w:r>
    </w:p>
    <w:p>
      <w:pPr>
        <w:spacing w:after="0" w:line="1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i w:val="1"/>
          <w:iCs w:val="1"/>
          <w:color w:val="auto"/>
        </w:rPr>
        <w:t>Section 7.3. Payments in Dollars</w:t>
      </w:r>
      <w:r>
        <w:rPr>
          <w:rFonts w:ascii="Arial" w:cs="Arial" w:eastAsia="Arial" w:hAnsi="Arial"/>
          <w:sz w:val="22"/>
          <w:szCs w:val="22"/>
          <w:color w:val="auto"/>
        </w:rPr>
        <w:t>. All payments to be made by the Company and the Debtors in respect of a Purchased</w:t>
      </w:r>
      <w:r>
        <w:rPr>
          <w:rFonts w:ascii="Arial" w:cs="Arial" w:eastAsia="Arial" w:hAnsi="Arial"/>
          <w:sz w:val="22"/>
          <w:szCs w:val="22"/>
          <w:i w:val="1"/>
          <w:iCs w:val="1"/>
          <w:color w:val="auto"/>
        </w:rPr>
        <w:t xml:space="preserve"> </w:t>
      </w:r>
      <w:r>
        <w:rPr>
          <w:rFonts w:ascii="Arial" w:cs="Arial" w:eastAsia="Arial" w:hAnsi="Arial"/>
          <w:sz w:val="22"/>
          <w:szCs w:val="22"/>
          <w:color w:val="auto"/>
        </w:rPr>
        <w:t>Receivable, whether of interest, principal, or otherwise, shall be made in Dollars.</w:t>
      </w:r>
    </w:p>
    <w:p>
      <w:pPr>
        <w:spacing w:after="0" w:line="16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i w:val="1"/>
          <w:iCs w:val="1"/>
          <w:color w:val="auto"/>
        </w:rPr>
        <w:t>Section 7.4. Breakage Cost Indemnity</w:t>
      </w:r>
      <w:r>
        <w:rPr>
          <w:rFonts w:ascii="Arial" w:cs="Arial" w:eastAsia="Arial" w:hAnsi="Arial"/>
          <w:sz w:val="19"/>
          <w:szCs w:val="19"/>
          <w:color w:val="auto"/>
        </w:rPr>
        <w:t>. The Company agrees to indemnify each Bank on demand against any loss or</w:t>
      </w:r>
      <w:r>
        <w:rPr>
          <w:rFonts w:ascii="Arial" w:cs="Arial" w:eastAsia="Arial" w:hAnsi="Arial"/>
          <w:sz w:val="19"/>
          <w:szCs w:val="19"/>
          <w:i w:val="1"/>
          <w:iCs w:val="1"/>
          <w:color w:val="auto"/>
        </w:rPr>
        <w:t xml:space="preserve"> </w:t>
      </w:r>
      <w:r>
        <w:rPr>
          <w:rFonts w:ascii="Arial" w:cs="Arial" w:eastAsia="Arial" w:hAnsi="Arial"/>
          <w:sz w:val="19"/>
          <w:szCs w:val="19"/>
          <w:color w:val="auto"/>
        </w:rPr>
        <w:t>expense (including, but not limited to, any loss of the Applicable Margin or any other loss or expense sustained or incurred or to be sustained or incurred by such Bank in liquidating or employing deposits acquired or contracted for to effect or maintain its acquisition of its Pro Rata Share of Purchased Receivables or any part thereof) which such Bank has sustained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7" w:right="239" w:bottom="1440" w:gutter="0" w:footer="0" w:header="0"/>
        </w:sectPr>
      </w:pPr>
    </w:p>
    <w:bookmarkStart w:id="145" w:name="page146"/>
    <w:bookmarkEnd w:id="145"/>
    <w:p>
      <w:pPr>
        <w:jc w:val="both"/>
        <w:spacing w:after="0" w:line="250" w:lineRule="auto"/>
        <w:rPr>
          <w:sz w:val="20"/>
          <w:szCs w:val="20"/>
          <w:color w:val="auto"/>
        </w:rPr>
      </w:pPr>
      <w:r>
        <w:rPr>
          <w:rFonts w:ascii="Arial" w:cs="Arial" w:eastAsia="Arial" w:hAnsi="Arial"/>
          <w:sz w:val="22"/>
          <w:szCs w:val="22"/>
          <w:color w:val="auto"/>
        </w:rPr>
        <w:t>incurred as a consequence of (i) a purchase of Receivables not being made following the delivery of any Purchase Request to such Bank by reason of the non-fulfillment of any of the conditions precedent or otherwise or (ii) a repurchase of Purchased Receivables by the Company prior to the end of the applicable Settlement Period, other than any such repurchase resulting from a Bank Termination.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i w:val="1"/>
          <w:iCs w:val="1"/>
          <w:color w:val="auto"/>
        </w:rPr>
        <w:t>Section 7.5. Business Days</w:t>
      </w:r>
      <w:r>
        <w:rPr>
          <w:rFonts w:ascii="Arial" w:cs="Arial" w:eastAsia="Arial" w:hAnsi="Arial"/>
          <w:sz w:val="22"/>
          <w:szCs w:val="22"/>
          <w:color w:val="auto"/>
        </w:rPr>
        <w:t>. Any amounts which but for this Section 7.5 would fall due for payment under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on a day other than a Business Day shall be payable on the succeeding Business Day unless such Business Day would fall into a new calendar month, in which case such payment shall be due on the preceding Business Day. Interest calculations shall, where necessary, be adjusted accordingly.</w:t>
      </w:r>
    </w:p>
    <w:p>
      <w:pPr>
        <w:spacing w:after="0" w:line="18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7.6.</w:t>
      </w:r>
      <w:r>
        <w:rPr>
          <w:sz w:val="20"/>
          <w:szCs w:val="20"/>
          <w:color w:val="auto"/>
        </w:rPr>
        <w:tab/>
      </w:r>
      <w:r>
        <w:rPr>
          <w:rFonts w:ascii="Arial" w:cs="Arial" w:eastAsia="Arial" w:hAnsi="Arial"/>
          <w:sz w:val="19"/>
          <w:szCs w:val="19"/>
          <w:i w:val="1"/>
          <w:iCs w:val="1"/>
          <w:color w:val="auto"/>
        </w:rPr>
        <w:t>Default Interest</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7.6.1 In the event that any amount payable by the Company hereunder or under any of the other Transaction Documents (including, without limitation, Collections received by the Company and not paid to the Administrative Agent for the benefit of the Banks when received) remains unpaid for five (5) Business Days after the Administrative Agent, at the request of the Required Banks, provides notice to the Company that such amounts are past due, the Banks shall charge, and the Company shall pay, interest (</w:t>
      </w:r>
      <w:r>
        <w:rPr>
          <w:rFonts w:ascii="Arial" w:cs="Arial" w:eastAsia="Arial" w:hAnsi="Arial"/>
          <w:sz w:val="19"/>
          <w:szCs w:val="19"/>
          <w:i w:val="1"/>
          <w:iCs w:val="1"/>
          <w:color w:val="auto"/>
        </w:rPr>
        <w:t>“Default Interest”</w:t>
      </w:r>
      <w:r>
        <w:rPr>
          <w:rFonts w:ascii="Arial" w:cs="Arial" w:eastAsia="Arial" w:hAnsi="Arial"/>
          <w:sz w:val="19"/>
          <w:szCs w:val="19"/>
          <w:color w:val="auto"/>
        </w:rPr>
        <w:t>) from time to time on any such unpaid amount to the Administrative Agent and/or the Banks during the period from (and including) the due date thereof, but excluding the date payment is received by the Administrative Agent and/or the Banks, as applicable, in full, at a rate equal to the aggregate of (i) the Prime Rate, and (ii) 2.75% per annum.</w:t>
      </w:r>
    </w:p>
    <w:p>
      <w:pPr>
        <w:spacing w:after="0" w:line="15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7.6.2 Such Default Interest shall be payable ON DEMAND and, if no prior demand is made, on the last Business Day of each calendar month. Each of the Administrative Agent and each Bank is authorized to charge any such amount of Default Interest due to any account of the Company on the books of the Administrative Agent or such Bank, as applicable, or any affiliate thereof and to deduct any such amount from any amount which would otherwise be due from the Administrative Agent or such Bank, as applicable, to the Company from time to time under this Agreement.</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i w:val="1"/>
          <w:iCs w:val="1"/>
          <w:color w:val="auto"/>
        </w:rPr>
        <w:t xml:space="preserve">Section 7.7. Ratable Sharing. </w:t>
      </w:r>
      <w:r>
        <w:rPr>
          <w:rFonts w:ascii="Arial" w:cs="Arial" w:eastAsia="Arial" w:hAnsi="Arial"/>
          <w:sz w:val="19"/>
          <w:szCs w:val="19"/>
          <w:color w:val="auto"/>
        </w:rPr>
        <w:t>If any Bank shall, by exercising any right of setoff or counterclaim or otherwise, obtain</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in respect of any Purchased Receivable or other obligations hereunder resulting in such Bank receiving payment of a proportion of the aggregate amount payable under any Purchased Receivable to such Bank greater than its Pro Rata Share thereof as provided herein, then the Bank receiving such greater proportion shall (a) notify the Administrative Agent of such fact, and (b) purchase (for cash) participations in the other Banks’ Pro Rata Shares of the Purchased Receivable (not in excess of the applicable Purchase Price thereof), or make such other adjustments as shall be equitable, so that the benefit of all such payments shall be shared by the Banks ratably in accordance with the aggregate amount owing to them; provided: (i) if any such participations are purchased and all or any portion of the payment giving rise thereto is recovered, such participations shall be rescinded and the purchase price restored to the extent of such recovery, without interest; and (ii) the provisions of this Section 7.7 shall not be construed to apply to (A) any payment made by the Company pursuant to and in accordance with the express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7" w:right="239" w:bottom="1440" w:gutter="0" w:footer="0" w:header="0"/>
        </w:sectPr>
      </w:pPr>
    </w:p>
    <w:bookmarkStart w:id="146" w:name="page147"/>
    <w:bookmarkEnd w:id="146"/>
    <w:p>
      <w:pPr>
        <w:jc w:val="both"/>
        <w:spacing w:after="0" w:line="246" w:lineRule="auto"/>
        <w:rPr>
          <w:sz w:val="20"/>
          <w:szCs w:val="20"/>
          <w:color w:val="auto"/>
        </w:rPr>
      </w:pPr>
      <w:r>
        <w:rPr>
          <w:rFonts w:ascii="Arial" w:cs="Arial" w:eastAsia="Arial" w:hAnsi="Arial"/>
          <w:sz w:val="22"/>
          <w:szCs w:val="22"/>
          <w:color w:val="auto"/>
        </w:rPr>
        <w:t>terms of this Agreement (including the application of funds arising from the existence of a Defaulting Bank), or (B) any payment obtained by a Bank as consideration for the assignment of or sale of a participation in any of its Purchased Receivables to any assignee or participant, other than to any Facility Party (as to which the provisions of this Section shall apply). Each Facility Party consents to the foregoing and agrees, to the extent it may effectively do so under applicable law, that any Bank acquiring a participation pursuant to the foregoing arrangements may exercise against each Facility Party rights of setoff and counterclaim with respect to such participation as fully as if such Bank were a direct creditor of each Facility Party in the amount of such participation.</w:t>
      </w: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CHANGES IN CIRCUMSTANCES.</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8.1.</w:t>
      </w:r>
      <w:r>
        <w:rPr>
          <w:sz w:val="20"/>
          <w:szCs w:val="20"/>
          <w:color w:val="auto"/>
        </w:rPr>
        <w:tab/>
      </w:r>
      <w:r>
        <w:rPr>
          <w:rFonts w:ascii="Arial" w:cs="Arial" w:eastAsia="Arial" w:hAnsi="Arial"/>
          <w:sz w:val="18"/>
          <w:szCs w:val="18"/>
          <w:i w:val="1"/>
          <w:iCs w:val="1"/>
          <w:color w:val="auto"/>
        </w:rPr>
        <w:t>Increased Costs.</w:t>
      </w:r>
    </w:p>
    <w:p>
      <w:pPr>
        <w:spacing w:after="0" w:line="233"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8.1.1 The Company shall, within three Business Days of a demand by any Bank, pay the amount of any Increased Costs incurred by such Bank as a result of (i) the introduction of or any change in (or in the interpretation, administration or application of) any law or regulation or (ii) compliance with any law or regulation made after the date of this Agreement.</w:t>
      </w:r>
    </w:p>
    <w:p>
      <w:pPr>
        <w:spacing w:after="0" w:line="1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8.1.2 In this Agreement </w:t>
      </w:r>
      <w:r>
        <w:rPr>
          <w:rFonts w:ascii="Arial" w:cs="Arial" w:eastAsia="Arial" w:hAnsi="Arial"/>
          <w:sz w:val="19"/>
          <w:szCs w:val="19"/>
          <w:i w:val="1"/>
          <w:iCs w:val="1"/>
          <w:color w:val="auto"/>
        </w:rPr>
        <w:t>“Increased Costs”</w:t>
      </w:r>
      <w:r>
        <w:rPr>
          <w:rFonts w:ascii="Arial" w:cs="Arial" w:eastAsia="Arial" w:hAnsi="Arial"/>
          <w:sz w:val="19"/>
          <w:szCs w:val="19"/>
          <w:color w:val="auto"/>
        </w:rPr>
        <w:t xml:space="preserve"> means (i) a reduction in the rate of return for the applicable Bank from the transactions contemplated in the Transaction Documents or on such Bank’s overall capital; (ii) an additional or increased cost imposed by regulatory or administrative action; (iii) a reduction of any amount due and payable under any Transaction Document or by the Debtor under the Purchased Receivables, which in each case is incurred or suffered by such Bank to the extent that it is attributable to such Bank having entered into any Transaction Document or funding any purchase of Purchased Receivables or being exposed to any Debtor in respect of Purchased Receivables and/or performing any of its obligations under any Transaction Document (without duplication of any amounts referred to in Section 4.4(b)(iii)(B) or the final proviso of Section 4.5(e)); or (iv) costs associated with the implementation and enforcement of the Dodd-Frank Wall Street Reform and Consumer Protection Act, including all requests, rules, guidelines or directives thereunder or issued in connection therewith and all requests, rules, guidelines or directives promulgated by the Bank for International Settlements, the Basel Committee on Banking Supervision (or any successor or similar authority) or the United States or foreign regulatory authorities, in each case pursuant to Basel III.</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8.2.</w:t>
      </w:r>
      <w:r>
        <w:rPr>
          <w:sz w:val="20"/>
          <w:szCs w:val="20"/>
          <w:color w:val="auto"/>
        </w:rPr>
        <w:tab/>
      </w:r>
      <w:r>
        <w:rPr>
          <w:rFonts w:ascii="Arial" w:cs="Arial" w:eastAsia="Arial" w:hAnsi="Arial"/>
          <w:sz w:val="19"/>
          <w:szCs w:val="19"/>
          <w:i w:val="1"/>
          <w:iCs w:val="1"/>
          <w:color w:val="auto"/>
        </w:rPr>
        <w:t>Increased Cost Claims.</w:t>
      </w:r>
    </w:p>
    <w:p>
      <w:pPr>
        <w:spacing w:after="0" w:line="23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8.2.1 If any Bank intends to make a claim pursuant to Section 8.1, it shall notify the Company of the event giving rise to such claim and provide a certificate confirming the amount of its Increased Costs. Failure or delay on the part of any Bank to demand compensation pursuant to Section 8.1 shall not constitute a waiver of such Bank’s right to demand such compensation; </w:t>
      </w:r>
      <w:r>
        <w:rPr>
          <w:rFonts w:ascii="Arial" w:cs="Arial" w:eastAsia="Arial" w:hAnsi="Arial"/>
          <w:sz w:val="22"/>
          <w:szCs w:val="22"/>
          <w:i w:val="1"/>
          <w:iCs w:val="1"/>
          <w:color w:val="auto"/>
        </w:rPr>
        <w:t>provided</w:t>
      </w:r>
      <w:r>
        <w:rPr>
          <w:rFonts w:ascii="Arial" w:cs="Arial" w:eastAsia="Arial" w:hAnsi="Arial"/>
          <w:sz w:val="22"/>
          <w:szCs w:val="22"/>
          <w:color w:val="auto"/>
        </w:rPr>
        <w:t>, that the Company shall not be required to compensate a Bank pursuant to Section 8.1 for any Increased Costs incurred</w:t>
      </w:r>
      <w:r>
        <w:rPr>
          <w:rFonts w:ascii="Arial" w:cs="Arial" w:eastAsia="Arial" w:hAnsi="Arial"/>
          <w:sz w:val="22"/>
          <w:szCs w:val="22"/>
          <w:i w:val="1"/>
          <w:iCs w:val="1"/>
          <w:color w:val="auto"/>
        </w:rPr>
        <w:t xml:space="preserve"> </w:t>
      </w:r>
      <w:r>
        <w:rPr>
          <w:rFonts w:ascii="Arial" w:cs="Arial" w:eastAsia="Arial" w:hAnsi="Arial"/>
          <w:sz w:val="22"/>
          <w:szCs w:val="22"/>
          <w:color w:val="auto"/>
        </w:rPr>
        <w:t>more than 180 days prior to the date that such Bank notifies the Company of the event giving rise to such claim and of such Bank’s intention to claim compensation therefor.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7" w:right="239" w:bottom="1440" w:gutter="0" w:footer="0" w:header="0"/>
        </w:sectPr>
      </w:pPr>
    </w:p>
    <w:bookmarkStart w:id="147" w:name="page148"/>
    <w:bookmarkEnd w:id="147"/>
    <w:p>
      <w:pPr>
        <w:ind w:left="660"/>
        <w:spacing w:after="0"/>
        <w:tabs>
          <w:tab w:leader="none" w:pos="1840" w:val="left"/>
        </w:tabs>
        <w:rPr>
          <w:sz w:val="20"/>
          <w:szCs w:val="20"/>
          <w:color w:val="auto"/>
        </w:rPr>
      </w:pPr>
      <w:r>
        <w:rPr>
          <w:rFonts w:ascii="Arial" w:cs="Arial" w:eastAsia="Arial" w:hAnsi="Arial"/>
          <w:sz w:val="22"/>
          <w:szCs w:val="22"/>
          <w:i w:val="1"/>
          <w:iCs w:val="1"/>
          <w:color w:val="auto"/>
        </w:rPr>
        <w:t>Section 8.3.</w:t>
      </w:r>
      <w:r>
        <w:rPr>
          <w:sz w:val="20"/>
          <w:szCs w:val="20"/>
          <w:color w:val="auto"/>
        </w:rPr>
        <w:tab/>
      </w:r>
      <w:r>
        <w:rPr>
          <w:rFonts w:ascii="Arial" w:cs="Arial" w:eastAsia="Arial" w:hAnsi="Arial"/>
          <w:sz w:val="19"/>
          <w:szCs w:val="19"/>
          <w:i w:val="1"/>
          <w:iCs w:val="1"/>
          <w:color w:val="auto"/>
        </w:rPr>
        <w:t>Exceptions.</w:t>
      </w:r>
    </w:p>
    <w:p>
      <w:pPr>
        <w:spacing w:after="0" w:line="233"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8.3.1 Section 8.1 does not apply to the extent any Increased Cost is (i) attributable to a Tax Deduction required by law to be made by the Company; (ii) compensated for by Section 7.2; (iii) attributable to the breach by the applicable Bank of any law or regulation; or (iv) attributable to increased costs as a result of Taxes that are not Indemnified Taxes.</w:t>
      </w:r>
    </w:p>
    <w:p>
      <w:pPr>
        <w:spacing w:after="0" w:line="1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8.3.2 In this Section 8.3 a </w:t>
      </w:r>
      <w:r>
        <w:rPr>
          <w:rFonts w:ascii="Arial" w:cs="Arial" w:eastAsia="Arial" w:hAnsi="Arial"/>
          <w:sz w:val="22"/>
          <w:szCs w:val="22"/>
          <w:i w:val="1"/>
          <w:iCs w:val="1"/>
          <w:color w:val="auto"/>
        </w:rPr>
        <w:t>“Tax Deduction”</w:t>
      </w:r>
      <w:r>
        <w:rPr>
          <w:rFonts w:ascii="Arial" w:cs="Arial" w:eastAsia="Arial" w:hAnsi="Arial"/>
          <w:sz w:val="22"/>
          <w:szCs w:val="22"/>
          <w:color w:val="auto"/>
        </w:rPr>
        <w:t xml:space="preserve"> means a deduction or withholding for or on account of Tax from a payment under a Transaction Document.</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i w:val="1"/>
          <w:iCs w:val="1"/>
          <w:color w:val="auto"/>
        </w:rPr>
        <w:t xml:space="preserve">Section 8.4. Replacement of Banks. </w:t>
      </w:r>
      <w:r>
        <w:rPr>
          <w:rFonts w:ascii="Arial" w:cs="Arial" w:eastAsia="Arial" w:hAnsi="Arial"/>
          <w:sz w:val="19"/>
          <w:szCs w:val="19"/>
          <w:color w:val="auto"/>
        </w:rPr>
        <w:t>The Company shall be permitted to replace any Bank that (a) requests reimbursement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amounts owing pursuant to Sections 7.4 or 8.1, (b) becomes a Defaulting Bank or (c) does not consent to any proposed amendment, supplement, modification, consent or waiver of any provision of this Agreement that requires the consent of each of the Banks (so long as the consent of the Required Banks has been obtained), with a replacement financial institution; </w:t>
      </w:r>
      <w:r>
        <w:rPr>
          <w:rFonts w:ascii="Arial" w:cs="Arial" w:eastAsia="Arial" w:hAnsi="Arial"/>
          <w:sz w:val="19"/>
          <w:szCs w:val="19"/>
          <w:i w:val="1"/>
          <w:iCs w:val="1"/>
          <w:color w:val="auto"/>
        </w:rPr>
        <w:t>provided</w:t>
      </w:r>
      <w:r>
        <w:rPr>
          <w:rFonts w:ascii="Arial" w:cs="Arial" w:eastAsia="Arial" w:hAnsi="Arial"/>
          <w:sz w:val="19"/>
          <w:szCs w:val="19"/>
          <w:color w:val="auto"/>
        </w:rPr>
        <w:t>, that</w:t>
      </w:r>
    </w:p>
    <w:p>
      <w:pPr>
        <w:spacing w:after="0" w:line="2" w:lineRule="exact"/>
        <w:rPr>
          <w:sz w:val="20"/>
          <w:szCs w:val="20"/>
          <w:color w:val="auto"/>
        </w:rPr>
      </w:pPr>
    </w:p>
    <w:p>
      <w:pPr>
        <w:jc w:val="both"/>
        <w:ind w:firstLine="8"/>
        <w:spacing w:after="0" w:line="287" w:lineRule="auto"/>
        <w:tabs>
          <w:tab w:leader="none" w:pos="306"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such replacement does not conflict with any requirement of Law, (ii) no Termination Event shall have occurred and be continuing at the time of such replacement, (iii) the replacement financial institution shall be satisfactory to the Administrative Agent, (iv) the replaced Bank shall be obligated to make such replacement in accordance with the provisions of Section 19.1, (v) the Company shall have paid to the replaced Bank all amounts then due and payable from the Company to such replaced Bank under this Agreement, including amounts under Section 7.4 or 8.1, (vi) the Company shall have paid to the Administrative Agent the assignment fee (if any) specified in Section 19.1, (vii) the replacement Bank shall have purchased the replaced Bank’s Pro Rata Share of all Purchased Receivables then owned thereby, and (viii) any such replacement shall not be deemed to be a waiver of any rights that the Company, the Administrative Agent or any other Bank shall have against the replaced Bank.</w:t>
      </w: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FURTHER ASSURANCES.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i w:val="1"/>
          <w:iCs w:val="1"/>
          <w:color w:val="auto"/>
        </w:rPr>
        <w:t xml:space="preserve">Section 9.1. </w:t>
      </w:r>
      <w:r>
        <w:rPr>
          <w:rFonts w:ascii="Arial" w:cs="Arial" w:eastAsia="Arial" w:hAnsi="Arial"/>
          <w:sz w:val="19"/>
          <w:szCs w:val="19"/>
          <w:color w:val="auto"/>
        </w:rPr>
        <w:t>The Company agrees that from time to time, at its expense, it will promptly execute and deliver all further</w:t>
      </w:r>
      <w:r>
        <w:rPr>
          <w:rFonts w:ascii="Arial" w:cs="Arial" w:eastAsia="Arial" w:hAnsi="Arial"/>
          <w:sz w:val="19"/>
          <w:szCs w:val="19"/>
          <w:i w:val="1"/>
          <w:iCs w:val="1"/>
          <w:color w:val="auto"/>
        </w:rPr>
        <w:t xml:space="preserve"> </w:t>
      </w:r>
      <w:r>
        <w:rPr>
          <w:rFonts w:ascii="Arial" w:cs="Arial" w:eastAsia="Arial" w:hAnsi="Arial"/>
          <w:sz w:val="19"/>
          <w:szCs w:val="19"/>
          <w:color w:val="auto"/>
        </w:rPr>
        <w:t>instruments and documents, and take all further action, that the Administrative Agent may reasonably request in order to perfect, protect or more fully evidence the transactions contemplated hereby, or to enable the Administrative Agent or any Bank to exercise or enforce any of its rights with respect to the Purchased Receivables. Without limiting the generality of the foregoing, upon the request of the Administrative Agent, the Company will file such financing or continuation statements, or amendments thereto or assignments thereof, or termination statements in respect of any liens granted by the Company hereunder, and such other instruments or notices as required under U.S. or local law, as may be necessary or appropriate to perfect and preserve the interests of the Banks in the Purchased Receivables, free and clear of Adverse Claims.</w:t>
      </w:r>
    </w:p>
    <w:p>
      <w:pPr>
        <w:spacing w:after="0" w:line="15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i w:val="1"/>
          <w:iCs w:val="1"/>
          <w:color w:val="auto"/>
        </w:rPr>
        <w:t xml:space="preserve">Section 9.2. </w:t>
      </w:r>
      <w:r>
        <w:rPr>
          <w:rFonts w:ascii="Arial" w:cs="Arial" w:eastAsia="Arial" w:hAnsi="Arial"/>
          <w:sz w:val="19"/>
          <w:szCs w:val="19"/>
          <w:color w:val="auto"/>
        </w:rPr>
        <w:t>The Company hereby authorizes the Administrative Agent or its designee to file one or more financing or</w:t>
      </w:r>
      <w:r>
        <w:rPr>
          <w:rFonts w:ascii="Arial" w:cs="Arial" w:eastAsia="Arial" w:hAnsi="Arial"/>
          <w:sz w:val="19"/>
          <w:szCs w:val="19"/>
          <w:i w:val="1"/>
          <w:iCs w:val="1"/>
          <w:color w:val="auto"/>
        </w:rPr>
        <w:t xml:space="preserve"> </w:t>
      </w:r>
      <w:r>
        <w:rPr>
          <w:rFonts w:ascii="Arial" w:cs="Arial" w:eastAsia="Arial" w:hAnsi="Arial"/>
          <w:sz w:val="19"/>
          <w:szCs w:val="19"/>
          <w:color w:val="auto"/>
        </w:rPr>
        <w:t>continuation statements, and amendments thereto and assignments thereof and such other instruments or notices as referred to in Section 9.1, relative to all or any of the Purchased Receivables now existing or hereafter arising in the name of the Company.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7"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SECTION 10. REPRESENTATIONS AND WARRANTIES.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i w:val="1"/>
          <w:iCs w:val="1"/>
          <w:color w:val="auto"/>
        </w:rPr>
        <w:t>Section 10.1. General Representations and Warranties</w:t>
      </w:r>
      <w:r>
        <w:rPr>
          <w:rFonts w:ascii="Arial" w:cs="Arial" w:eastAsia="Arial" w:hAnsi="Arial"/>
          <w:sz w:val="21"/>
          <w:szCs w:val="21"/>
          <w:color w:val="auto"/>
        </w:rPr>
        <w:t>. The Company hereby makes, and on each purchase date and</w:t>
      </w:r>
      <w:r>
        <w:rPr>
          <w:rFonts w:ascii="Arial" w:cs="Arial" w:eastAsia="Arial" w:hAnsi="Arial"/>
          <w:sz w:val="21"/>
          <w:szCs w:val="21"/>
          <w:i w:val="1"/>
          <w:iCs w:val="1"/>
          <w:color w:val="auto"/>
        </w:rPr>
        <w:t xml:space="preserve"> </w:t>
      </w:r>
      <w:r>
        <w:rPr>
          <w:rFonts w:ascii="Arial" w:cs="Arial" w:eastAsia="Arial" w:hAnsi="Arial"/>
          <w:sz w:val="21"/>
          <w:szCs w:val="21"/>
          <w:color w:val="auto"/>
        </w:rPr>
        <w:t>Settlement Date shall be deemed to make, the following representations and warranties for the benefit of the Administrative Agent and each Bank as of the Closing Date and each subsequent purchase date and Settlement Date with reference to the facts and circumstances then existing (with the understanding that, with respect to any such representation or warranty which relates to any Purchased Receivable, such representations and warranties are deemed to have been made by the Company only as of the date of the purchase of such Purchased Receivable by the Banks):</w:t>
      </w:r>
    </w:p>
    <w:p>
      <w:pPr>
        <w:spacing w:after="0" w:line="175" w:lineRule="exact"/>
        <w:rPr>
          <w:sz w:val="20"/>
          <w:szCs w:val="20"/>
          <w:color w:val="auto"/>
        </w:rPr>
      </w:pPr>
    </w:p>
    <w:p>
      <w:pPr>
        <w:jc w:val="both"/>
        <w:ind w:firstLine="1305"/>
        <w:spacing w:after="0" w:line="300" w:lineRule="auto"/>
        <w:tabs>
          <w:tab w:leader="none" w:pos="173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It is duly organized and validly existing and registered under the laws of its jurisdiction of organization and has the full right, power and authority to own its property and assets and carry on its business as it is now being conducted, to enter into the Transaction Documents, to perform and observe all of the matters and things provided for therein, including the sale to the Banks of the Purchased Receivables and it has taken all necessary steps to duly authorize the execution of this Agreement and the other Transaction Documents and the transactions contemplated hereby.</w:t>
      </w:r>
    </w:p>
    <w:p>
      <w:pPr>
        <w:spacing w:after="0" w:line="147" w:lineRule="exact"/>
        <w:rPr>
          <w:rFonts w:ascii="Arial" w:cs="Arial" w:eastAsia="Arial" w:hAnsi="Arial"/>
          <w:sz w:val="19"/>
          <w:szCs w:val="19"/>
          <w:color w:val="auto"/>
        </w:rPr>
      </w:pPr>
    </w:p>
    <w:p>
      <w:pPr>
        <w:jc w:val="both"/>
        <w:ind w:firstLine="1305"/>
        <w:spacing w:after="0" w:line="251" w:lineRule="auto"/>
        <w:tabs>
          <w:tab w:leader="none" w:pos="1742"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This Agreement and each other Transaction Document has been duly authorized by the Company and executed and delivered by the proper officer(s) of the Company and constitutes or, as the case may be, will, when made, constitute its legal, valid and binding obligations enforceable against the Company in accordance with its terms, except as enforceability may be limited by applicable bankruptcy, insolvency, reorganization, moratorium or similar laws affecting the enforcement of creditors’ rights and by general equitable principles.</w:t>
      </w:r>
    </w:p>
    <w:p>
      <w:pPr>
        <w:spacing w:after="0" w:line="189" w:lineRule="exact"/>
        <w:rPr>
          <w:rFonts w:ascii="Arial" w:cs="Arial" w:eastAsia="Arial" w:hAnsi="Arial"/>
          <w:sz w:val="22"/>
          <w:szCs w:val="22"/>
          <w:color w:val="auto"/>
        </w:rPr>
      </w:pPr>
    </w:p>
    <w:p>
      <w:pPr>
        <w:ind w:left="1720" w:hanging="415"/>
        <w:spacing w:after="0"/>
        <w:tabs>
          <w:tab w:leader="none" w:pos="1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is the legal and beneficial owner of each Purchased Receivable sold by it.</w:t>
      </w:r>
    </w:p>
    <w:p>
      <w:pPr>
        <w:spacing w:after="0" w:line="233" w:lineRule="exact"/>
        <w:rPr>
          <w:rFonts w:ascii="Arial" w:cs="Arial" w:eastAsia="Arial" w:hAnsi="Arial"/>
          <w:sz w:val="22"/>
          <w:szCs w:val="22"/>
          <w:color w:val="auto"/>
        </w:rPr>
      </w:pPr>
    </w:p>
    <w:p>
      <w:pPr>
        <w:jc w:val="both"/>
        <w:ind w:firstLine="1305"/>
        <w:spacing w:after="0" w:line="254" w:lineRule="auto"/>
        <w:tabs>
          <w:tab w:leader="none" w:pos="1756"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Purchased Receivable is generated from a sale to an Approved Debtor and shall be freely assignable and shall constitute amounts due and payable by the Debtor on the relevant Maturity Date (which shall not exceed 90 days from the earliest of (i) the date of sale or (ii) dispatch of the goods by the Company) and each Contract, Purchased Receivable and Invoice complies in all material respects with all applicable Laws.</w:t>
      </w:r>
    </w:p>
    <w:p>
      <w:pPr>
        <w:spacing w:after="0" w:line="185" w:lineRule="exact"/>
        <w:rPr>
          <w:rFonts w:ascii="Arial" w:cs="Arial" w:eastAsia="Arial" w:hAnsi="Arial"/>
          <w:sz w:val="22"/>
          <w:szCs w:val="22"/>
          <w:color w:val="auto"/>
        </w:rPr>
      </w:pPr>
    </w:p>
    <w:p>
      <w:pPr>
        <w:jc w:val="both"/>
        <w:ind w:firstLine="1305"/>
        <w:spacing w:after="0" w:line="261" w:lineRule="auto"/>
        <w:tabs>
          <w:tab w:leader="none" w:pos="1932"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making and performance of this Agreement and each Transaction Document and the transactions contemplated hereby will not (as to the knowledge of any Responsible Officer of the Company as to (i)) violate any provision of (i) any law, regulation, order or decree of any governmental authority, agency or court, except to the extent such violation could not reasonably be expected to have a Material Adverse Effect, (ii) its organizational documents or (iii) any agreement, mortgage, indenture or other agreement to which it is a party or affecting the Company or any of its assets or properties, except to the extent such violation could not reasonably be expected to have a Material Adverse Effect, nor will such making and performance with or without the passage of time or the giving of notice or other conditions, constitute an event of default or termination event (howsoever described) under any of the foregoing which could reasonably be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15" w:right="239" w:bottom="1440" w:gutter="0" w:footer="0" w:header="0"/>
        </w:sectPr>
      </w:pPr>
    </w:p>
    <w:bookmarkStart w:id="149" w:name="page150"/>
    <w:bookmarkEnd w:id="149"/>
    <w:p>
      <w:pPr>
        <w:ind w:right="20"/>
        <w:spacing w:after="0" w:line="263" w:lineRule="auto"/>
        <w:rPr>
          <w:sz w:val="20"/>
          <w:szCs w:val="20"/>
          <w:color w:val="auto"/>
        </w:rPr>
      </w:pPr>
      <w:r>
        <w:rPr>
          <w:rFonts w:ascii="Arial" w:cs="Arial" w:eastAsia="Arial" w:hAnsi="Arial"/>
          <w:sz w:val="22"/>
          <w:szCs w:val="22"/>
          <w:color w:val="auto"/>
        </w:rPr>
        <w:t>expected to have a Material Adverse Effect or result in the creation, imposition or enforceability of any Encumbrance over any of its assets, except in favor of the Banks or the Administrative Agent for the benefit of the Banks.</w:t>
      </w:r>
    </w:p>
    <w:p>
      <w:pPr>
        <w:spacing w:after="0" w:line="175" w:lineRule="exact"/>
        <w:rPr>
          <w:sz w:val="20"/>
          <w:szCs w:val="20"/>
          <w:color w:val="auto"/>
        </w:rPr>
      </w:pPr>
    </w:p>
    <w:p>
      <w:pPr>
        <w:jc w:val="both"/>
        <w:ind w:firstLine="1305"/>
        <w:spacing w:after="0" w:line="254" w:lineRule="auto"/>
        <w:tabs>
          <w:tab w:leader="none" w:pos="17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Invoice as issued in respect of each Purchased Receivable sold by it was properly issued in accordance with the Contract and evidences that the amount specified in such Invoice will be due and payable to the Company on and as of the purchase date without the need for any other action, delivery of goods or performance of services by the Company with respect to the Original Amount set forth in such Invoice.</w:t>
      </w:r>
    </w:p>
    <w:p>
      <w:pPr>
        <w:spacing w:after="0" w:line="185" w:lineRule="exact"/>
        <w:rPr>
          <w:rFonts w:ascii="Arial" w:cs="Arial" w:eastAsia="Arial" w:hAnsi="Arial"/>
          <w:sz w:val="22"/>
          <w:szCs w:val="22"/>
          <w:color w:val="auto"/>
        </w:rPr>
      </w:pPr>
    </w:p>
    <w:p>
      <w:pPr>
        <w:ind w:firstLine="1305"/>
        <w:spacing w:after="0" w:line="276" w:lineRule="auto"/>
        <w:tabs>
          <w:tab w:leader="none" w:pos="1904"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Contract and Receivable was originated in the ordinary course of the Company’s business and in accordance with the Company’s credit and collection policy.</w:t>
      </w:r>
    </w:p>
    <w:p>
      <w:pPr>
        <w:spacing w:after="0" w:line="160" w:lineRule="exact"/>
        <w:rPr>
          <w:rFonts w:ascii="Arial" w:cs="Arial" w:eastAsia="Arial" w:hAnsi="Arial"/>
          <w:sz w:val="22"/>
          <w:szCs w:val="22"/>
          <w:color w:val="auto"/>
        </w:rPr>
      </w:pPr>
    </w:p>
    <w:p>
      <w:pPr>
        <w:jc w:val="both"/>
        <w:ind w:right="20" w:firstLine="1305"/>
        <w:spacing w:after="0" w:line="260" w:lineRule="auto"/>
        <w:tabs>
          <w:tab w:leader="none" w:pos="195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has performed all of its material obligations under the Contract relating to Purchased Receivables and in particular and without limitation it has delivered all goods and services as are due and required under such Contract with respect to the face amount set forth in such Invoice.</w:t>
      </w:r>
    </w:p>
    <w:p>
      <w:pPr>
        <w:spacing w:after="0" w:line="177" w:lineRule="exact"/>
        <w:rPr>
          <w:rFonts w:ascii="Arial" w:cs="Arial" w:eastAsia="Arial" w:hAnsi="Arial"/>
          <w:sz w:val="22"/>
          <w:szCs w:val="22"/>
          <w:color w:val="auto"/>
        </w:rPr>
      </w:pPr>
    </w:p>
    <w:p>
      <w:pPr>
        <w:ind w:firstLine="1305"/>
        <w:spacing w:after="0" w:line="276" w:lineRule="auto"/>
        <w:tabs>
          <w:tab w:leader="none" w:pos="173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obligations of the Debtor in respect of each Purchased Receivable have not, as of the date of the Banks’ purchase thereof, been prepaid in whole or in part.</w:t>
      </w:r>
    </w:p>
    <w:p>
      <w:pPr>
        <w:spacing w:after="0" w:line="160" w:lineRule="exact"/>
        <w:rPr>
          <w:rFonts w:ascii="Arial" w:cs="Arial" w:eastAsia="Arial" w:hAnsi="Arial"/>
          <w:sz w:val="22"/>
          <w:szCs w:val="22"/>
          <w:color w:val="auto"/>
        </w:rPr>
      </w:pPr>
    </w:p>
    <w:p>
      <w:pPr>
        <w:jc w:val="both"/>
        <w:ind w:firstLine="1305"/>
        <w:spacing w:after="0" w:line="297" w:lineRule="auto"/>
        <w:tabs>
          <w:tab w:leader="none" w:pos="1734" w:val="left"/>
        </w:tabs>
        <w:numPr>
          <w:ilvl w:val="0"/>
          <w:numId w:val="58"/>
        </w:numPr>
        <w:rPr>
          <w:rFonts w:ascii="Arial" w:cs="Arial" w:eastAsia="Arial" w:hAnsi="Arial"/>
          <w:sz w:val="19"/>
          <w:szCs w:val="19"/>
          <w:color w:val="auto"/>
        </w:rPr>
      </w:pPr>
      <w:r>
        <w:rPr>
          <w:rFonts w:ascii="Arial" w:cs="Arial" w:eastAsia="Arial" w:hAnsi="Arial"/>
          <w:sz w:val="19"/>
          <w:szCs w:val="19"/>
          <w:color w:val="auto"/>
        </w:rPr>
        <w:t>As of the date of the sale of such Receivable to the Banks, the goods supplied under the Contract giving rise thereto are not subject to any retention of title or equivalent clauses exercisable by the Company or, to the knowledge of any Responsible Officer of the Company, any third parties, which may adversely affect the interests of the Banks or the Administrative Agent and at the time of sale by the Company to the Banks, no Purchased Receivable is subject to a volume or other discount (except to the extent that any Trade Credit Amount has already been taken into account in determining the Funded Amount of the Purchased Receivable as set forth in the Portfolio Report) or subject to any claim by, or dispute with, the Debtor.</w:t>
      </w:r>
    </w:p>
    <w:p>
      <w:pPr>
        <w:spacing w:after="0" w:line="146" w:lineRule="exact"/>
        <w:rPr>
          <w:rFonts w:ascii="Arial" w:cs="Arial" w:eastAsia="Arial" w:hAnsi="Arial"/>
          <w:sz w:val="19"/>
          <w:szCs w:val="19"/>
          <w:color w:val="auto"/>
        </w:rPr>
      </w:pPr>
    </w:p>
    <w:p>
      <w:pPr>
        <w:jc w:val="both"/>
        <w:ind w:firstLine="1305"/>
        <w:spacing w:after="0" w:line="297" w:lineRule="auto"/>
        <w:tabs>
          <w:tab w:leader="none" w:pos="1728" w:val="left"/>
        </w:tabs>
        <w:numPr>
          <w:ilvl w:val="0"/>
          <w:numId w:val="58"/>
        </w:numPr>
        <w:rPr>
          <w:rFonts w:ascii="Arial" w:cs="Arial" w:eastAsia="Arial" w:hAnsi="Arial"/>
          <w:sz w:val="19"/>
          <w:szCs w:val="19"/>
          <w:color w:val="auto"/>
        </w:rPr>
      </w:pPr>
      <w:r>
        <w:rPr>
          <w:rFonts w:ascii="Arial" w:cs="Arial" w:eastAsia="Arial" w:hAnsi="Arial"/>
          <w:sz w:val="19"/>
          <w:szCs w:val="19"/>
          <w:color w:val="auto"/>
        </w:rPr>
        <w:t>As of the date of the sale of such Receivable to the Banks, each applicable Contract giving rise thereto is in full force and effect, and the Company is not in breach thereof or in default thereunder in a manner that would result in the Debtor being entitled to exercise any set off rights or counterclaim or to withhold, extend or delay payment on any Purchased Receivable; and, as of such date, there are no disputes, offsets, counterclaims or defenses of the Debtor known to the Company with respect to any Purchased Receivable (if any Purchased Receivable is more than 60 days past due, other than as a result of a Debtor’s Financial Inability to Pay, it shall be presumed that the Debtor has asserted a contractual claim or dispute).</w:t>
      </w:r>
    </w:p>
    <w:p>
      <w:pPr>
        <w:spacing w:after="0" w:line="146" w:lineRule="exact"/>
        <w:rPr>
          <w:rFonts w:ascii="Arial" w:cs="Arial" w:eastAsia="Arial" w:hAnsi="Arial"/>
          <w:sz w:val="19"/>
          <w:szCs w:val="19"/>
          <w:color w:val="auto"/>
        </w:rPr>
      </w:pPr>
    </w:p>
    <w:p>
      <w:pPr>
        <w:jc w:val="both"/>
        <w:ind w:firstLine="1305"/>
        <w:spacing w:after="0" w:line="254" w:lineRule="auto"/>
        <w:tabs>
          <w:tab w:leader="none" w:pos="1694" w:val="left"/>
        </w:tabs>
        <w:numPr>
          <w:ilvl w:val="0"/>
          <w:numId w:val="58"/>
        </w:numPr>
        <w:rPr>
          <w:rFonts w:ascii="Arial" w:cs="Arial" w:eastAsia="Arial" w:hAnsi="Arial"/>
          <w:sz w:val="22"/>
          <w:szCs w:val="22"/>
          <w:color w:val="auto"/>
        </w:rPr>
      </w:pPr>
      <w:r>
        <w:rPr>
          <w:rFonts w:ascii="Arial" w:cs="Arial" w:eastAsia="Arial" w:hAnsi="Arial"/>
          <w:sz w:val="22"/>
          <w:szCs w:val="22"/>
          <w:color w:val="auto"/>
        </w:rPr>
        <w:t>Under the laws of or applicable to the jurisdiction of its organization in force as at the date hereof, the claims of the Banks or the Administrative Agent against the Company in relation to each Purchased Receivable will rank at least pari passu with the claims of all its other unsecured creditors save those whose claims are preferred solely by any bankruptcy, insolvency, liquidation or other similar laws of general application.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7" w:right="239" w:bottom="1440" w:gutter="0" w:footer="0" w:header="0"/>
        </w:sectPr>
      </w:pPr>
    </w:p>
    <w:bookmarkStart w:id="150" w:name="page151"/>
    <w:bookmarkEnd w:id="150"/>
    <w:p>
      <w:pPr>
        <w:jc w:val="both"/>
        <w:ind w:firstLine="1305"/>
        <w:spacing w:after="0" w:line="254" w:lineRule="auto"/>
        <w:tabs>
          <w:tab w:leader="none" w:pos="1842" w:val="left"/>
        </w:tabs>
        <w:numPr>
          <w:ilvl w:val="1"/>
          <w:numId w:val="59"/>
        </w:numPr>
        <w:rPr>
          <w:rFonts w:ascii="Arial" w:cs="Arial" w:eastAsia="Arial" w:hAnsi="Arial"/>
          <w:sz w:val="22"/>
          <w:szCs w:val="22"/>
          <w:color w:val="auto"/>
        </w:rPr>
      </w:pPr>
      <w:r>
        <w:rPr>
          <w:rFonts w:ascii="Arial" w:cs="Arial" w:eastAsia="Arial" w:hAnsi="Arial"/>
          <w:sz w:val="22"/>
          <w:szCs w:val="22"/>
          <w:color w:val="auto"/>
        </w:rPr>
        <w:t>Assuming that each Bank complies with its obligation to deliver IRS forms pursuant to Section 7.2.5, under the Code, the Company will not be required to make any deduction or withholding from any payment it makes to the Banks or the Administrative Agent in respect of any Purchased Receivable or the Contract giving rise thereto, and the Company has all consents and licenses necessary to perform its obligations thereunder.</w:t>
      </w:r>
    </w:p>
    <w:p>
      <w:pPr>
        <w:spacing w:after="0" w:line="185" w:lineRule="exact"/>
        <w:rPr>
          <w:rFonts w:ascii="Arial" w:cs="Arial" w:eastAsia="Arial" w:hAnsi="Arial"/>
          <w:sz w:val="22"/>
          <w:szCs w:val="22"/>
          <w:color w:val="auto"/>
        </w:rPr>
      </w:pPr>
    </w:p>
    <w:p>
      <w:pPr>
        <w:jc w:val="both"/>
        <w:ind w:firstLine="1305"/>
        <w:spacing w:after="0" w:line="251" w:lineRule="auto"/>
        <w:tabs>
          <w:tab w:leader="none" w:pos="1783" w:val="left"/>
        </w:tabs>
        <w:numPr>
          <w:ilvl w:val="1"/>
          <w:numId w:val="59"/>
        </w:numPr>
        <w:rPr>
          <w:rFonts w:ascii="Arial" w:cs="Arial" w:eastAsia="Arial" w:hAnsi="Arial"/>
          <w:sz w:val="22"/>
          <w:szCs w:val="22"/>
          <w:color w:val="auto"/>
        </w:rPr>
      </w:pPr>
      <w:r>
        <w:rPr>
          <w:rFonts w:ascii="Arial" w:cs="Arial" w:eastAsia="Arial" w:hAnsi="Arial"/>
          <w:sz w:val="22"/>
          <w:szCs w:val="22"/>
          <w:color w:val="auto"/>
        </w:rPr>
        <w:t>As of the date of the sale of such Purchased Receivable to the Banks, neither the Company nor, to the actual knowledge of any Responsible Officer of the Company, any Approved Debtor, is insolvent nor has any insolvency or bankruptcy event occurred with respect to the Company or such Debtor, nor is the Debtor past due under any payment obligation to the Company with respect to any related Purchased Receivable nor has the Debtor rescheduled or extended the Maturity Date of any such Purchased Receivable.</w:t>
      </w:r>
    </w:p>
    <w:p>
      <w:pPr>
        <w:spacing w:after="0" w:line="189" w:lineRule="exact"/>
        <w:rPr>
          <w:rFonts w:ascii="Arial" w:cs="Arial" w:eastAsia="Arial" w:hAnsi="Arial"/>
          <w:sz w:val="22"/>
          <w:szCs w:val="22"/>
          <w:color w:val="auto"/>
        </w:rPr>
      </w:pPr>
    </w:p>
    <w:p>
      <w:pPr>
        <w:jc w:val="both"/>
        <w:ind w:firstLine="1305"/>
        <w:spacing w:after="0" w:line="251" w:lineRule="auto"/>
        <w:tabs>
          <w:tab w:leader="none" w:pos="1810"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transactions contemplated by this Agreement are being consummated by the Company in order to raise capital to carry out the Company’s ordinary business, with no contemplation of being or becoming insolvent and with no intent to hinder, delay or defraud any of its present or future creditors. By virtue of the Company’s right to receive any payment of the Purchase Price for each Purchased Receivable as provided in Section 4 hereof, the Company has received reasonably equivalent value for the Purchased Receivables sold by it.</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769" w:val="left"/>
        </w:tabs>
        <w:numPr>
          <w:ilvl w:val="1"/>
          <w:numId w:val="59"/>
        </w:numPr>
        <w:rPr>
          <w:rFonts w:ascii="Arial" w:cs="Arial" w:eastAsia="Arial" w:hAnsi="Arial"/>
          <w:sz w:val="21"/>
          <w:szCs w:val="21"/>
          <w:color w:val="auto"/>
        </w:rPr>
      </w:pPr>
      <w:r>
        <w:rPr>
          <w:rFonts w:ascii="Arial" w:cs="Arial" w:eastAsia="Arial" w:hAnsi="Arial"/>
          <w:sz w:val="21"/>
          <w:szCs w:val="21"/>
          <w:color w:val="auto"/>
        </w:rPr>
        <w:t>On the date of the sale of each Purchased Receivable to the Banks, the Banks shall acquire a valid ownership interest or (through the Administrative Agent for the benefit of the Banks) a first priority security interest in each Purchased Receivable (which security interest will be perfected) free and clear of any Adverse Claim, and without any need on the part of the Company or the Administrative Agent or any Bank to (i) notify the applicable Debtor or (ii) other than the UCC financing statements required to be filed hereunder, file, register or record any Transaction Document or the sale of such Receivable under the Laws applicable to the Company; and, upon transfer of ownership of, or the grant of such security interest in, such Purchased Receivable from the Company to the Banks, no financing statement or other similar instrument or other filing or recordation covering any such Purchased Receivable or any interest therein, is on file in any recording office except such as may be filed pursuant to this Agreement or except as to which a release or disclaimer in form satisfactory to the Administrative Agent has been provided, or as to which the Administrative Agent has consented.</w:t>
      </w:r>
    </w:p>
    <w:p>
      <w:pPr>
        <w:spacing w:after="0" w:line="179" w:lineRule="exact"/>
        <w:rPr>
          <w:rFonts w:ascii="Arial" w:cs="Arial" w:eastAsia="Arial" w:hAnsi="Arial"/>
          <w:sz w:val="21"/>
          <w:szCs w:val="21"/>
          <w:color w:val="auto"/>
        </w:rPr>
      </w:pPr>
    </w:p>
    <w:p>
      <w:pPr>
        <w:jc w:val="both"/>
        <w:ind w:firstLine="1305"/>
        <w:spacing w:after="0" w:line="293" w:lineRule="auto"/>
        <w:tabs>
          <w:tab w:leader="none" w:pos="1728"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Company’s jurisdiction of organization and “location” for purposes of the UCC, or other relevant local law, is the State of Ohio (or such other location, notified to the Administrative Agent in accordance with Section 11.1(l)). Except as described in Schedule 3, (i) the Company has no trade names, fictitious names, assumed names or “doing business as” names and</w:t>
      </w:r>
    </w:p>
    <w:p>
      <w:pPr>
        <w:spacing w:after="0" w:line="1" w:lineRule="exact"/>
        <w:rPr>
          <w:rFonts w:ascii="Arial" w:cs="Arial" w:eastAsia="Arial" w:hAnsi="Arial"/>
          <w:sz w:val="19"/>
          <w:szCs w:val="19"/>
          <w:color w:val="auto"/>
        </w:rPr>
      </w:pPr>
    </w:p>
    <w:p>
      <w:pPr>
        <w:jc w:val="both"/>
        <w:ind w:firstLine="8"/>
        <w:spacing w:after="0" w:line="245" w:lineRule="auto"/>
        <w:tabs>
          <w:tab w:leader="none" w:pos="329"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has not changed its jurisdiction of organization or location or its name, identity or corporate structure within the four months prior to the date of this Agreement. The Company’s federal taxpayer identification number or other registration number is as set forth in Schedule 3.</w:t>
      </w:r>
    </w:p>
    <w:p>
      <w:pPr>
        <w:spacing w:after="0" w:line="193" w:lineRule="exact"/>
        <w:rPr>
          <w:rFonts w:ascii="Arial" w:cs="Arial" w:eastAsia="Arial" w:hAnsi="Arial"/>
          <w:sz w:val="22"/>
          <w:szCs w:val="22"/>
          <w:color w:val="auto"/>
        </w:rPr>
      </w:pPr>
    </w:p>
    <w:p>
      <w:pPr>
        <w:jc w:val="both"/>
        <w:ind w:firstLine="1305"/>
        <w:spacing w:after="0" w:line="320" w:lineRule="auto"/>
        <w:tabs>
          <w:tab w:leader="none" w:pos="1692" w:val="left"/>
        </w:tabs>
        <w:numPr>
          <w:ilvl w:val="1"/>
          <w:numId w:val="60"/>
        </w:numPr>
        <w:rPr>
          <w:rFonts w:ascii="Arial" w:cs="Arial" w:eastAsia="Arial" w:hAnsi="Arial"/>
          <w:sz w:val="19"/>
          <w:szCs w:val="19"/>
          <w:color w:val="auto"/>
        </w:rPr>
      </w:pPr>
      <w:r>
        <w:rPr>
          <w:rFonts w:ascii="Arial" w:cs="Arial" w:eastAsia="Arial" w:hAnsi="Arial"/>
          <w:sz w:val="19"/>
          <w:szCs w:val="19"/>
          <w:color w:val="auto"/>
        </w:rPr>
        <w:t>All written information provided by the Company to the Administrative Agent and the Banks with respect to the Purchased Receivables (including without limitation information relating to the applicable Debtor’s past payment history and the Company’s commercial relationship with such Debtor) taken as a whole, is true and accurate in all material respects as 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7" w:right="239" w:bottom="1440" w:gutter="0" w:footer="0" w:header="0"/>
        </w:sectPr>
      </w:pPr>
    </w:p>
    <w:bookmarkStart w:id="151" w:name="page152"/>
    <w:bookmarkEnd w:id="151"/>
    <w:p>
      <w:pPr>
        <w:spacing w:after="0" w:line="263" w:lineRule="auto"/>
        <w:rPr>
          <w:sz w:val="20"/>
          <w:szCs w:val="20"/>
          <w:color w:val="auto"/>
        </w:rPr>
      </w:pPr>
      <w:r>
        <w:rPr>
          <w:rFonts w:ascii="Arial" w:cs="Arial" w:eastAsia="Arial" w:hAnsi="Arial"/>
          <w:sz w:val="22"/>
          <w:szCs w:val="22"/>
          <w:color w:val="auto"/>
        </w:rPr>
        <w:t>the date supplied and no written information has been given or withheld that would result in the written information provided being untrue or misleading in any material respect.</w:t>
      </w:r>
    </w:p>
    <w:p>
      <w:pPr>
        <w:spacing w:after="0" w:line="175" w:lineRule="exact"/>
        <w:rPr>
          <w:sz w:val="20"/>
          <w:szCs w:val="20"/>
          <w:color w:val="auto"/>
        </w:rPr>
      </w:pPr>
    </w:p>
    <w:p>
      <w:pPr>
        <w:jc w:val="both"/>
        <w:ind w:firstLine="1305"/>
        <w:spacing w:after="0" w:line="260" w:lineRule="auto"/>
        <w:tabs>
          <w:tab w:leader="none" w:pos="170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representations made or deemed to be made by the Company in each Transaction Document were correct in all material respects as of the date made (except for those representations and warranties that are conditioned by materiality, which shall have been correct in all respects).</w:t>
      </w:r>
    </w:p>
    <w:p>
      <w:pPr>
        <w:spacing w:after="0" w:line="177" w:lineRule="exact"/>
        <w:rPr>
          <w:rFonts w:ascii="Arial" w:cs="Arial" w:eastAsia="Arial" w:hAnsi="Arial"/>
          <w:sz w:val="22"/>
          <w:szCs w:val="22"/>
          <w:color w:val="auto"/>
        </w:rPr>
      </w:pPr>
    </w:p>
    <w:p>
      <w:pPr>
        <w:jc w:val="both"/>
        <w:ind w:firstLine="1305"/>
        <w:spacing w:after="0" w:line="262" w:lineRule="auto"/>
        <w:tabs>
          <w:tab w:leader="none" w:pos="1937" w:val="left"/>
        </w:tabs>
        <w:numPr>
          <w:ilvl w:val="0"/>
          <w:numId w:val="61"/>
        </w:numPr>
        <w:rPr>
          <w:rFonts w:ascii="Arial" w:cs="Arial" w:eastAsia="Arial" w:hAnsi="Arial"/>
          <w:sz w:val="21"/>
          <w:szCs w:val="21"/>
          <w:color w:val="auto"/>
        </w:rPr>
      </w:pPr>
      <w:r>
        <w:rPr>
          <w:rFonts w:ascii="Arial" w:cs="Arial" w:eastAsia="Arial" w:hAnsi="Arial"/>
          <w:sz w:val="21"/>
          <w:szCs w:val="21"/>
          <w:color w:val="auto"/>
        </w:rPr>
        <w:t>With respect to the Company’s obligations hereunder, no consent, license, authorization, registration, legalization, notification to, declaration with, approval or permit of, any governmental authority, agency or instrumentality (including any central banking or other monetary authority) is required by the Company in connection with its execution, delivery and performance, and the validity or enforceability of the Company’s obligations under the Transaction Documents, the Company’s sale of the Purchased Receivables, or the transactions contemplated thereby, other than those that have been made or obtained and are in full force and effect and any filings to be made with the United States Securities and Exchange Commission in connection with the transactions contemplated by this Agreement.</w:t>
      </w:r>
    </w:p>
    <w:p>
      <w:pPr>
        <w:spacing w:after="0" w:line="180" w:lineRule="exact"/>
        <w:rPr>
          <w:rFonts w:ascii="Arial" w:cs="Arial" w:eastAsia="Arial" w:hAnsi="Arial"/>
          <w:sz w:val="21"/>
          <w:szCs w:val="21"/>
          <w:color w:val="auto"/>
        </w:rPr>
      </w:pPr>
    </w:p>
    <w:p>
      <w:pPr>
        <w:jc w:val="both"/>
        <w:ind w:firstLine="1305"/>
        <w:spacing w:after="0" w:line="254" w:lineRule="auto"/>
        <w:tabs>
          <w:tab w:leader="none" w:pos="175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obligation of the Company to remit payments received from the Debtors on the Purchased Receivables in Dollars to the Banks in the United States, either directly or through the Blocked Accounts as designated by the Administrative Agent, is legally valid under the laws applicable to the Company and no foreign exchange registrations or approvals are necessary to effectuate such Dollar payments.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SECTION 11. COVENANTS.</w:t>
      </w:r>
    </w:p>
    <w:p>
      <w:pPr>
        <w:spacing w:after="0" w:line="22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11.1.</w:t>
      </w:r>
      <w:r>
        <w:rPr>
          <w:sz w:val="20"/>
          <w:szCs w:val="20"/>
          <w:color w:val="auto"/>
        </w:rPr>
        <w:tab/>
      </w:r>
      <w:r>
        <w:rPr>
          <w:rFonts w:ascii="Arial" w:cs="Arial" w:eastAsia="Arial" w:hAnsi="Arial"/>
          <w:sz w:val="19"/>
          <w:szCs w:val="19"/>
          <w:i w:val="1"/>
          <w:iCs w:val="1"/>
          <w:color w:val="auto"/>
        </w:rPr>
        <w:t>General Covenants</w:t>
      </w:r>
      <w:r>
        <w:rPr>
          <w:rFonts w:ascii="Arial" w:cs="Arial" w:eastAsia="Arial" w:hAnsi="Arial"/>
          <w:sz w:val="19"/>
          <w:szCs w:val="19"/>
          <w:color w:val="auto"/>
        </w:rPr>
        <w:t>. The Company hereby agrees, at all times prior to the Final Collection Date:</w:t>
      </w:r>
    </w:p>
    <w:p>
      <w:pPr>
        <w:spacing w:after="0" w:line="233" w:lineRule="exact"/>
        <w:rPr>
          <w:sz w:val="20"/>
          <w:szCs w:val="20"/>
          <w:color w:val="auto"/>
        </w:rPr>
      </w:pPr>
    </w:p>
    <w:p>
      <w:pPr>
        <w:jc w:val="both"/>
        <w:ind w:firstLine="1305"/>
        <w:spacing w:after="0" w:line="294" w:lineRule="auto"/>
        <w:tabs>
          <w:tab w:leader="none" w:pos="1797" w:val="left"/>
        </w:tabs>
        <w:numPr>
          <w:ilvl w:val="0"/>
          <w:numId w:val="62"/>
        </w:numPr>
        <w:rPr>
          <w:rFonts w:ascii="Arial" w:cs="Arial" w:eastAsia="Arial" w:hAnsi="Arial"/>
          <w:sz w:val="19"/>
          <w:szCs w:val="19"/>
          <w:color w:val="auto"/>
        </w:rPr>
      </w:pPr>
      <w:r>
        <w:rPr>
          <w:rFonts w:ascii="Arial" w:cs="Arial" w:eastAsia="Arial" w:hAnsi="Arial"/>
          <w:sz w:val="19"/>
          <w:szCs w:val="19"/>
          <w:color w:val="auto"/>
        </w:rPr>
        <w:t>to duly perform its obligations under the relevant Contract in respect of each Purchased Receivable, so that each such Receivable remains a legal, valid and binding obligation of the Debtor enforceable against the Debtor in accordance with its terms, to inform the Administrative Agent (and the Administrative Agent shall promptly notify the Banks upon such notification thereof) of any material breach or default by the Company or the Debtor, within five Business Days after it becomes aware of any such breach or default, and to take measures necessary and consistent with the terms of the Contract to minimize or prevent any loss which may be incurred by the Banks in the event of nonperformance of the Contract or nonpayment of an invoice by the Company or the Debtor arising out of a dispute between the Company and the Debtor thereunder;</w:t>
      </w:r>
    </w:p>
    <w:p>
      <w:pPr>
        <w:spacing w:after="0" w:line="152" w:lineRule="exact"/>
        <w:rPr>
          <w:rFonts w:ascii="Arial" w:cs="Arial" w:eastAsia="Arial" w:hAnsi="Arial"/>
          <w:sz w:val="19"/>
          <w:szCs w:val="19"/>
          <w:color w:val="auto"/>
        </w:rPr>
      </w:pPr>
    </w:p>
    <w:p>
      <w:pPr>
        <w:jc w:val="both"/>
        <w:ind w:firstLine="1305"/>
        <w:spacing w:after="0" w:line="250" w:lineRule="auto"/>
        <w:tabs>
          <w:tab w:leader="none" w:pos="1742"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without the prior consent in writing of the Banks, after the date of the Company’s sale of the related Purchased Receivable, not to amend, modify, waive, supplement, terminate or revoke any applicable Contract (or any term or condition thereof), including by way of any dealing or other arrangement with the applicable Debtor, if the effect thereof could materially and adversely affect the collectability thereof or the financial value or economic return to the Banks in respect thereof; </w:t>
      </w:r>
      <w:r>
        <w:rPr>
          <w:rFonts w:ascii="Arial" w:cs="Arial" w:eastAsia="Arial" w:hAnsi="Arial"/>
          <w:sz w:val="22"/>
          <w:szCs w:val="22"/>
          <w:u w:val="single" w:color="auto"/>
          <w:color w:val="auto"/>
        </w:rPr>
        <w:t>provided</w:t>
      </w:r>
      <w:r>
        <w:rPr>
          <w:rFonts w:ascii="Arial" w:cs="Arial" w:eastAsia="Arial" w:hAnsi="Arial"/>
          <w:sz w:val="22"/>
          <w:szCs w:val="22"/>
          <w:color w:val="auto"/>
        </w:rPr>
        <w:t>, for the avoidance of doubt, any amendment, modification, waiver, supplement, termination or revocation with respect to any payment term of any Purchased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7" w:right="239" w:bottom="1440" w:gutter="0" w:footer="0" w:header="0"/>
        </w:sectPr>
      </w:pPr>
    </w:p>
    <w:bookmarkStart w:id="152" w:name="page153"/>
    <w:bookmarkEnd w:id="152"/>
    <w:p>
      <w:pPr>
        <w:jc w:val="both"/>
        <w:spacing w:after="0" w:line="265" w:lineRule="auto"/>
        <w:rPr>
          <w:sz w:val="20"/>
          <w:szCs w:val="20"/>
          <w:color w:val="auto"/>
        </w:rPr>
      </w:pPr>
      <w:r>
        <w:rPr>
          <w:rFonts w:ascii="Arial" w:cs="Arial" w:eastAsia="Arial" w:hAnsi="Arial"/>
          <w:sz w:val="21"/>
          <w:szCs w:val="21"/>
          <w:color w:val="auto"/>
        </w:rPr>
        <w:t>Receivable (including the Original Amount and the Maturity Date thereof) shall be deemed to materially and adversely affect the collectability thereof and the financial value or economic return to the Banks in respect thereof (other than any extension of the Maturity Date of any Purchased Receivable by less than 30 days (so long as in no event shall such Maturity Date be extended beyond 90 days from the date of purchase of such Purchased Receivable);</w:t>
      </w:r>
    </w:p>
    <w:p>
      <w:pPr>
        <w:spacing w:after="0" w:line="176" w:lineRule="exact"/>
        <w:rPr>
          <w:sz w:val="20"/>
          <w:szCs w:val="20"/>
          <w:color w:val="auto"/>
        </w:rPr>
      </w:pPr>
    </w:p>
    <w:p>
      <w:pPr>
        <w:jc w:val="both"/>
        <w:ind w:firstLine="1305"/>
        <w:spacing w:after="0" w:line="250" w:lineRule="auto"/>
        <w:tabs>
          <w:tab w:leader="none" w:pos="1757"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not to create or suffer to exist any Adverse Claim over all or any of the Company’s rights, title and interest in and to any Purchased Receivable or the Contract in respect of such Purchased Receivable or any Blocked Account and not to, or purport to, assign, transfer or otherwise deal with any of its rights in respect of any such Contract or any Purchased Receivable other than in favor of the Banks (or the Administrative Agent for the benefit of the Banks), and Company shall provide the Administrative Agent (for the benefit of the Banks) with a release or disclaimer of any Adverse Claim purportedly created by any other Person over any Purchased Receivable;</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ensure that it has shipped all goods in respect of each Purchased Receivable in conformity with all applicable laws and regulations (including without limitation import and export laws and regulations), except to the extent failure to comply could not reasonably be expected to have a Material Adverse Effect;</w:t>
      </w:r>
    </w:p>
    <w:p>
      <w:pPr>
        <w:spacing w:after="0" w:line="177" w:lineRule="exact"/>
        <w:rPr>
          <w:rFonts w:ascii="Arial" w:cs="Arial" w:eastAsia="Arial" w:hAnsi="Arial"/>
          <w:sz w:val="22"/>
          <w:szCs w:val="22"/>
          <w:color w:val="auto"/>
        </w:rPr>
      </w:pPr>
    </w:p>
    <w:p>
      <w:pPr>
        <w:ind w:firstLine="1305"/>
        <w:spacing w:after="0" w:line="276" w:lineRule="auto"/>
        <w:tabs>
          <w:tab w:leader="none" w:pos="1865"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keep and maintain proper accounts and Sales Records and Invoices in connection with the Purchased Receivables, and to provide to the Administrative Agent (for distribution to the Banks):</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503" w:val="left"/>
        </w:tabs>
        <w:numPr>
          <w:ilvl w:val="1"/>
          <w:numId w:val="63"/>
        </w:numPr>
        <w:rPr>
          <w:rFonts w:ascii="Arial" w:cs="Arial" w:eastAsia="Arial" w:hAnsi="Arial"/>
          <w:sz w:val="22"/>
          <w:szCs w:val="22"/>
          <w:color w:val="auto"/>
        </w:rPr>
      </w:pPr>
      <w:r>
        <w:rPr>
          <w:rFonts w:ascii="Arial" w:cs="Arial" w:eastAsia="Arial" w:hAnsi="Arial"/>
          <w:sz w:val="22"/>
          <w:szCs w:val="22"/>
          <w:color w:val="auto"/>
        </w:rPr>
        <w:t>details of all Purchased Receivables which are specified in the Portfolio Reports, which Portfolio Reports will indicate as of the date thereof that the Purchased Receivables have been sold by the Company to the Banks; and</w:t>
      </w:r>
    </w:p>
    <w:p>
      <w:pPr>
        <w:spacing w:after="0" w:line="177" w:lineRule="exact"/>
        <w:rPr>
          <w:rFonts w:ascii="Arial" w:cs="Arial" w:eastAsia="Arial" w:hAnsi="Arial"/>
          <w:sz w:val="22"/>
          <w:szCs w:val="22"/>
          <w:color w:val="auto"/>
        </w:rPr>
      </w:pPr>
    </w:p>
    <w:p>
      <w:pPr>
        <w:jc w:val="both"/>
        <w:ind w:left="660" w:firstLine="1293"/>
        <w:spacing w:after="0" w:line="297" w:lineRule="auto"/>
        <w:tabs>
          <w:tab w:leader="none" w:pos="2401" w:val="left"/>
        </w:tabs>
        <w:numPr>
          <w:ilvl w:val="1"/>
          <w:numId w:val="63"/>
        </w:numPr>
        <w:rPr>
          <w:rFonts w:ascii="Arial" w:cs="Arial" w:eastAsia="Arial" w:hAnsi="Arial"/>
          <w:sz w:val="19"/>
          <w:szCs w:val="19"/>
          <w:color w:val="auto"/>
        </w:rPr>
      </w:pPr>
      <w:r>
        <w:rPr>
          <w:rFonts w:ascii="Arial" w:cs="Arial" w:eastAsia="Arial" w:hAnsi="Arial"/>
          <w:sz w:val="19"/>
          <w:szCs w:val="19"/>
          <w:color w:val="auto"/>
        </w:rPr>
        <w:t>a quarterly report regarding a receivables aging, delinquency, write-offs, Receivables rolled forward and dilution report in the form attached as Schedule 4 as to the Purchased Receivables, showing a loss to liquidation ratio (monthly write-offs over collections), delinquency ratio (Receivables more than 90 days past due over closing Receivables balance) and dilution ratio (monthly credit memos over sales) within 5 days of the close of each month in a form satisfactory to the Administrative Agent, or as may otherwise be approved by the Administrative Agent, which quarterly reports will indicate as of the date thereof that the Purchased Receivables have been sold by the Company to the Banks;</w:t>
      </w:r>
    </w:p>
    <w:p>
      <w:pPr>
        <w:spacing w:after="0" w:line="146" w:lineRule="exact"/>
        <w:rPr>
          <w:rFonts w:ascii="Arial" w:cs="Arial" w:eastAsia="Arial" w:hAnsi="Arial"/>
          <w:sz w:val="19"/>
          <w:szCs w:val="19"/>
          <w:color w:val="auto"/>
        </w:rPr>
      </w:pPr>
    </w:p>
    <w:p>
      <w:pPr>
        <w:jc w:val="both"/>
        <w:ind w:firstLine="1305"/>
        <w:spacing w:after="0" w:line="260" w:lineRule="auto"/>
        <w:tabs>
          <w:tab w:leader="none" w:pos="170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devote and assure that there is devoted to the servicing of Purchased Receivables at least the same amount of time and attention and that there is exercised at least the same level of skill, care and diligence in their servicing, as if it were servicing those receivables legally and beneficially owned by it;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63"/>
        </w:numPr>
        <w:rPr>
          <w:rFonts w:ascii="Arial" w:cs="Arial" w:eastAsia="Arial" w:hAnsi="Arial"/>
          <w:sz w:val="22"/>
          <w:szCs w:val="22"/>
          <w:color w:val="auto"/>
        </w:rPr>
      </w:pPr>
      <w:r>
        <w:rPr>
          <w:rFonts w:ascii="Arial" w:cs="Arial" w:eastAsia="Arial" w:hAnsi="Arial"/>
          <w:sz w:val="22"/>
          <w:szCs w:val="22"/>
          <w:color w:val="auto"/>
        </w:rPr>
        <w:t>following the occurrence of a Termination Event (or with respect to the Purchased Receivables of an Approved Debtor, following the occurrence of a Debtor Default Event with respect thereto), to comply with any reasonable directions, orders and instructions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7" w:right="239" w:bottom="1440" w:gutter="0" w:footer="0" w:header="0"/>
        </w:sectPr>
      </w:pPr>
    </w:p>
    <w:bookmarkStart w:id="153" w:name="page154"/>
    <w:bookmarkEnd w:id="153"/>
    <w:p>
      <w:pPr>
        <w:jc w:val="both"/>
        <w:spacing w:after="0" w:line="250" w:lineRule="auto"/>
        <w:rPr>
          <w:sz w:val="20"/>
          <w:szCs w:val="20"/>
          <w:color w:val="auto"/>
        </w:rPr>
      </w:pPr>
      <w:r>
        <w:rPr>
          <w:rFonts w:ascii="Arial" w:cs="Arial" w:eastAsia="Arial" w:hAnsi="Arial"/>
          <w:sz w:val="22"/>
          <w:szCs w:val="22"/>
          <w:color w:val="auto"/>
        </w:rPr>
        <w:t>any procedures for the administration and commencement and continuation of legal or other proceedings against each applicable Debtor to enforce payment of the Purchased Receivables thereof) given by the Administrative Agent and to take such action on the Banks’ behalf as the Administrative Agent may request to procure the ordinary course collection of such accounts as directed by the Administrative Agent;</w:t>
      </w:r>
    </w:p>
    <w:p>
      <w:pPr>
        <w:spacing w:after="0" w:line="188" w:lineRule="exact"/>
        <w:rPr>
          <w:sz w:val="20"/>
          <w:szCs w:val="20"/>
          <w:color w:val="auto"/>
        </w:rPr>
      </w:pPr>
    </w:p>
    <w:p>
      <w:pPr>
        <w:jc w:val="both"/>
        <w:ind w:firstLine="1305"/>
        <w:spacing w:after="0" w:line="297" w:lineRule="auto"/>
        <w:tabs>
          <w:tab w:leader="none" w:pos="1783" w:val="left"/>
        </w:tabs>
        <w:numPr>
          <w:ilvl w:val="0"/>
          <w:numId w:val="64"/>
        </w:numPr>
        <w:rPr>
          <w:rFonts w:ascii="Arial" w:cs="Arial" w:eastAsia="Arial" w:hAnsi="Arial"/>
          <w:sz w:val="19"/>
          <w:szCs w:val="19"/>
          <w:color w:val="auto"/>
        </w:rPr>
      </w:pPr>
      <w:r>
        <w:rPr>
          <w:rFonts w:ascii="Arial" w:cs="Arial" w:eastAsia="Arial" w:hAnsi="Arial"/>
          <w:sz w:val="19"/>
          <w:szCs w:val="19"/>
          <w:color w:val="auto"/>
        </w:rPr>
        <w:t>to use reasonable efforts to recover and enforce payment of any or all applicable Purchased Receivables and, following the occurrence of a Termination Event (or with respect to the Purchased Receivables of an Approved Debtor, following the occurrence of a Debtor Default Event with respect thereto), provide such reasonably requested information as to assist the Administrative Agent to recover and enforce payment of any or all such Purchased Receivables (including at the request of the Administrative Agent joining in and being a party to any legal or other action which the Administrative Agent has taken or wishes to take against the applicable Debtor with the Administrative Agent being entitled to full control of such action);</w:t>
      </w:r>
    </w:p>
    <w:p>
      <w:pPr>
        <w:spacing w:after="0" w:line="146" w:lineRule="exact"/>
        <w:rPr>
          <w:rFonts w:ascii="Arial" w:cs="Arial" w:eastAsia="Arial" w:hAnsi="Arial"/>
          <w:sz w:val="19"/>
          <w:szCs w:val="19"/>
          <w:color w:val="auto"/>
        </w:rPr>
      </w:pPr>
    </w:p>
    <w:p>
      <w:pPr>
        <w:ind w:right="20" w:firstLine="1305"/>
        <w:spacing w:after="0" w:line="276" w:lineRule="auto"/>
        <w:tabs>
          <w:tab w:leader="none" w:pos="1815" w:val="left"/>
        </w:tabs>
        <w:numPr>
          <w:ilvl w:val="0"/>
          <w:numId w:val="64"/>
        </w:numPr>
        <w:rPr>
          <w:rFonts w:ascii="Arial" w:cs="Arial" w:eastAsia="Arial" w:hAnsi="Arial"/>
          <w:sz w:val="22"/>
          <w:szCs w:val="22"/>
          <w:color w:val="auto"/>
        </w:rPr>
      </w:pPr>
      <w:r>
        <w:rPr>
          <w:rFonts w:ascii="Arial" w:cs="Arial" w:eastAsia="Arial" w:hAnsi="Arial"/>
          <w:sz w:val="22"/>
          <w:szCs w:val="22"/>
          <w:color w:val="auto"/>
        </w:rPr>
        <w:t>to take such action as may reasonably be required by applicable law to perfect and protect or more fully evidence or implement the Banks’ rights under this Agreement and the transactions contemplated hereby;</w:t>
      </w:r>
    </w:p>
    <w:p>
      <w:pPr>
        <w:spacing w:after="0" w:line="160" w:lineRule="exact"/>
        <w:rPr>
          <w:rFonts w:ascii="Arial" w:cs="Arial" w:eastAsia="Arial" w:hAnsi="Arial"/>
          <w:sz w:val="22"/>
          <w:szCs w:val="22"/>
          <w:color w:val="auto"/>
        </w:rPr>
      </w:pPr>
    </w:p>
    <w:p>
      <w:pPr>
        <w:jc w:val="both"/>
        <w:ind w:firstLine="1305"/>
        <w:spacing w:after="0" w:line="292" w:lineRule="auto"/>
        <w:tabs>
          <w:tab w:leader="none" w:pos="1761"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to provide information and reports to the Administrative Agent (for distribution to the Banks) as reasonably requested by the Administrative Agent or the Banks reasonably related to the transactions contemplated by this Agreement, of which information and reports shall be complete and accurate in all material respects, including without limitation, annual audited financial statements for the Company and its consolidated subsidiaries within 120 days after the end of each fiscal year or as soon as available if earlier and unaudited financial statements for the Company and its consolidated subsidiaries within 60 days after the end of each fiscal quarter or as soon as available if earlier; </w:t>
      </w:r>
      <w:r>
        <w:rPr>
          <w:rFonts w:ascii="Arial" w:cs="Arial" w:eastAsia="Arial" w:hAnsi="Arial"/>
          <w:sz w:val="19"/>
          <w:szCs w:val="19"/>
          <w:u w:val="single" w:color="auto"/>
          <w:color w:val="auto"/>
        </w:rPr>
        <w:t>provided</w:t>
      </w:r>
      <w:r>
        <w:rPr>
          <w:rFonts w:ascii="Arial" w:cs="Arial" w:eastAsia="Arial" w:hAnsi="Arial"/>
          <w:sz w:val="19"/>
          <w:szCs w:val="19"/>
          <w:color w:val="auto"/>
        </w:rPr>
        <w:t>, if the Company files its consolidated financial statements with the United States Securities and Exchange Commission, the Company shall be deemed to be in compliance with this clause and shall not be required to deliver the foregoing financial statements to the Administrative Agent;</w:t>
      </w:r>
    </w:p>
    <w:p>
      <w:pPr>
        <w:spacing w:after="0" w:line="155" w:lineRule="exact"/>
        <w:rPr>
          <w:rFonts w:ascii="Arial" w:cs="Arial" w:eastAsia="Arial" w:hAnsi="Arial"/>
          <w:sz w:val="19"/>
          <w:szCs w:val="19"/>
          <w:color w:val="auto"/>
        </w:rPr>
      </w:pPr>
    </w:p>
    <w:p>
      <w:pPr>
        <w:jc w:val="both"/>
        <w:ind w:firstLine="1305"/>
        <w:spacing w:after="0" w:line="260" w:lineRule="auto"/>
        <w:tabs>
          <w:tab w:leader="none" w:pos="1810" w:val="left"/>
        </w:tabs>
        <w:numPr>
          <w:ilvl w:val="0"/>
          <w:numId w:val="64"/>
        </w:numPr>
        <w:rPr>
          <w:rFonts w:ascii="Arial" w:cs="Arial" w:eastAsia="Arial" w:hAnsi="Arial"/>
          <w:sz w:val="21"/>
          <w:szCs w:val="21"/>
          <w:color w:val="auto"/>
        </w:rPr>
      </w:pPr>
      <w:r>
        <w:rPr>
          <w:rFonts w:ascii="Arial" w:cs="Arial" w:eastAsia="Arial" w:hAnsi="Arial"/>
          <w:sz w:val="21"/>
          <w:szCs w:val="21"/>
          <w:color w:val="auto"/>
        </w:rPr>
        <w:t>(i) at any time during regular business hours and upon reasonable prior notice, to permit the Administrative Agent (on behalf of the Banks) or any of its agents or representatives, (A) to examine and make copies of and abstracts from the Company’s records relating to Purchased Receivables, including the Contracts and Sales Records, and (B) to visit the offices and properties of the Company for the purpose of examining such records and to discuss matters relating to Purchased Receivables or the Company’s performance hereunder with any of the officers or employees of the Company having knowledge of such matters; and (ii) without limiting the provisions of clause (i), from time to time on request of the Administrative Agent, permit certified public accountants or other auditors reasonably acceptable to the Administrative Agent to conduct, at the Company’s expense, a review of the Company’s books and records; provided that such examinations, visits and reviews by the Administrative Agent or accountants shall occur no more than once a year during any period of time that there is no default by the Company of its obligations hereunder;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7" w:right="239" w:bottom="1440" w:gutter="0" w:footer="0" w:header="0"/>
        </w:sectPr>
      </w:pPr>
    </w:p>
    <w:bookmarkStart w:id="154" w:name="page155"/>
    <w:bookmarkEnd w:id="154"/>
    <w:p>
      <w:pPr>
        <w:jc w:val="both"/>
        <w:ind w:firstLine="1305"/>
        <w:spacing w:after="0" w:line="320" w:lineRule="auto"/>
        <w:tabs>
          <w:tab w:leader="none" w:pos="1721" w:val="left"/>
        </w:tabs>
        <w:numPr>
          <w:ilvl w:val="0"/>
          <w:numId w:val="65"/>
        </w:numPr>
        <w:rPr>
          <w:rFonts w:ascii="Arial" w:cs="Arial" w:eastAsia="Arial" w:hAnsi="Arial"/>
          <w:sz w:val="19"/>
          <w:szCs w:val="19"/>
          <w:color w:val="auto"/>
        </w:rPr>
      </w:pPr>
      <w:r>
        <w:rPr>
          <w:rFonts w:ascii="Arial" w:cs="Arial" w:eastAsia="Arial" w:hAnsi="Arial"/>
          <w:sz w:val="19"/>
          <w:szCs w:val="19"/>
          <w:color w:val="auto"/>
        </w:rPr>
        <w:t>to keep its jurisdiction of organization at the location referred to in Schedule 3 or, upon 30 days’ prior written notice to the Administrative Agent, at such other location in a jurisdiction where all action required by Section 9.1 shall have been completed; and not change its name except upon like notice and after all action required by Section 9.1 shall have been completed.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12. PARTIAL INVALIDITY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at any time any provision of the Transaction Documents shall be adjudged by any court or other competent tribunal to be illegal, invalid or unenforceable, the validity, legality, and enforceability of the remaining provisions hereof shall not in any way be affected or impaired nor shall the legality, validity or enforceability of such provisions under the law of any other jurisdiction be in any way affected or impaired thereby and the parties hereto will use their best efforts to revise the invalid provision so as to render it enforceable in accordance with the intention expressed in this Agreement.</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SECTION 13. NO BANK LIABILITY FOR CONTRACT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Company hereby acknowledges and agrees that neither any Bank nor the Administrative Agent shall be in any way responsible for the performance of any Contract and neither any Bank nor the Administrative Agent shall have any obligation to intervene in any dispute arising out of the performance of any Contract. Any claim which the Company may have against any Debtor or any other party, including any successors or assignees, and/or the failure of the Debtor to fulfill its respective obligations under each Contract shall not affect the obligations of the Company to perform its obligations and make payments under this Agreement and shall not be used as a defense or as set-off, counterclaim or cross-complaint as against the performance or payment of any of its obligations.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SECTION 14. NOTICES, ADDRESSES, LANGUAGE</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i w:val="1"/>
          <w:iCs w:val="1"/>
          <w:color w:val="auto"/>
        </w:rPr>
        <w:t>Section 14.1. Notices, Addresses</w:t>
      </w:r>
      <w:r>
        <w:rPr>
          <w:rFonts w:ascii="Arial" w:cs="Arial" w:eastAsia="Arial" w:hAnsi="Arial"/>
          <w:sz w:val="22"/>
          <w:szCs w:val="22"/>
          <w:color w:val="auto"/>
        </w:rPr>
        <w:t>. (a) All notices, requests and demands given or made under the Transaction Documents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given or made in writing and unless otherwise stated shall be made by telefax or letter using the address as specified below or such other address as the party may designate to the other party: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7" w:right="239" w:bottom="1440" w:gutter="0" w:footer="0" w:header="0"/>
        </w:sectPr>
      </w:pPr>
    </w:p>
    <w:bookmarkStart w:id="155" w:name="page156"/>
    <w:bookmarkEnd w:id="155"/>
    <w:p>
      <w:pPr>
        <w:ind w:left="1300"/>
        <w:spacing w:after="0"/>
        <w:rPr>
          <w:sz w:val="20"/>
          <w:szCs w:val="20"/>
          <w:color w:val="auto"/>
        </w:rPr>
      </w:pPr>
      <w:r>
        <w:rPr>
          <w:rFonts w:ascii="Arial" w:cs="Arial" w:eastAsia="Arial" w:hAnsi="Arial"/>
          <w:sz w:val="22"/>
          <w:szCs w:val="22"/>
          <w:i w:val="1"/>
          <w:iCs w:val="1"/>
          <w:color w:val="auto"/>
        </w:rPr>
        <w:t>To the Company</w:t>
      </w:r>
    </w:p>
    <w:p>
      <w:pPr>
        <w:spacing w:after="0" w:line="22" w:lineRule="exact"/>
        <w:rPr>
          <w:sz w:val="20"/>
          <w:szCs w:val="20"/>
          <w:color w:val="auto"/>
        </w:rPr>
      </w:pPr>
    </w:p>
    <w:p>
      <w:pPr>
        <w:ind w:left="3240"/>
        <w:spacing w:after="0"/>
        <w:tabs>
          <w:tab w:leader="none" w:pos="4660" w:val="left"/>
        </w:tabs>
        <w:rPr>
          <w:sz w:val="20"/>
          <w:szCs w:val="20"/>
          <w:color w:val="auto"/>
        </w:rPr>
      </w:pPr>
      <w:r>
        <w:rPr>
          <w:rFonts w:ascii="Arial" w:cs="Arial" w:eastAsia="Arial" w:hAnsi="Arial"/>
          <w:sz w:val="22"/>
          <w:szCs w:val="22"/>
          <w:i w:val="1"/>
          <w:iCs w:val="1"/>
          <w:color w:val="auto"/>
        </w:rPr>
        <w:t>or the Parent:</w:t>
      </w:r>
      <w:r>
        <w:rPr>
          <w:sz w:val="20"/>
          <w:szCs w:val="20"/>
          <w:color w:val="auto"/>
        </w:rPr>
        <w:tab/>
      </w:r>
      <w:r>
        <w:rPr>
          <w:rFonts w:ascii="Arial" w:cs="Arial" w:eastAsia="Arial" w:hAnsi="Arial"/>
          <w:sz w:val="19"/>
          <w:szCs w:val="19"/>
          <w:color w:val="auto"/>
        </w:rPr>
        <w:t>The Scotts Company LLC</w:t>
      </w:r>
    </w:p>
    <w:p>
      <w:pPr>
        <w:spacing w:after="0" w:line="9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Attention:</w:t>
        <w:tab/>
        <w:t>Treasurer</w:t>
      </w:r>
    </w:p>
    <w:p>
      <w:pPr>
        <w:spacing w:after="0" w:line="22"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auto"/>
        </w:rPr>
        <w:t>Street Address:</w:t>
      </w:r>
      <w:r>
        <w:rPr>
          <w:sz w:val="20"/>
          <w:szCs w:val="20"/>
          <w:color w:val="auto"/>
        </w:rPr>
        <w:tab/>
      </w:r>
      <w:r>
        <w:rPr>
          <w:rFonts w:ascii="Arial" w:cs="Arial" w:eastAsia="Arial" w:hAnsi="Arial"/>
          <w:sz w:val="19"/>
          <w:szCs w:val="19"/>
          <w:color w:val="auto"/>
        </w:rPr>
        <w:t>14111 Scottslawn Road</w:t>
      </w:r>
    </w:p>
    <w:p>
      <w:pPr>
        <w:spacing w:after="0" w:line="4"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Marysville, Ohio 43041</w:t>
      </w:r>
    </w:p>
    <w:p>
      <w:pPr>
        <w:spacing w:after="0" w:line="9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color w:val="auto"/>
        </w:rPr>
        <w:t>Facsimile:</w:t>
        <w:tab/>
        <w:t>937-578-5754</w:t>
      </w:r>
    </w:p>
    <w:p>
      <w:pPr>
        <w:spacing w:after="0" w:line="220" w:lineRule="exact"/>
        <w:rPr>
          <w:sz w:val="20"/>
          <w:szCs w:val="20"/>
          <w:color w:val="auto"/>
        </w:rPr>
      </w:pPr>
    </w:p>
    <w:p>
      <w:pPr>
        <w:ind w:left="1300"/>
        <w:spacing w:after="0"/>
        <w:tabs>
          <w:tab w:leader="none" w:pos="4040" w:val="left"/>
        </w:tabs>
        <w:rPr>
          <w:sz w:val="20"/>
          <w:szCs w:val="20"/>
          <w:color w:val="auto"/>
        </w:rPr>
      </w:pPr>
      <w:r>
        <w:rPr>
          <w:rFonts w:ascii="Arial" w:cs="Arial" w:eastAsia="Arial" w:hAnsi="Arial"/>
          <w:sz w:val="22"/>
          <w:szCs w:val="22"/>
          <w:i w:val="1"/>
          <w:iCs w:val="1"/>
          <w:color w:val="auto"/>
        </w:rPr>
        <w:t>To the Administrative Agent:</w:t>
      </w:r>
      <w:r>
        <w:rPr>
          <w:sz w:val="20"/>
          <w:szCs w:val="20"/>
          <w:color w:val="auto"/>
        </w:rPr>
        <w:tab/>
      </w:r>
      <w:r>
        <w:rPr>
          <w:rFonts w:ascii="Arial" w:cs="Arial" w:eastAsia="Arial" w:hAnsi="Arial"/>
          <w:sz w:val="19"/>
          <w:szCs w:val="19"/>
          <w:color w:val="auto"/>
        </w:rPr>
        <w:t>Mizuho Corporate Bank, Ltd.</w:t>
      </w:r>
    </w:p>
    <w:p>
      <w:pPr>
        <w:spacing w:after="0" w:line="112"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Attention:</w:t>
        <w:tab/>
        <w:t>Johan Andreasson</w:t>
      </w:r>
    </w:p>
    <w:p>
      <w:pPr>
        <w:spacing w:after="0" w:line="22"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auto"/>
        </w:rPr>
        <w:t>Street Address:</w:t>
      </w:r>
      <w:r>
        <w:rPr>
          <w:sz w:val="20"/>
          <w:szCs w:val="20"/>
          <w:color w:val="auto"/>
        </w:rPr>
        <w:tab/>
      </w:r>
      <w:r>
        <w:rPr>
          <w:rFonts w:ascii="Arial" w:cs="Arial" w:eastAsia="Arial" w:hAnsi="Arial"/>
          <w:sz w:val="19"/>
          <w:szCs w:val="19"/>
          <w:color w:val="auto"/>
        </w:rPr>
        <w:t>1251 Avenue of the Americas</w:t>
      </w:r>
    </w:p>
    <w:p>
      <w:pPr>
        <w:spacing w:after="0" w:line="4"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New York, NY 10020</w:t>
      </w:r>
    </w:p>
    <w:p>
      <w:pPr>
        <w:spacing w:after="0" w:line="35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johan.andreasson@mizuhocbus.com</w:t>
      </w:r>
    </w:p>
    <w:p>
      <w:pPr>
        <w:spacing w:after="0" w:line="260"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2"/>
          <w:szCs w:val="22"/>
          <w:i w:val="1"/>
          <w:iCs w:val="1"/>
          <w:color w:val="auto"/>
        </w:rPr>
        <w:t>To Each Bank:</w:t>
      </w:r>
      <w:r>
        <w:rPr>
          <w:sz w:val="20"/>
          <w:szCs w:val="20"/>
          <w:color w:val="auto"/>
        </w:rPr>
        <w:tab/>
      </w:r>
      <w:r>
        <w:rPr>
          <w:rFonts w:ascii="Arial" w:cs="Arial" w:eastAsia="Arial" w:hAnsi="Arial"/>
          <w:sz w:val="19"/>
          <w:szCs w:val="19"/>
          <w:color w:val="auto"/>
        </w:rPr>
        <w:t>As notified in writing to</w:t>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the Administrative Agent</w:t>
      </w:r>
    </w:p>
    <w:p>
      <w:pPr>
        <w:spacing w:after="0" w:line="242" w:lineRule="exact"/>
        <w:rPr>
          <w:sz w:val="20"/>
          <w:szCs w:val="20"/>
          <w:color w:val="auto"/>
        </w:rPr>
      </w:pPr>
    </w:p>
    <w:p>
      <w:pPr>
        <w:jc w:val="both"/>
        <w:ind w:firstLine="1305"/>
        <w:spacing w:after="0" w:line="307" w:lineRule="auto"/>
        <w:tabs>
          <w:tab w:leader="none" w:pos="1728"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notices, requests and demands shall be deemed to have been duly given or made when dispatched by telefax when the confirmation showing the completed transmission was received or, if mailed via a reputable international courier, when it has been left at the relevant address or five (5) Business Days after being delivered to such reputable international courier, in an envelope addressed to the applicable person at that address and to the attention of the person(s) set forth above.</w:t>
      </w:r>
    </w:p>
    <w:p>
      <w:pPr>
        <w:spacing w:after="0" w:line="138" w:lineRule="exact"/>
        <w:rPr>
          <w:rFonts w:ascii="Arial" w:cs="Arial" w:eastAsia="Arial" w:hAnsi="Arial"/>
          <w:sz w:val="19"/>
          <w:szCs w:val="19"/>
          <w:color w:val="auto"/>
        </w:rPr>
      </w:pPr>
    </w:p>
    <w:p>
      <w:pPr>
        <w:ind w:firstLine="1305"/>
        <w:spacing w:after="0" w:line="276" w:lineRule="auto"/>
        <w:tabs>
          <w:tab w:leader="none" w:pos="1851"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party hereto shall promptly inform the other of any changes in their respective addresses, facsimile numbers and/or email addresses specified above.</w:t>
      </w:r>
    </w:p>
    <w:p>
      <w:pPr>
        <w:spacing w:after="0" w:line="1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i w:val="1"/>
          <w:iCs w:val="1"/>
          <w:color w:val="auto"/>
        </w:rPr>
        <w:t>Section 14.2. English Language</w:t>
      </w:r>
      <w:r>
        <w:rPr>
          <w:rFonts w:ascii="Arial" w:cs="Arial" w:eastAsia="Arial" w:hAnsi="Arial"/>
          <w:sz w:val="21"/>
          <w:szCs w:val="21"/>
          <w:color w:val="auto"/>
        </w:rPr>
        <w:t>. Each communication and document made or delivered by one party to another pursuant</w:t>
      </w:r>
      <w:r>
        <w:rPr>
          <w:rFonts w:ascii="Arial" w:cs="Arial" w:eastAsia="Arial" w:hAnsi="Arial"/>
          <w:sz w:val="21"/>
          <w:szCs w:val="21"/>
          <w:i w:val="1"/>
          <w:iCs w:val="1"/>
          <w:color w:val="auto"/>
        </w:rPr>
        <w:t xml:space="preserve"> </w:t>
      </w:r>
      <w:r>
        <w:rPr>
          <w:rFonts w:ascii="Arial" w:cs="Arial" w:eastAsia="Arial" w:hAnsi="Arial"/>
          <w:sz w:val="21"/>
          <w:szCs w:val="21"/>
          <w:color w:val="auto"/>
        </w:rPr>
        <w:t>to this Agreement shall be in the English language or accompanied by a translation thereof into English (certified by an officer of the person making or delivering the same) as being a true and accurate translation thereof.</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SECTION 15. FEES, COSTS AND INDEMNITY.</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i w:val="1"/>
          <w:iCs w:val="1"/>
          <w:color w:val="auto"/>
        </w:rPr>
        <w:t>Section 15.1. Fees</w:t>
      </w:r>
      <w:r>
        <w:rPr>
          <w:rFonts w:ascii="Arial" w:cs="Arial" w:eastAsia="Arial" w:hAnsi="Arial"/>
          <w:sz w:val="22"/>
          <w:szCs w:val="22"/>
          <w:color w:val="auto"/>
        </w:rPr>
        <w:t>. The Company shall pay to the Administrative Agent on or before the Closing Date such fees as are set</w:t>
      </w:r>
      <w:r>
        <w:rPr>
          <w:rFonts w:ascii="Arial" w:cs="Arial" w:eastAsia="Arial" w:hAnsi="Arial"/>
          <w:sz w:val="22"/>
          <w:szCs w:val="22"/>
          <w:i w:val="1"/>
          <w:iCs w:val="1"/>
          <w:color w:val="auto"/>
        </w:rPr>
        <w:t xml:space="preserve"> </w:t>
      </w:r>
      <w:r>
        <w:rPr>
          <w:rFonts w:ascii="Arial" w:cs="Arial" w:eastAsia="Arial" w:hAnsi="Arial"/>
          <w:sz w:val="22"/>
          <w:szCs w:val="22"/>
          <w:color w:val="auto"/>
        </w:rPr>
        <w:t>forth in the Fee Letter.</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i w:val="1"/>
          <w:iCs w:val="1"/>
          <w:color w:val="auto"/>
        </w:rPr>
        <w:t>Section 15.2. Costs and Expenses</w:t>
      </w:r>
      <w:r>
        <w:rPr>
          <w:rFonts w:ascii="Arial" w:cs="Arial" w:eastAsia="Arial" w:hAnsi="Arial"/>
          <w:sz w:val="21"/>
          <w:szCs w:val="21"/>
          <w:color w:val="auto"/>
        </w:rPr>
        <w:t>. All reasonable and documented, out-of-pocket costs, charges and expenses, including</w:t>
      </w:r>
      <w:r>
        <w:rPr>
          <w:rFonts w:ascii="Arial" w:cs="Arial" w:eastAsia="Arial" w:hAnsi="Arial"/>
          <w:sz w:val="21"/>
          <w:szCs w:val="21"/>
          <w:i w:val="1"/>
          <w:iCs w:val="1"/>
          <w:color w:val="auto"/>
        </w:rPr>
        <w:t xml:space="preserve"> </w:t>
      </w:r>
      <w:r>
        <w:rPr>
          <w:rFonts w:ascii="Arial" w:cs="Arial" w:eastAsia="Arial" w:hAnsi="Arial"/>
          <w:sz w:val="21"/>
          <w:szCs w:val="21"/>
          <w:color w:val="auto"/>
        </w:rPr>
        <w:t>reasonable fees and expenses of legal counsel, audit and due diligence expenses in relation to the preparation and execution of the Transaction Documents and each Purchased Receivable by the Administrative Agent and the Banks shall be paid by the Company to the Administrative Agent and the Banks, as applicable, within five (5) Business Days of presentation of a statement of accounts whether or not any Receivables are purchased 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7" w:right="239" w:bottom="1440" w:gutter="0" w:footer="0" w:header="0"/>
        </w:sectPr>
      </w:pPr>
    </w:p>
    <w:bookmarkStart w:id="156" w:name="page157"/>
    <w:bookmarkEnd w:id="156"/>
    <w:p>
      <w:pPr>
        <w:jc w:val="both"/>
        <w:ind w:firstLine="648"/>
        <w:spacing w:after="0" w:line="300" w:lineRule="auto"/>
        <w:rPr>
          <w:sz w:val="20"/>
          <w:szCs w:val="20"/>
          <w:color w:val="auto"/>
        </w:rPr>
      </w:pPr>
      <w:r>
        <w:rPr>
          <w:rFonts w:ascii="Arial" w:cs="Arial" w:eastAsia="Arial" w:hAnsi="Arial"/>
          <w:sz w:val="19"/>
          <w:szCs w:val="19"/>
          <w:i w:val="1"/>
          <w:iCs w:val="1"/>
          <w:color w:val="auto"/>
        </w:rPr>
        <w:t>Section 15.3. Duties and Taxes</w:t>
      </w:r>
      <w:r>
        <w:rPr>
          <w:rFonts w:ascii="Arial" w:cs="Arial" w:eastAsia="Arial" w:hAnsi="Arial"/>
          <w:sz w:val="19"/>
          <w:szCs w:val="19"/>
          <w:color w:val="auto"/>
        </w:rPr>
        <w:t>. Without duplication of any obligation under Section 7.2, all Other Taxes (excluding Taxes</w:t>
      </w:r>
      <w:r>
        <w:rPr>
          <w:rFonts w:ascii="Arial" w:cs="Arial" w:eastAsia="Arial" w:hAnsi="Arial"/>
          <w:sz w:val="19"/>
          <w:szCs w:val="19"/>
          <w:i w:val="1"/>
          <w:iCs w:val="1"/>
          <w:color w:val="auto"/>
        </w:rPr>
        <w:t xml:space="preserve"> </w:t>
      </w:r>
      <w:r>
        <w:rPr>
          <w:rFonts w:ascii="Arial" w:cs="Arial" w:eastAsia="Arial" w:hAnsi="Arial"/>
          <w:sz w:val="19"/>
          <w:szCs w:val="19"/>
          <w:color w:val="auto"/>
        </w:rPr>
        <w:t>referred to in clauses (i) through (iv), inclusive of Section 7.2.1), shall be paid by the Company, it being understood and agreed that each of the Administrative Agent and each Bank shall be entitled but not obliged to pay any such Other Taxes (whether or not they are its primary responsibility), and the Company shall on demand indemnify each of the Administrative Agent and each Bank against those Other Taxes and against any costs and expenses so incurred by it in discharging them.</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i w:val="1"/>
          <w:iCs w:val="1"/>
          <w:color w:val="auto"/>
        </w:rPr>
        <w:t>Section 15.4. Indemnity</w:t>
      </w:r>
      <w:r>
        <w:rPr>
          <w:rFonts w:ascii="Arial" w:cs="Arial" w:eastAsia="Arial" w:hAnsi="Arial"/>
          <w:sz w:val="19"/>
          <w:szCs w:val="19"/>
          <w:color w:val="auto"/>
        </w:rPr>
        <w:t>. The Company agrees to indemnify, defend and save harmless each of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each Bank (including each of its branches, affiliates, officers, directors, employees or other agents, the </w:t>
      </w:r>
      <w:r>
        <w:rPr>
          <w:rFonts w:ascii="Arial" w:cs="Arial" w:eastAsia="Arial" w:hAnsi="Arial"/>
          <w:sz w:val="19"/>
          <w:szCs w:val="19"/>
          <w:i w:val="1"/>
          <w:iCs w:val="1"/>
          <w:color w:val="auto"/>
        </w:rPr>
        <w:t>“Indemnified Party”</w:t>
      </w:r>
      <w:r>
        <w:rPr>
          <w:rFonts w:ascii="Arial" w:cs="Arial" w:eastAsia="Arial" w:hAnsi="Arial"/>
          <w:sz w:val="19"/>
          <w:szCs w:val="19"/>
          <w:color w:val="auto"/>
        </w:rPr>
        <w:t>), other than for such Indemnified Party’s own gross negligence or willful misconduct, forthwith on demand, from and against any and all related losses, claims, damages, liabilities, costs and expenses (including, without limitation, all reasonable attorneys’ fees and expenses, expenses incurred by their respective credit recovery groups (or any successors thereto) and expenses of settlement, litigation or preparation therefor) which any Indemnified Party may incur or which may be asserted against any Indemnified Party by any person (including, without limitation, any Debtor or any other person whether on its own behalf or derivatively on behalf of the Company) arising from or incurred in connection with any of the following events:</w:t>
      </w:r>
    </w:p>
    <w:p>
      <w:pPr>
        <w:spacing w:after="0" w:line="156" w:lineRule="exact"/>
        <w:rPr>
          <w:sz w:val="20"/>
          <w:szCs w:val="20"/>
          <w:color w:val="auto"/>
        </w:rPr>
      </w:pPr>
    </w:p>
    <w:p>
      <w:pPr>
        <w:jc w:val="both"/>
        <w:ind w:left="660" w:firstLine="1293"/>
        <w:spacing w:after="0" w:line="358" w:lineRule="auto"/>
        <w:tabs>
          <w:tab w:leader="none" w:pos="235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failure to vest in the Banks (or through the Administrative Agent for the benefit of the Banks) a first priority perfected ownership interest or security interest in each Purchased Receivable, free and clear of any Adverse Claim;</w:t>
      </w:r>
    </w:p>
    <w:p>
      <w:pPr>
        <w:spacing w:after="0" w:line="90" w:lineRule="exact"/>
        <w:rPr>
          <w:rFonts w:ascii="Arial" w:cs="Arial" w:eastAsia="Arial" w:hAnsi="Arial"/>
          <w:sz w:val="19"/>
          <w:szCs w:val="19"/>
          <w:color w:val="auto"/>
        </w:rPr>
      </w:pPr>
    </w:p>
    <w:p>
      <w:pPr>
        <w:jc w:val="both"/>
        <w:ind w:left="660" w:firstLine="1293"/>
        <w:spacing w:after="0" w:line="300" w:lineRule="auto"/>
        <w:tabs>
          <w:tab w:leader="none" w:pos="2441" w:val="left"/>
        </w:tabs>
        <w:numPr>
          <w:ilvl w:val="0"/>
          <w:numId w:val="67"/>
        </w:numPr>
        <w:rPr>
          <w:rFonts w:ascii="Arial" w:cs="Arial" w:eastAsia="Arial" w:hAnsi="Arial"/>
          <w:sz w:val="19"/>
          <w:szCs w:val="19"/>
          <w:color w:val="auto"/>
        </w:rPr>
      </w:pPr>
      <w:r>
        <w:rPr>
          <w:rFonts w:ascii="Arial" w:cs="Arial" w:eastAsia="Arial" w:hAnsi="Arial"/>
          <w:sz w:val="19"/>
          <w:szCs w:val="19"/>
          <w:color w:val="auto"/>
        </w:rPr>
        <w:t>(A) the commingling by the Company of Collections of Purchased Receivables at any time with other funds of the Company or other Person, and/or (B) the failure of the Company to direct any Debtor to make payment on Purchased Receivables to the Blocked Account; provided that each of the Administrative Agent and each Bank hereby acknowledges the lien on the Collections deposited in the Blocked Accounts of Receivables not sold under this Agreement of JPMorgan Chase Bank, N.A., as Administration Agent under the terms of the Credit Agreement;</w:t>
      </w:r>
    </w:p>
    <w:p>
      <w:pPr>
        <w:spacing w:after="0" w:line="147" w:lineRule="exact"/>
        <w:rPr>
          <w:rFonts w:ascii="Arial" w:cs="Arial" w:eastAsia="Arial" w:hAnsi="Arial"/>
          <w:sz w:val="19"/>
          <w:szCs w:val="19"/>
          <w:color w:val="auto"/>
        </w:rPr>
      </w:pPr>
    </w:p>
    <w:p>
      <w:pPr>
        <w:ind w:left="660" w:firstLine="1293"/>
        <w:spacing w:after="0" w:line="276" w:lineRule="auto"/>
        <w:tabs>
          <w:tab w:leader="none" w:pos="2623"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representation or warranty made by the Company pursuant to this Agreement is inaccurate, incorrect or untrue in any material respect;</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failure of the Company to perform any of its duties or obligations hereunder;</w:t>
      </w:r>
    </w:p>
    <w:p>
      <w:pPr>
        <w:spacing w:after="0" w:line="233" w:lineRule="exact"/>
        <w:rPr>
          <w:rFonts w:ascii="Arial" w:cs="Arial" w:eastAsia="Arial" w:hAnsi="Arial"/>
          <w:sz w:val="22"/>
          <w:szCs w:val="22"/>
          <w:color w:val="auto"/>
        </w:rPr>
      </w:pPr>
    </w:p>
    <w:p>
      <w:pPr>
        <w:ind w:left="660" w:firstLine="1293"/>
        <w:spacing w:after="0" w:line="358" w:lineRule="auto"/>
        <w:tabs>
          <w:tab w:leader="none" w:pos="2389"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failure to promptly execute when reasonably requested to do so by the Administrative Agent, of any document or instrument confirming the sale to the Banks under applicable law with respect to the Purchased Receivables;</w:t>
      </w:r>
    </w:p>
    <w:p>
      <w:pPr>
        <w:spacing w:after="0" w:line="90" w:lineRule="exact"/>
        <w:rPr>
          <w:rFonts w:ascii="Arial" w:cs="Arial" w:eastAsia="Arial" w:hAnsi="Arial"/>
          <w:sz w:val="19"/>
          <w:szCs w:val="19"/>
          <w:color w:val="auto"/>
        </w:rPr>
      </w:pPr>
    </w:p>
    <w:p>
      <w:pPr>
        <w:jc w:val="both"/>
        <w:ind w:left="660" w:firstLine="1293"/>
        <w:spacing w:after="0" w:line="320" w:lineRule="auto"/>
        <w:tabs>
          <w:tab w:leader="none" w:pos="2448" w:val="left"/>
        </w:tabs>
        <w:numPr>
          <w:ilvl w:val="0"/>
          <w:numId w:val="67"/>
        </w:numPr>
        <w:rPr>
          <w:rFonts w:ascii="Arial" w:cs="Arial" w:eastAsia="Arial" w:hAnsi="Arial"/>
          <w:sz w:val="19"/>
          <w:szCs w:val="19"/>
          <w:color w:val="auto"/>
        </w:rPr>
      </w:pPr>
      <w:r>
        <w:rPr>
          <w:rFonts w:ascii="Arial" w:cs="Arial" w:eastAsia="Arial" w:hAnsi="Arial"/>
          <w:sz w:val="19"/>
          <w:szCs w:val="19"/>
          <w:color w:val="auto"/>
        </w:rPr>
        <w:t>(1) any claim or dispute resulting from the sale of the merchandise or services related to any Purchased Receivable or the furnishing or failure to furnish such merchandise or services including, without limitation, any discount (other than a discount already taken into account in determining the Purchase Price of a Purchased Receivable as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7" w:right="239" w:bottom="1440" w:gutter="0" w:footer="0" w:header="0"/>
        </w:sectPr>
      </w:pPr>
    </w:p>
    <w:bookmarkStart w:id="157" w:name="page158"/>
    <w:bookmarkEnd w:id="157"/>
    <w:p>
      <w:pPr>
        <w:jc w:val="both"/>
        <w:ind w:left="660"/>
        <w:spacing w:after="0" w:line="263" w:lineRule="auto"/>
        <w:rPr>
          <w:sz w:val="20"/>
          <w:szCs w:val="20"/>
          <w:color w:val="auto"/>
        </w:rPr>
      </w:pPr>
      <w:r>
        <w:rPr>
          <w:rFonts w:ascii="Arial" w:cs="Arial" w:eastAsia="Arial" w:hAnsi="Arial"/>
          <w:sz w:val="21"/>
          <w:szCs w:val="21"/>
          <w:color w:val="auto"/>
        </w:rPr>
        <w:t>set forth in a Portfolio Report), (2) any adjustment, offset, withholding tax, deduction, counterclaim, warranty issue or refusal of an Approved Debtor to pay not arising from the Financial Inability to Pay of such Debtor; or (3) any products liability claim arising out of or in connection with merchandise or services that are the subject of any Purchased Receivable (if any Receivable is more than 60 days past due, other than as a result of the Financial Inability to Pay of the Debtor, it shall be presumed that such Debtor has asserted a contractual claim or dispute);</w:t>
      </w:r>
    </w:p>
    <w:p>
      <w:pPr>
        <w:spacing w:after="0" w:line="176" w:lineRule="exact"/>
        <w:rPr>
          <w:sz w:val="20"/>
          <w:szCs w:val="20"/>
          <w:color w:val="auto"/>
        </w:rPr>
      </w:pPr>
    </w:p>
    <w:p>
      <w:pPr>
        <w:jc w:val="both"/>
        <w:ind w:left="660" w:firstLine="1293"/>
        <w:spacing w:after="0" w:line="260" w:lineRule="auto"/>
        <w:tabs>
          <w:tab w:leader="none" w:pos="2522"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investigation, litigation or proceeding related to any act or omission by the Company with respect to this Agreement or the transactions contemplated hereby except to the extent that such investigation, litigation or proceeding arises due to the Bank’s gross negligence or willful misconduct;</w:t>
      </w:r>
    </w:p>
    <w:p>
      <w:pPr>
        <w:spacing w:after="0" w:line="177" w:lineRule="exact"/>
        <w:rPr>
          <w:rFonts w:ascii="Arial" w:cs="Arial" w:eastAsia="Arial" w:hAnsi="Arial"/>
          <w:sz w:val="22"/>
          <w:szCs w:val="22"/>
          <w:color w:val="auto"/>
        </w:rPr>
      </w:pPr>
    </w:p>
    <w:p>
      <w:pPr>
        <w:jc w:val="both"/>
        <w:ind w:left="660" w:firstLine="1293"/>
        <w:spacing w:after="0" w:line="307" w:lineRule="auto"/>
        <w:tabs>
          <w:tab w:leader="none" w:pos="2569"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material defect in authenticity or any material discrepancy between the records at the Company in respect of the Purchased Receivables or the documents issued by the Company supporting the Purchased Receivables and the information provided to the Administrative Agent and the Banks by the Company or any failure by the Company to provide the Administrative Agent and the Banks with information regarding the Purchased Receivables;</w:t>
      </w:r>
    </w:p>
    <w:p>
      <w:pPr>
        <w:spacing w:after="0" w:line="138" w:lineRule="exact"/>
        <w:rPr>
          <w:rFonts w:ascii="Arial" w:cs="Arial" w:eastAsia="Arial" w:hAnsi="Arial"/>
          <w:sz w:val="19"/>
          <w:szCs w:val="19"/>
          <w:color w:val="auto"/>
        </w:rPr>
      </w:pPr>
    </w:p>
    <w:p>
      <w:pPr>
        <w:ind w:left="2440" w:hanging="487"/>
        <w:spacing w:after="0"/>
        <w:tabs>
          <w:tab w:leader="none" w:pos="24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claim or dispute arising out of or in connection with the Monsanto Agreement; and</w:t>
      </w:r>
    </w:p>
    <w:p>
      <w:pPr>
        <w:spacing w:after="0" w:line="233" w:lineRule="exact"/>
        <w:rPr>
          <w:rFonts w:ascii="Arial" w:cs="Arial" w:eastAsia="Arial" w:hAnsi="Arial"/>
          <w:sz w:val="22"/>
          <w:szCs w:val="22"/>
          <w:color w:val="auto"/>
        </w:rPr>
      </w:pPr>
    </w:p>
    <w:p>
      <w:pPr>
        <w:jc w:val="both"/>
        <w:ind w:left="660" w:firstLine="1293"/>
        <w:spacing w:after="0" w:line="260" w:lineRule="auto"/>
        <w:tabs>
          <w:tab w:leader="none" w:pos="24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and all reasonable and documented out-of-pocket costs and expenses, including reasonable legal fees and court costs, incurred by the Administrative Agent and the Banks in enforcing the obligations of the Company under this Agreement and the other Transaction Documents;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nothing in this Section 15.4 shall be deemed to provide indemnity to the Administrative Agent and the Banks for</w:t>
      </w:r>
      <w:r>
        <w:rPr>
          <w:rFonts w:ascii="Arial" w:cs="Arial" w:eastAsia="Arial" w:hAnsi="Arial"/>
          <w:sz w:val="22"/>
          <w:szCs w:val="22"/>
          <w:i w:val="1"/>
          <w:iCs w:val="1"/>
          <w:color w:val="auto"/>
        </w:rPr>
        <w:t xml:space="preserve"> </w:t>
      </w:r>
      <w:r>
        <w:rPr>
          <w:rFonts w:ascii="Arial" w:cs="Arial" w:eastAsia="Arial" w:hAnsi="Arial"/>
          <w:sz w:val="22"/>
          <w:szCs w:val="22"/>
          <w:color w:val="auto"/>
        </w:rPr>
        <w:t>credit losses resulting from the Financial Inability to Pay of any Debtor.</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i w:val="1"/>
          <w:iCs w:val="1"/>
          <w:color w:val="auto"/>
        </w:rPr>
        <w:t>Section 15.5. Waiver of Consequential Damages, Etc</w:t>
      </w:r>
      <w:r>
        <w:rPr>
          <w:rFonts w:ascii="Arial" w:cs="Arial" w:eastAsia="Arial" w:hAnsi="Arial"/>
          <w:sz w:val="21"/>
          <w:szCs w:val="21"/>
          <w:color w:val="auto"/>
        </w:rPr>
        <w:t>. To the fullest extent permitted by applicable law, no party hereto</w:t>
      </w:r>
      <w:r>
        <w:rPr>
          <w:rFonts w:ascii="Arial" w:cs="Arial" w:eastAsia="Arial" w:hAnsi="Arial"/>
          <w:sz w:val="21"/>
          <w:szCs w:val="21"/>
          <w:i w:val="1"/>
          <w:iCs w:val="1"/>
          <w:color w:val="auto"/>
        </w:rPr>
        <w:t xml:space="preserve"> </w:t>
      </w:r>
      <w:r>
        <w:rPr>
          <w:rFonts w:ascii="Arial" w:cs="Arial" w:eastAsia="Arial" w:hAnsi="Arial"/>
          <w:sz w:val="21"/>
          <w:szCs w:val="21"/>
          <w:color w:val="auto"/>
        </w:rPr>
        <w:t>shall assert, and each party hereto hereby waives, any claim against any Indemnified Party,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No Indemnified Party shall be liable for any damages arising from the use by unintended recipients of any information or other materials distributed by it through telecommunications, electronic or other information transmission systems in connection with this Agreement, the other Transaction Documents or the transactions contemplated hereby or thereby, unless such information or materials are obtained by any unintended recipient as a result of such Indemnified Party’s gross negligence or willful misconduct.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7"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SECTION 16. CALCULATIONS AND CERTIFICATE.</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i w:val="1"/>
          <w:iCs w:val="1"/>
          <w:color w:val="auto"/>
        </w:rPr>
        <w:t>Section 16.1. Accounts</w:t>
      </w:r>
      <w:r>
        <w:rPr>
          <w:rFonts w:ascii="Arial" w:cs="Arial" w:eastAsia="Arial" w:hAnsi="Arial"/>
          <w:sz w:val="22"/>
          <w:szCs w:val="22"/>
          <w:color w:val="auto"/>
        </w:rPr>
        <w:t>. Absent manifest error, the entries made in the accounts maintained by the Administrative Agent</w:t>
      </w:r>
      <w:r>
        <w:rPr>
          <w:rFonts w:ascii="Arial" w:cs="Arial" w:eastAsia="Arial" w:hAnsi="Arial"/>
          <w:sz w:val="22"/>
          <w:szCs w:val="22"/>
          <w:i w:val="1"/>
          <w:iCs w:val="1"/>
          <w:color w:val="auto"/>
        </w:rPr>
        <w:t xml:space="preserve"> </w:t>
      </w:r>
      <w:r>
        <w:rPr>
          <w:rFonts w:ascii="Arial" w:cs="Arial" w:eastAsia="Arial" w:hAnsi="Arial"/>
          <w:sz w:val="22"/>
          <w:szCs w:val="22"/>
          <w:color w:val="auto"/>
        </w:rPr>
        <w:t>are presumptive evidence of the matters to which they relate.</w:t>
      </w:r>
    </w:p>
    <w:p>
      <w:pPr>
        <w:spacing w:after="0" w:line="161"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i w:val="1"/>
          <w:iCs w:val="1"/>
          <w:color w:val="auto"/>
        </w:rPr>
        <w:t>Section 16.2. Certificates and Determinations</w:t>
      </w:r>
      <w:r>
        <w:rPr>
          <w:rFonts w:ascii="Arial" w:cs="Arial" w:eastAsia="Arial" w:hAnsi="Arial"/>
          <w:sz w:val="19"/>
          <w:szCs w:val="19"/>
          <w:color w:val="auto"/>
        </w:rPr>
        <w:t>. Any certification or determination by the Administrative Agent of a rate or</w:t>
      </w:r>
      <w:r>
        <w:rPr>
          <w:rFonts w:ascii="Arial" w:cs="Arial" w:eastAsia="Arial" w:hAnsi="Arial"/>
          <w:sz w:val="19"/>
          <w:szCs w:val="19"/>
          <w:i w:val="1"/>
          <w:iCs w:val="1"/>
          <w:color w:val="auto"/>
        </w:rPr>
        <w:t xml:space="preserve"> </w:t>
      </w:r>
      <w:r>
        <w:rPr>
          <w:rFonts w:ascii="Arial" w:cs="Arial" w:eastAsia="Arial" w:hAnsi="Arial"/>
          <w:sz w:val="19"/>
          <w:szCs w:val="19"/>
          <w:color w:val="auto"/>
        </w:rPr>
        <w:t>amount under any Transaction Document is, in the absence of manifest error, conclusive evidence of the matters to which it relates.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SECTION 17. SET-OFF.</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hereby authorizes each Bank to apply any credit balance (in whatever currency denominated) on any account of the Company with such Bank or any affiliate of such Bank in satisfaction of any sum due and payable by the Company pursuant to the terms of this Agreement. For this purpose each Bank is authorized to purchase at its spot rate of exchange with the moneys standing to the credit of any such account Dollars as may be necessary to effect such application.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SECTION 18. TERMINATION.</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18.1.</w:t>
      </w:r>
      <w:r>
        <w:rPr>
          <w:sz w:val="20"/>
          <w:szCs w:val="20"/>
          <w:color w:val="auto"/>
        </w:rPr>
        <w:tab/>
      </w:r>
      <w:r>
        <w:rPr>
          <w:rFonts w:ascii="Arial" w:cs="Arial" w:eastAsia="Arial" w:hAnsi="Arial"/>
          <w:sz w:val="19"/>
          <w:szCs w:val="19"/>
          <w:color w:val="auto"/>
        </w:rPr>
        <w:t>The following events or occurrences shall constitute Termination Events:</w:t>
      </w:r>
    </w:p>
    <w:p>
      <w:pPr>
        <w:spacing w:after="0" w:line="233" w:lineRule="exact"/>
        <w:rPr>
          <w:sz w:val="20"/>
          <w:szCs w:val="20"/>
          <w:color w:val="auto"/>
        </w:rPr>
      </w:pPr>
    </w:p>
    <w:p>
      <w:pPr>
        <w:ind w:left="1720" w:hanging="415"/>
        <w:spacing w:after="0"/>
        <w:tabs>
          <w:tab w:leader="none" w:pos="17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Company or the Parent shall fail to pay (i) any amount due by it pursuant to Section 4.5(e) or (ii) within five</w:t>
      </w:r>
    </w:p>
    <w:p>
      <w:pPr>
        <w:spacing w:after="0" w:line="56" w:lineRule="exact"/>
        <w:rPr>
          <w:rFonts w:ascii="Arial" w:cs="Arial" w:eastAsia="Arial" w:hAnsi="Arial"/>
          <w:sz w:val="19"/>
          <w:szCs w:val="19"/>
          <w:color w:val="auto"/>
        </w:rPr>
      </w:pPr>
    </w:p>
    <w:p>
      <w:pPr>
        <w:jc w:val="both"/>
        <w:ind w:firstLine="8"/>
        <w:spacing w:after="0" w:line="251" w:lineRule="auto"/>
        <w:tabs>
          <w:tab w:leader="none" w:pos="356" w:val="left"/>
        </w:tabs>
        <w:numPr>
          <w:ilvl w:val="0"/>
          <w:numId w:val="70"/>
        </w:numPr>
        <w:rPr>
          <w:rFonts w:ascii="Arial" w:cs="Arial" w:eastAsia="Arial" w:hAnsi="Arial"/>
          <w:sz w:val="22"/>
          <w:szCs w:val="22"/>
          <w:color w:val="auto"/>
        </w:rPr>
      </w:pPr>
      <w:r>
        <w:rPr>
          <w:rFonts w:ascii="Arial" w:cs="Arial" w:eastAsia="Arial" w:hAnsi="Arial"/>
          <w:sz w:val="22"/>
          <w:szCs w:val="22"/>
          <w:color w:val="auto"/>
        </w:rPr>
        <w:t>calendar days of the date when due, any other amount then due and payable under this Agreement, including, without limitation, amounts payable by the Company in its capacity as servicer or under the indemnity for breaches of any warranties or covenants contained in this Agreement;</w:t>
      </w:r>
    </w:p>
    <w:p>
      <w:pPr>
        <w:spacing w:after="0" w:line="187" w:lineRule="exact"/>
        <w:rPr>
          <w:rFonts w:ascii="Arial" w:cs="Arial" w:eastAsia="Arial" w:hAnsi="Arial"/>
          <w:sz w:val="22"/>
          <w:szCs w:val="22"/>
          <w:color w:val="auto"/>
        </w:rPr>
      </w:pPr>
    </w:p>
    <w:p>
      <w:pPr>
        <w:jc w:val="both"/>
        <w:ind w:firstLine="1305"/>
        <w:spacing w:after="0" w:line="278" w:lineRule="auto"/>
        <w:tabs>
          <w:tab w:leader="none" w:pos="1904"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Company or the Parent is in default (i) beyond the period of grace, if any, in the payment of any indebtedness exceeding $75,000,000, or (ii) under any agreement or instrument relating to any such indebtedness the result of which would allow the holder thereof to accelerate the payment of such indebtedness prior to its stated maturity;</w:t>
      </w:r>
    </w:p>
    <w:p>
      <w:pPr>
        <w:spacing w:after="0" w:line="160" w:lineRule="exact"/>
        <w:rPr>
          <w:rFonts w:ascii="Arial" w:cs="Arial" w:eastAsia="Arial" w:hAnsi="Arial"/>
          <w:sz w:val="21"/>
          <w:szCs w:val="21"/>
          <w:color w:val="auto"/>
        </w:rPr>
      </w:pPr>
    </w:p>
    <w:p>
      <w:pPr>
        <w:jc w:val="both"/>
        <w:ind w:firstLine="1305"/>
        <w:spacing w:after="0" w:line="254" w:lineRule="auto"/>
        <w:tabs>
          <w:tab w:leader="none" w:pos="1797"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Company or the Parent (i) shall generally fail to pay its debts as they become due, (ii) has commenced against it any bankruptcy or insolvency proceeding which is not dismissed within 60 days or commences any bankruptcy or insolvency proceeding, (iii) has any receiver, trustee, liquidator or other similar person appointed for itself or a substantial portion of its property or (iv) takes any action to effectuate or authorize any of the foregoing;</w:t>
      </w:r>
    </w:p>
    <w:p>
      <w:pPr>
        <w:spacing w:after="0" w:line="185" w:lineRule="exact"/>
        <w:rPr>
          <w:rFonts w:ascii="Arial" w:cs="Arial" w:eastAsia="Arial" w:hAnsi="Arial"/>
          <w:sz w:val="22"/>
          <w:szCs w:val="22"/>
          <w:color w:val="auto"/>
        </w:rPr>
      </w:pPr>
    </w:p>
    <w:p>
      <w:pPr>
        <w:ind w:firstLine="1305"/>
        <w:spacing w:after="0" w:line="276" w:lineRule="auto"/>
        <w:tabs>
          <w:tab w:leader="none" w:pos="1796"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Adverse Claim shall occur as to any of the Purchased Receivables or proceeds thereof, which results in Collections thereof being reduced by an amount in excess of 10% of the Funded Amount thereof;</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716" w:val="left"/>
        </w:tabs>
        <w:numPr>
          <w:ilvl w:val="1"/>
          <w:numId w:val="70"/>
        </w:numPr>
        <w:rPr>
          <w:rFonts w:ascii="Arial" w:cs="Arial" w:eastAsia="Arial" w:hAnsi="Arial"/>
          <w:sz w:val="19"/>
          <w:szCs w:val="19"/>
          <w:color w:val="auto"/>
        </w:rPr>
      </w:pPr>
      <w:r>
        <w:rPr>
          <w:rFonts w:ascii="Arial" w:cs="Arial" w:eastAsia="Arial" w:hAnsi="Arial"/>
          <w:sz w:val="19"/>
          <w:szCs w:val="19"/>
          <w:color w:val="auto"/>
        </w:rPr>
        <w:t>(i) the Company or Parent, as applicable, breaches any covenant set forth in Section 4 (other than as provided in Section 18.1(a)(i)), 5.1, 6.1, 9.1, 15.4 or 22(a) of this Agreement and such breach shall continue for fifteen (15) calendar days after a Responsible Officer of the Company has knowledge thereof, (ii) the Company breaches any covenant set forth in Section 11.1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15" w:right="239" w:bottom="1440" w:gutter="0" w:footer="0" w:header="0"/>
        </w:sectPr>
      </w:pPr>
    </w:p>
    <w:bookmarkStart w:id="159" w:name="page160"/>
    <w:bookmarkEnd w:id="159"/>
    <w:p>
      <w:pPr>
        <w:jc w:val="both"/>
        <w:spacing w:after="0" w:line="292" w:lineRule="auto"/>
        <w:rPr>
          <w:sz w:val="20"/>
          <w:szCs w:val="20"/>
          <w:color w:val="auto"/>
        </w:rPr>
      </w:pPr>
      <w:r>
        <w:rPr>
          <w:rFonts w:ascii="Arial" w:cs="Arial" w:eastAsia="Arial" w:hAnsi="Arial"/>
          <w:sz w:val="19"/>
          <w:szCs w:val="19"/>
          <w:color w:val="auto"/>
        </w:rPr>
        <w:t>(c), (g), (i), (k), (l), or (m) of this Agreement and such breach shall continue for thirty (30) calendar days after a Responsible Officer of the Company has knowledge thereof or (iii) the Company breaches any covenant set forth in Section 11.1(h) of this Agreement or any similar covenant which requires, or upon the request of the Bank would require, the Company to file or join in any lawsuit against, or take any other legal action against, any Approved Debtor and such breach shall continue for thirty (30) calendar days after a Responsible Officer of the Company has knowledge thereof, or (iv) the Company or Parent, as applicable, breaches any other covenants set forth in this Agreement or any other Transaction Document and such breach shall continue for thirty (30) calendar days after a Responsible Officer of the Company or Parent, as applicable, has knowledge thereof;</w:t>
      </w:r>
    </w:p>
    <w:p>
      <w:pPr>
        <w:spacing w:after="0" w:line="151" w:lineRule="exact"/>
        <w:rPr>
          <w:sz w:val="20"/>
          <w:szCs w:val="20"/>
          <w:color w:val="auto"/>
        </w:rPr>
      </w:pPr>
    </w:p>
    <w:p>
      <w:pPr>
        <w:ind w:left="1700" w:hanging="395"/>
        <w:spacing w:after="0"/>
        <w:tabs>
          <w:tab w:leader="none" w:pos="17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failure by the Parent to own 100% of the outstanding voting interests of the Company;</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default in the due observance or performance by the Parent of the covenant set forth in Section 22(b) of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and</w:t>
      </w:r>
    </w:p>
    <w:p>
      <w:pPr>
        <w:spacing w:after="0" w:line="215" w:lineRule="exact"/>
        <w:rPr>
          <w:rFonts w:ascii="Arial" w:cs="Arial" w:eastAsia="Arial" w:hAnsi="Arial"/>
          <w:sz w:val="19"/>
          <w:szCs w:val="19"/>
          <w:color w:val="auto"/>
        </w:rPr>
      </w:pPr>
    </w:p>
    <w:p>
      <w:pPr>
        <w:ind w:firstLine="1305"/>
        <w:spacing w:after="0" w:line="276" w:lineRule="auto"/>
        <w:tabs>
          <w:tab w:leader="none" w:pos="1999"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final termination of any blocked account agreement relating to a Blocked Account without the Administrative Agent’s prior written consent.</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i w:val="1"/>
          <w:iCs w:val="1"/>
          <w:color w:val="auto"/>
        </w:rPr>
        <w:t xml:space="preserve">Section 18.2. </w:t>
      </w:r>
      <w:r>
        <w:rPr>
          <w:rFonts w:ascii="Arial" w:cs="Arial" w:eastAsia="Arial" w:hAnsi="Arial"/>
          <w:sz w:val="19"/>
          <w:szCs w:val="19"/>
          <w:color w:val="auto"/>
        </w:rPr>
        <w:t>Upon the occurrence of any Termination Event, the Administrative Agent may, and at the request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Required Banks shall, immediately terminate any agreement the Banks had made at such time to purchase additional Receivables and any authority the Banks had given the Company to purchase Replacement Receivables; </w:t>
      </w:r>
      <w:r>
        <w:rPr>
          <w:rFonts w:ascii="Arial" w:cs="Arial" w:eastAsia="Arial" w:hAnsi="Arial"/>
          <w:sz w:val="19"/>
          <w:szCs w:val="19"/>
          <w:i w:val="1"/>
          <w:iCs w:val="1"/>
          <w:color w:val="auto"/>
        </w:rPr>
        <w:t>provided</w:t>
      </w:r>
      <w:r>
        <w:rPr>
          <w:rFonts w:ascii="Arial" w:cs="Arial" w:eastAsia="Arial" w:hAnsi="Arial"/>
          <w:sz w:val="19"/>
          <w:szCs w:val="19"/>
          <w:color w:val="auto"/>
        </w:rPr>
        <w:t>, that upon the occurrence of any event (without any requirement for the passage of time or the giving of notice) described in Section 18.1(c), the Termination Date shall automatically occur and any agreement made by the Banks to purchase additional Receivables and any authority the Banks have given to the Company to purchase Replacement Receivables shall automatically terminate. Notwithstanding any other provision hereof, this Agreement shall continue in full force and effect with respect to Purchased Receivables already purchased and all other rights, benefits and entitlements of the Administrative Agent and the Banks expressed or implied shall continue after such termination until the Final Collection Date.</w:t>
      </w:r>
    </w:p>
    <w:p>
      <w:pPr>
        <w:spacing w:after="0" w:line="1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i w:val="1"/>
          <w:iCs w:val="1"/>
          <w:color w:val="auto"/>
        </w:rPr>
        <w:t xml:space="preserve">Section 18.3. </w:t>
      </w:r>
      <w:r>
        <w:rPr>
          <w:rFonts w:ascii="Arial" w:cs="Arial" w:eastAsia="Arial" w:hAnsi="Arial"/>
          <w:sz w:val="22"/>
          <w:szCs w:val="22"/>
          <w:color w:val="auto"/>
        </w:rPr>
        <w:t>Upon the termination of this Agreement, the Administrative Agent, for the benefit of the Banks, will have, in</w:t>
      </w:r>
      <w:r>
        <w:rPr>
          <w:rFonts w:ascii="Arial" w:cs="Arial" w:eastAsia="Arial" w:hAnsi="Arial"/>
          <w:sz w:val="22"/>
          <w:szCs w:val="22"/>
          <w:i w:val="1"/>
          <w:iCs w:val="1"/>
          <w:color w:val="auto"/>
        </w:rPr>
        <w:t xml:space="preserve"> </w:t>
      </w:r>
      <w:r>
        <w:rPr>
          <w:rFonts w:ascii="Arial" w:cs="Arial" w:eastAsia="Arial" w:hAnsi="Arial"/>
          <w:sz w:val="22"/>
          <w:szCs w:val="22"/>
          <w:color w:val="auto"/>
        </w:rPr>
        <w:t>addition to its rights and remedies hereunder and under the other Transaction Documents, all other rights and remedies under applicable laws and otherwise, which rights and remedies will be cumulative.</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 xml:space="preserve">Section 18.4. </w:t>
      </w:r>
      <w:r>
        <w:rPr>
          <w:rFonts w:ascii="Arial" w:cs="Arial" w:eastAsia="Arial" w:hAnsi="Arial"/>
          <w:sz w:val="22"/>
          <w:szCs w:val="22"/>
          <w:color w:val="auto"/>
        </w:rPr>
        <w:t>Without limiting the rights of the Administrative Agent and the Banks, on the Termination Date, and on each</w:t>
      </w:r>
      <w:r>
        <w:rPr>
          <w:rFonts w:ascii="Arial" w:cs="Arial" w:eastAsia="Arial" w:hAnsi="Arial"/>
          <w:sz w:val="22"/>
          <w:szCs w:val="22"/>
          <w:i w:val="1"/>
          <w:iCs w:val="1"/>
          <w:color w:val="auto"/>
        </w:rPr>
        <w:t xml:space="preserve"> </w:t>
      </w:r>
      <w:r>
        <w:rPr>
          <w:rFonts w:ascii="Arial" w:cs="Arial" w:eastAsia="Arial" w:hAnsi="Arial"/>
          <w:sz w:val="22"/>
          <w:szCs w:val="22"/>
          <w:color w:val="auto"/>
        </w:rPr>
        <w:t>day thereafter, the Company, subject to the terms and conditions of this Agreement, will hold or deposit in trust in the Blocked Accounts, for the benefit of the Banks, the Collections of Purchased Receivables received by the Company on each such day and the Administrative Agent, at the direction of the Banks, may withdraw all such amounts from the Blocked Account upon giving the notice required under the relevant blocked account agreement. After the Administrative Agent has delivered any notice of termination under Section 18.1, the Company shall not exercise any right of set-off or compensation with respect to any sum owing to the Administrative Agent or any Bank.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7" w:right="239" w:bottom="1440" w:gutter="0" w:footer="0" w:header="0"/>
        </w:sectPr>
      </w:pPr>
    </w:p>
    <w:bookmarkStart w:id="160" w:name="page161"/>
    <w:bookmarkEnd w:id="160"/>
    <w:p>
      <w:pPr>
        <w:jc w:val="both"/>
        <w:ind w:firstLine="648"/>
        <w:spacing w:after="0" w:line="300" w:lineRule="auto"/>
        <w:rPr>
          <w:sz w:val="20"/>
          <w:szCs w:val="20"/>
          <w:color w:val="auto"/>
        </w:rPr>
      </w:pPr>
      <w:r>
        <w:rPr>
          <w:rFonts w:ascii="Arial" w:cs="Arial" w:eastAsia="Arial" w:hAnsi="Arial"/>
          <w:sz w:val="19"/>
          <w:szCs w:val="19"/>
          <w:i w:val="1"/>
          <w:iCs w:val="1"/>
          <w:color w:val="auto"/>
        </w:rPr>
        <w:t xml:space="preserve">Section 18.5. </w:t>
      </w:r>
      <w:r>
        <w:rPr>
          <w:rFonts w:ascii="Arial" w:cs="Arial" w:eastAsia="Arial" w:hAnsi="Arial"/>
          <w:sz w:val="19"/>
          <w:szCs w:val="19"/>
          <w:color w:val="auto"/>
        </w:rPr>
        <w:t>(a) On the Termination Date, and at all times thereafter, all Purchased Receivables described in Section 4.6,</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inclusive of those Purchased Receivables which are identified as Purchased Receivables in the Portfolio Report delivered by the Company, and which the Banks have funded the Purchase Price thereof as of the Company’s close of business on the day immediately preceding the Termination Date, shall, subject to verification and approval by the Administrative Agent and this Section 18.5, be the Total Purchased Receivables (the </w:t>
      </w:r>
      <w:r>
        <w:rPr>
          <w:rFonts w:ascii="Arial" w:cs="Arial" w:eastAsia="Arial" w:hAnsi="Arial"/>
          <w:sz w:val="19"/>
          <w:szCs w:val="19"/>
          <w:i w:val="1"/>
          <w:iCs w:val="1"/>
          <w:color w:val="auto"/>
        </w:rPr>
        <w:t>“Total Purchased Receivables”</w:t>
      </w:r>
      <w:r>
        <w:rPr>
          <w:rFonts w:ascii="Arial" w:cs="Arial" w:eastAsia="Arial" w:hAnsi="Arial"/>
          <w:sz w:val="19"/>
          <w:szCs w:val="19"/>
          <w:color w:val="auto"/>
        </w:rPr>
        <w:t>) for all purposes of this Agreement.</w:t>
      </w:r>
    </w:p>
    <w:p>
      <w:pPr>
        <w:spacing w:after="0" w:line="147" w:lineRule="exact"/>
        <w:rPr>
          <w:sz w:val="20"/>
          <w:szCs w:val="20"/>
          <w:color w:val="auto"/>
        </w:rPr>
      </w:pPr>
    </w:p>
    <w:p>
      <w:pPr>
        <w:jc w:val="both"/>
        <w:ind w:firstLine="656"/>
        <w:spacing w:after="0" w:line="287" w:lineRule="auto"/>
        <w:tabs>
          <w:tab w:leader="none" w:pos="1127" w:val="left"/>
        </w:tabs>
        <w:numPr>
          <w:ilvl w:val="0"/>
          <w:numId w:val="72"/>
        </w:numPr>
        <w:rPr>
          <w:rFonts w:ascii="Arial" w:cs="Arial" w:eastAsia="Arial" w:hAnsi="Arial"/>
          <w:sz w:val="19"/>
          <w:szCs w:val="19"/>
          <w:color w:val="auto"/>
        </w:rPr>
      </w:pPr>
      <w:r>
        <w:rPr>
          <w:rFonts w:ascii="Arial" w:cs="Arial" w:eastAsia="Arial" w:hAnsi="Arial"/>
          <w:sz w:val="19"/>
          <w:szCs w:val="19"/>
          <w:color w:val="auto"/>
        </w:rPr>
        <w:t>On the Termination Date, unless the Termination Date has been designated by the Administrative Agent in accordance with clause (iii) of the definition of Termination Date (</w:t>
      </w:r>
      <w:r>
        <w:rPr>
          <w:rFonts w:ascii="Arial" w:cs="Arial" w:eastAsia="Arial" w:hAnsi="Arial"/>
          <w:sz w:val="19"/>
          <w:szCs w:val="19"/>
          <w:i w:val="1"/>
          <w:iCs w:val="1"/>
          <w:color w:val="auto"/>
        </w:rPr>
        <w:t>“Bank Termination”</w:t>
      </w:r>
      <w:r>
        <w:rPr>
          <w:rFonts w:ascii="Arial" w:cs="Arial" w:eastAsia="Arial" w:hAnsi="Arial"/>
          <w:sz w:val="19"/>
          <w:szCs w:val="19"/>
          <w:color w:val="auto"/>
        </w:rPr>
        <w:t>), unless a Termination Event occurs following such Bank Termination, in which case the terms of this paragraph shall apply, and upon the identification of the Total Purchased Receivables, the Company shall immediately pay to the Administrative Agent for the benefit of the Banks the sum of (i) the Agreed Base Value of the Total Purchased Receivables (other than Defaulted Receivables), plus (ii) the Termination Interest and applicable Dilutions which have not otherwise been taken into account, plus (iii) in the event that a Debtor Default Event shall have occurred and then be continuing with respect to any Approved Debtor, an amount equal to the excess of (x) the Original Amount of the Total Purchased Receivables (other than Defaulted Receivables) of all Approved Debtors over (y) the Agreed Base Value of the Total Purchased Receivables (other than Defaulted Receivables), such amount not to exceed the Agreed Base Value of Defaulted Receivables of each Approved Debtor subject to a Debtor Default Event, in each case as determined by the Administrative Agent absent manifest error, and the Banks shall sell, set over, assign, transfer and convey to the Company, without recourse, all of its right, title and interest in, to and under such Total Purchased Receivables.</w:t>
      </w:r>
    </w:p>
    <w:p>
      <w:pPr>
        <w:spacing w:after="0" w:line="159" w:lineRule="exact"/>
        <w:rPr>
          <w:rFonts w:ascii="Arial" w:cs="Arial" w:eastAsia="Arial" w:hAnsi="Arial"/>
          <w:sz w:val="19"/>
          <w:szCs w:val="19"/>
          <w:color w:val="auto"/>
        </w:rPr>
      </w:pPr>
    </w:p>
    <w:p>
      <w:pPr>
        <w:jc w:val="both"/>
        <w:ind w:firstLine="656"/>
        <w:spacing w:after="0" w:line="263" w:lineRule="auto"/>
        <w:tabs>
          <w:tab w:leader="none" w:pos="1323" w:val="left"/>
        </w:tabs>
        <w:numPr>
          <w:ilvl w:val="0"/>
          <w:numId w:val="72"/>
        </w:numPr>
        <w:rPr>
          <w:rFonts w:ascii="Arial" w:cs="Arial" w:eastAsia="Arial" w:hAnsi="Arial"/>
          <w:sz w:val="21"/>
          <w:szCs w:val="21"/>
          <w:color w:val="auto"/>
        </w:rPr>
      </w:pPr>
      <w:r>
        <w:rPr>
          <w:rFonts w:ascii="Arial" w:cs="Arial" w:eastAsia="Arial" w:hAnsi="Arial"/>
          <w:sz w:val="21"/>
          <w:szCs w:val="21"/>
          <w:color w:val="auto"/>
        </w:rPr>
        <w:t>In the event of a Bank Termination, beginning on the Termination Date, no Bank shall purchase Purchased Receivables or Replacement Receivables except to the extent provided in Section 4.5(e)(ii)(x), the Company shall cease to purchase Replacement Receivables from Collections but shall continue to purchase Receivables pursuant to Section 4.5(e)(i), and the terms of this Agreement will continue in effect until the Purchased Receivables other than Defaulted Receivables then held by the Banks have been paid or become Defaulted Receivables, or a Termination Event occurs.</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325" w:val="left"/>
        </w:tabs>
        <w:numPr>
          <w:ilvl w:val="0"/>
          <w:numId w:val="72"/>
        </w:numPr>
        <w:rPr>
          <w:rFonts w:ascii="Arial" w:cs="Arial" w:eastAsia="Arial" w:hAnsi="Arial"/>
          <w:sz w:val="22"/>
          <w:szCs w:val="22"/>
          <w:color w:val="auto"/>
        </w:rPr>
      </w:pPr>
      <w:r>
        <w:rPr>
          <w:rFonts w:ascii="Arial" w:cs="Arial" w:eastAsia="Arial" w:hAnsi="Arial"/>
          <w:sz w:val="22"/>
          <w:szCs w:val="22"/>
          <w:color w:val="auto"/>
        </w:rPr>
        <w:t>If the Company fails to pay such amount, the list of the Total Purchased Receivables (other than Defaulted Receivables) shall be amended to include such amount of additional Receivables from the Approved Debtors as is necessary to make the Funded Amount of the Total Purchased Receivables (other than Defaulted Receivables) equal to the aggregate Purchase Price thereof as at the Termination Date.</w:t>
      </w:r>
    </w:p>
    <w:p>
      <w:pPr>
        <w:spacing w:after="0" w:line="188" w:lineRule="exact"/>
        <w:rPr>
          <w:rFonts w:ascii="Arial" w:cs="Arial" w:eastAsia="Arial" w:hAnsi="Arial"/>
          <w:sz w:val="22"/>
          <w:szCs w:val="22"/>
          <w:color w:val="auto"/>
        </w:rPr>
      </w:pPr>
    </w:p>
    <w:p>
      <w:pPr>
        <w:jc w:val="both"/>
        <w:ind w:firstLine="656"/>
        <w:spacing w:after="0" w:line="302" w:lineRule="auto"/>
        <w:tabs>
          <w:tab w:leader="none" w:pos="1189" w:val="left"/>
        </w:tabs>
        <w:numPr>
          <w:ilvl w:val="0"/>
          <w:numId w:val="72"/>
        </w:numPr>
        <w:rPr>
          <w:rFonts w:ascii="Arial" w:cs="Arial" w:eastAsia="Arial" w:hAnsi="Arial"/>
          <w:sz w:val="19"/>
          <w:szCs w:val="19"/>
          <w:color w:val="auto"/>
        </w:rPr>
      </w:pPr>
      <w:r>
        <w:rPr>
          <w:rFonts w:ascii="Arial" w:cs="Arial" w:eastAsia="Arial" w:hAnsi="Arial"/>
          <w:sz w:val="19"/>
          <w:szCs w:val="19"/>
          <w:color w:val="auto"/>
        </w:rPr>
        <w:t>Without limiting the foregoing, in the event that a Debtor Default Event shall occur with respect to any Approved Debtor, the Administrative Agent and the Banks shall have the rights and remedies as set forth in this Section 18.5 with respect to the Purchased Receivables of such Approved Debtor, and (i) references in this Section 18.5 to the “Total Purchased Receivables” shall be deemed to be to all of the Purchased Receivables of such Approved Debtor, and (ii) references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7" w:right="239" w:bottom="1440" w:gutter="0" w:footer="0" w:header="0"/>
        </w:sectPr>
      </w:pPr>
    </w:p>
    <w:bookmarkStart w:id="161" w:name="page162"/>
    <w:bookmarkEnd w:id="161"/>
    <w:p>
      <w:pPr>
        <w:jc w:val="both"/>
        <w:ind w:right="20"/>
        <w:spacing w:after="0" w:line="263" w:lineRule="auto"/>
        <w:rPr>
          <w:sz w:val="20"/>
          <w:szCs w:val="20"/>
          <w:color w:val="auto"/>
        </w:rPr>
      </w:pPr>
      <w:r>
        <w:rPr>
          <w:rFonts w:ascii="Arial" w:cs="Arial" w:eastAsia="Arial" w:hAnsi="Arial"/>
          <w:sz w:val="22"/>
          <w:szCs w:val="22"/>
          <w:color w:val="auto"/>
        </w:rPr>
        <w:t>in this Section 18.5 to the “Termination Date” shall be deemed to be to the determination date of the occurrence of such Debtor Default Event.</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SECTION 19. MISCELLANEOUS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Section 19.1. Assignments and Transfers</w:t>
      </w:r>
      <w:r>
        <w:rPr>
          <w:rFonts w:ascii="Arial" w:cs="Arial" w:eastAsia="Arial" w:hAnsi="Arial"/>
          <w:sz w:val="19"/>
          <w:szCs w:val="19"/>
          <w:color w:val="auto"/>
        </w:rPr>
        <w:t>. (a) Each Bank may at any time assign, transfer or participate (including by way</w:t>
      </w:r>
      <w:r>
        <w:rPr>
          <w:rFonts w:ascii="Arial" w:cs="Arial" w:eastAsia="Arial" w:hAnsi="Arial"/>
          <w:sz w:val="19"/>
          <w:szCs w:val="19"/>
          <w:i w:val="1"/>
          <w:iCs w:val="1"/>
          <w:color w:val="auto"/>
        </w:rPr>
        <w:t xml:space="preserve"> </w:t>
      </w:r>
      <w:r>
        <w:rPr>
          <w:rFonts w:ascii="Arial" w:cs="Arial" w:eastAsia="Arial" w:hAnsi="Arial"/>
          <w:sz w:val="19"/>
          <w:szCs w:val="19"/>
          <w:color w:val="auto"/>
        </w:rPr>
        <w:t>of novation) any of its rights and obligations under the Transaction Documents to another bank or financial institution; provided that, with respect to any assignment (but not, for the avoidance of doubt, in the case of any participation, for which neither notice to, nor the consent of, any party shall be required), such Bank shall notify the Administrative Agent and the Company in writing at least fifteen days prior to such assignment and (x) obtain the Administrative Agent’s written consent thereto, which consent shall not be unreasonably withheld or delayed, and (y) obtain the Company’s written consent thereto, which consent shall not be unreasonably withheld or delayed, and shall not be required at any time a Termination Event has occurred and is continuing and has not otherwise been waived or cured. So long as no Termination Event has occurred and is continuing and has not otherwise been waived or cured, if the Company so elects, the Company shall have fifteen days from the date of such notice to repurchase any outstanding Purchased Receivables from an assigning Bank at the Purchase Price as set forth in Section 21.1 with respect to any amounts outstanding from each Debtor in relation to each Purchased Receivable, plus any other amounts outstanding from the Company to such Bank under this Agreement, including breakage costs under Section 7.4. The parties to each assignment shall execute and deliver to the Administrative Agent an assignment and assumption agreement in form and substance reasonably satisfactory to the Administrative Agent, together with all forms, certificates or other evidence each assignee is required to provide pursuant to Section 7.2.5 and a processing and recordation fee of $5,000.</w:t>
      </w:r>
    </w:p>
    <w:p>
      <w:pPr>
        <w:spacing w:after="0" w:line="159" w:lineRule="exact"/>
        <w:rPr>
          <w:sz w:val="20"/>
          <w:szCs w:val="20"/>
          <w:color w:val="auto"/>
        </w:rPr>
      </w:pPr>
    </w:p>
    <w:p>
      <w:pPr>
        <w:jc w:val="both"/>
        <w:ind w:firstLine="1305"/>
        <w:spacing w:after="0" w:line="260" w:lineRule="auto"/>
        <w:tabs>
          <w:tab w:leader="none" w:pos="1837"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Notwithstanding anything herein to the contrary, in the event that the Company shall purchase any Bank’s rights and obligations under the Transaction Documents in accordance with Section 19.1(a), the Company shall have no right whatsoever so long as it holds such Bank’s rights and obligations:</w:t>
      </w:r>
    </w:p>
    <w:p>
      <w:pPr>
        <w:spacing w:after="0" w:line="177" w:lineRule="exact"/>
        <w:rPr>
          <w:rFonts w:ascii="Arial" w:cs="Arial" w:eastAsia="Arial" w:hAnsi="Arial"/>
          <w:sz w:val="22"/>
          <w:szCs w:val="22"/>
          <w:color w:val="auto"/>
        </w:rPr>
      </w:pPr>
    </w:p>
    <w:p>
      <w:pPr>
        <w:jc w:val="both"/>
        <w:ind w:left="660" w:firstLine="1293"/>
        <w:spacing w:after="0" w:line="261" w:lineRule="auto"/>
        <w:tabs>
          <w:tab w:leader="none" w:pos="2381" w:val="left"/>
        </w:tabs>
        <w:numPr>
          <w:ilvl w:val="1"/>
          <w:numId w:val="73"/>
        </w:numPr>
        <w:rPr>
          <w:rFonts w:ascii="Arial" w:cs="Arial" w:eastAsia="Arial" w:hAnsi="Arial"/>
          <w:sz w:val="21"/>
          <w:szCs w:val="21"/>
          <w:color w:val="auto"/>
        </w:rPr>
      </w:pPr>
      <w:r>
        <w:rPr>
          <w:rFonts w:ascii="Arial" w:cs="Arial" w:eastAsia="Arial" w:hAnsi="Arial"/>
          <w:sz w:val="21"/>
          <w:szCs w:val="21"/>
          <w:color w:val="auto"/>
        </w:rPr>
        <w:t xml:space="preserve">to vote with respect to any amendment, modification, waiver, consent or other such action with respect to any of the terms of this Agreement or any other Transaction Document and it shall be deemed to have voted its interest as a Bank without discretion in the same proportion as the allocation of voting with respect to such matter by the Banks who are not the Company; </w:t>
      </w:r>
      <w:r>
        <w:rPr>
          <w:rFonts w:ascii="Arial" w:cs="Arial" w:eastAsia="Arial" w:hAnsi="Arial"/>
          <w:sz w:val="21"/>
          <w:szCs w:val="21"/>
          <w:i w:val="1"/>
          <w:iCs w:val="1"/>
          <w:color w:val="auto"/>
        </w:rPr>
        <w:t>provided</w:t>
      </w:r>
      <w:r>
        <w:rPr>
          <w:rFonts w:ascii="Arial" w:cs="Arial" w:eastAsia="Arial" w:hAnsi="Arial"/>
          <w:sz w:val="21"/>
          <w:szCs w:val="21"/>
          <w:color w:val="auto"/>
        </w:rPr>
        <w:t>, notwithstanding the foregoing, (1) the Company shall be permitted to vote if such amendment, modification, waiver, consent or other such action disproportionately affects the Company in its capacity as a Bank as compared to other Banks, and (2) no amendment, modification, waiver, consent or other action shall deprive the Company of its share of any payments which the Banks are entitled to share on a Pro Rata Basis hereunder or change any date for payment or rate of interest;</w:t>
      </w:r>
    </w:p>
    <w:p>
      <w:pPr>
        <w:spacing w:after="0" w:line="181" w:lineRule="exact"/>
        <w:rPr>
          <w:rFonts w:ascii="Arial" w:cs="Arial" w:eastAsia="Arial" w:hAnsi="Arial"/>
          <w:sz w:val="21"/>
          <w:szCs w:val="21"/>
          <w:color w:val="auto"/>
        </w:rPr>
      </w:pPr>
    </w:p>
    <w:p>
      <w:pPr>
        <w:jc w:val="both"/>
        <w:ind w:left="660" w:firstLine="1293"/>
        <w:spacing w:after="0" w:line="260" w:lineRule="auto"/>
        <w:tabs>
          <w:tab w:leader="none" w:pos="2644" w:val="left"/>
        </w:tabs>
        <w:numPr>
          <w:ilvl w:val="1"/>
          <w:numId w:val="73"/>
        </w:numPr>
        <w:rPr>
          <w:rFonts w:ascii="Arial" w:cs="Arial" w:eastAsia="Arial" w:hAnsi="Arial"/>
          <w:sz w:val="22"/>
          <w:szCs w:val="22"/>
          <w:color w:val="auto"/>
        </w:rPr>
      </w:pPr>
      <w:r>
        <w:rPr>
          <w:rFonts w:ascii="Arial" w:cs="Arial" w:eastAsia="Arial" w:hAnsi="Arial"/>
          <w:sz w:val="22"/>
          <w:szCs w:val="22"/>
          <w:color w:val="auto"/>
        </w:rPr>
        <w:t>to attend (or receive any notice of) any meeting, conference call or correspondence with the Administrative Agent or any Bank or receive any information from the Administrative Agent or any other Bank (other than Purchase Requests and other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7" w:right="239" w:bottom="1440" w:gutter="0" w:footer="0" w:header="0"/>
        </w:sectPr>
      </w:pPr>
    </w:p>
    <w:bookmarkStart w:id="162" w:name="page163"/>
    <w:bookmarkEnd w:id="162"/>
    <w:p>
      <w:pPr>
        <w:ind w:left="660"/>
        <w:spacing w:after="0" w:line="263" w:lineRule="auto"/>
        <w:rPr>
          <w:sz w:val="20"/>
          <w:szCs w:val="20"/>
          <w:color w:val="auto"/>
        </w:rPr>
      </w:pPr>
      <w:r>
        <w:rPr>
          <w:rFonts w:ascii="Arial" w:cs="Arial" w:eastAsia="Arial" w:hAnsi="Arial"/>
          <w:sz w:val="22"/>
          <w:szCs w:val="22"/>
          <w:color w:val="auto"/>
        </w:rPr>
        <w:t>administrative notices in respect of its Purchased Receivables as required to be delivered to the Banks hereunder and other than as may be required to enforce its rights under Section 19.1(b)(i)); or</w:t>
      </w:r>
    </w:p>
    <w:p>
      <w:pPr>
        <w:spacing w:after="0" w:line="175" w:lineRule="exact"/>
        <w:rPr>
          <w:sz w:val="20"/>
          <w:szCs w:val="20"/>
          <w:color w:val="auto"/>
        </w:rPr>
      </w:pPr>
    </w:p>
    <w:p>
      <w:pPr>
        <w:jc w:val="both"/>
        <w:ind w:left="660" w:firstLine="1293"/>
        <w:spacing w:after="0" w:line="254" w:lineRule="auto"/>
        <w:tabs>
          <w:tab w:leader="none" w:pos="2515" w:val="left"/>
        </w:tabs>
        <w:numPr>
          <w:ilvl w:val="1"/>
          <w:numId w:val="74"/>
        </w:numPr>
        <w:rPr>
          <w:rFonts w:ascii="Arial" w:cs="Arial" w:eastAsia="Arial" w:hAnsi="Arial"/>
          <w:sz w:val="22"/>
          <w:szCs w:val="22"/>
          <w:color w:val="auto"/>
        </w:rPr>
      </w:pPr>
      <w:r>
        <w:rPr>
          <w:rFonts w:ascii="Arial" w:cs="Arial" w:eastAsia="Arial" w:hAnsi="Arial"/>
          <w:sz w:val="22"/>
          <w:szCs w:val="22"/>
          <w:color w:val="auto"/>
        </w:rPr>
        <w:t>to make or bring any claim, in its capacity as a Bank, against the Administrative Agent or any other Bank with respect to the duties and obligations of such Persons under the Transaction Documents (other than any such claim made in good faith and arising solely from the bad faith, gross negligence or willful misconduct of Administrative Agent or any Bank, as the case may be).</w:t>
      </w:r>
    </w:p>
    <w:p>
      <w:pPr>
        <w:spacing w:after="0" w:line="185" w:lineRule="exact"/>
        <w:rPr>
          <w:rFonts w:ascii="Arial" w:cs="Arial" w:eastAsia="Arial" w:hAnsi="Arial"/>
          <w:sz w:val="22"/>
          <w:szCs w:val="22"/>
          <w:color w:val="auto"/>
        </w:rPr>
      </w:pPr>
    </w:p>
    <w:p>
      <w:pPr>
        <w:ind w:firstLine="1305"/>
        <w:spacing w:after="0" w:line="276" w:lineRule="auto"/>
        <w:tabs>
          <w:tab w:leader="none" w:pos="175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Company may not assign or otherwise transfer its rights, benefits or obligations or any of them under the Transaction Documents without the prior written consent of the Administrative Agent and each Bank.</w:t>
      </w:r>
    </w:p>
    <w:p>
      <w:pPr>
        <w:spacing w:after="0" w:line="160" w:lineRule="exact"/>
        <w:rPr>
          <w:rFonts w:ascii="Arial" w:cs="Arial" w:eastAsia="Arial" w:hAnsi="Arial"/>
          <w:sz w:val="22"/>
          <w:szCs w:val="22"/>
          <w:color w:val="auto"/>
        </w:rPr>
      </w:pPr>
    </w:p>
    <w:p>
      <w:pPr>
        <w:ind w:firstLine="1305"/>
        <w:spacing w:after="0" w:line="276" w:lineRule="auto"/>
        <w:tabs>
          <w:tab w:leader="none" w:pos="1756" w:val="left"/>
        </w:tabs>
        <w:numPr>
          <w:ilvl w:val="0"/>
          <w:numId w:val="75"/>
        </w:numPr>
        <w:rPr>
          <w:rFonts w:ascii="Arial" w:cs="Arial" w:eastAsia="Arial" w:hAnsi="Arial"/>
          <w:sz w:val="22"/>
          <w:szCs w:val="22"/>
          <w:color w:val="auto"/>
        </w:rPr>
      </w:pPr>
      <w:r>
        <w:rPr>
          <w:rFonts w:ascii="Arial" w:cs="Arial" w:eastAsia="Arial" w:hAnsi="Arial"/>
          <w:sz w:val="22"/>
          <w:szCs w:val="22"/>
          <w:color w:val="auto"/>
        </w:rPr>
        <w:t>Subject to the foregoing, this Agreement shall be binding on and shall inure to the benefit of each party hereto and its successors and assigns.</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Section 19.2. Waivers, Remedies Cumulative</w:t>
      </w:r>
      <w:r>
        <w:rPr>
          <w:rFonts w:ascii="Arial" w:cs="Arial" w:eastAsia="Arial" w:hAnsi="Arial"/>
          <w:sz w:val="22"/>
          <w:szCs w:val="22"/>
          <w:color w:val="auto"/>
        </w:rPr>
        <w:t>. No failure to exercise, nor any delay in exercising, on the part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Agent or any Bank, any right or remedy under the Transaction Documents shall operate as a waiver thereof, nor shall any single or partial exercise of any right or remedy prevent any further or other exercise thereof or the exercise of any other right or remedy. The rights and remedies herein provided are cumulative and not exclusive of any rights or remedies provided by law.</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i w:val="1"/>
          <w:iCs w:val="1"/>
          <w:color w:val="auto"/>
        </w:rPr>
        <w:t>Section 19.3. Accounting Treatment</w:t>
      </w:r>
      <w:r>
        <w:rPr>
          <w:rFonts w:ascii="Arial" w:cs="Arial" w:eastAsia="Arial" w:hAnsi="Arial"/>
          <w:sz w:val="22"/>
          <w:szCs w:val="22"/>
          <w:color w:val="auto"/>
        </w:rPr>
        <w:t>. The Company agrees and acknowledges that it is a sophisticated party in relation to</w:t>
      </w:r>
      <w:r>
        <w:rPr>
          <w:rFonts w:ascii="Arial" w:cs="Arial" w:eastAsia="Arial" w:hAnsi="Arial"/>
          <w:sz w:val="22"/>
          <w:szCs w:val="22"/>
          <w:i w:val="1"/>
          <w:iCs w:val="1"/>
          <w:color w:val="auto"/>
        </w:rPr>
        <w:t xml:space="preserve"> </w:t>
      </w:r>
      <w:r>
        <w:rPr>
          <w:rFonts w:ascii="Arial" w:cs="Arial" w:eastAsia="Arial" w:hAnsi="Arial"/>
          <w:sz w:val="22"/>
          <w:szCs w:val="22"/>
          <w:color w:val="auto"/>
        </w:rPr>
        <w:t>this Agreement and that it has taken independent legal and accounting advice in relation to the accounting treatment to be applied to this Agreement. It is agreed that the Company has not relied on any representation of the Administrative Agent or any Bank in this regard.</w:t>
      </w:r>
    </w:p>
    <w:p>
      <w:pPr>
        <w:spacing w:after="0" w:line="18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i w:val="1"/>
          <w:iCs w:val="1"/>
          <w:color w:val="auto"/>
        </w:rPr>
        <w:t>Section 19.4. Third Party Rights</w:t>
      </w:r>
      <w:r>
        <w:rPr>
          <w:rFonts w:ascii="Arial" w:cs="Arial" w:eastAsia="Arial" w:hAnsi="Arial"/>
          <w:sz w:val="22"/>
          <w:szCs w:val="22"/>
          <w:color w:val="auto"/>
        </w:rPr>
        <w:t>. Other than as approved in this Agreement, no person not a party to this Agreement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deemed a third party beneficiary hereof.</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i w:val="1"/>
          <w:iCs w:val="1"/>
          <w:color w:val="auto"/>
        </w:rPr>
        <w:t>Section 19.5. Counterparts</w:t>
      </w:r>
      <w:r>
        <w:rPr>
          <w:rFonts w:ascii="Arial" w:cs="Arial" w:eastAsia="Arial" w:hAnsi="Arial"/>
          <w:sz w:val="22"/>
          <w:szCs w:val="22"/>
          <w:color w:val="auto"/>
        </w:rPr>
        <w:t>. Each Transaction Document may be executed in any number of counterparts, and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different parties thereto on separate counterparts; each such counterpart shall be deemed an original and all of such counterparts taken together shall be deemed to constitute one and the same instrument. A facsimile or electronic copy of an executed counterpart of this Agreement shall be effective as an original for all purposes.</w:t>
      </w:r>
    </w:p>
    <w:p>
      <w:pPr>
        <w:spacing w:after="0" w:line="18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i w:val="1"/>
          <w:iCs w:val="1"/>
          <w:color w:val="auto"/>
        </w:rPr>
        <w:t>Section 19.6. Entire Agreement</w:t>
      </w:r>
      <w:r>
        <w:rPr>
          <w:rFonts w:ascii="Arial" w:cs="Arial" w:eastAsia="Arial" w:hAnsi="Arial"/>
          <w:sz w:val="19"/>
          <w:szCs w:val="19"/>
          <w:color w:val="auto"/>
        </w:rPr>
        <w:t>. This Agreement constitutes the entire Agreement between the parties hereto in relation to</w:t>
      </w:r>
      <w:r>
        <w:rPr>
          <w:rFonts w:ascii="Arial" w:cs="Arial" w:eastAsia="Arial" w:hAnsi="Arial"/>
          <w:sz w:val="19"/>
          <w:szCs w:val="19"/>
          <w:i w:val="1"/>
          <w:iCs w:val="1"/>
          <w:color w:val="auto"/>
        </w:rPr>
        <w:t xml:space="preserve"> </w:t>
      </w:r>
      <w:r>
        <w:rPr>
          <w:rFonts w:ascii="Arial" w:cs="Arial" w:eastAsia="Arial" w:hAnsi="Arial"/>
          <w:sz w:val="19"/>
          <w:szCs w:val="19"/>
          <w:color w:val="auto"/>
        </w:rPr>
        <w:t>the Agreement and supersedes all previous proposals, agreements and other written and oral communications in relation thereto.</w:t>
      </w:r>
    </w:p>
    <w:p>
      <w:pPr>
        <w:spacing w:after="0" w:line="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i w:val="1"/>
          <w:iCs w:val="1"/>
          <w:color w:val="auto"/>
        </w:rPr>
        <w:t>Section 19.7. Exclusion of Liability</w:t>
      </w:r>
      <w:r>
        <w:rPr>
          <w:rFonts w:ascii="Arial" w:cs="Arial" w:eastAsia="Arial" w:hAnsi="Arial"/>
          <w:sz w:val="22"/>
          <w:szCs w:val="22"/>
          <w:color w:val="auto"/>
        </w:rPr>
        <w:t>. In no event shall the Administrative Agent or any Bank be liable for any loss of</w:t>
      </w:r>
      <w:r>
        <w:rPr>
          <w:rFonts w:ascii="Arial" w:cs="Arial" w:eastAsia="Arial" w:hAnsi="Arial"/>
          <w:sz w:val="22"/>
          <w:szCs w:val="22"/>
          <w:i w:val="1"/>
          <w:iCs w:val="1"/>
          <w:color w:val="auto"/>
        </w:rPr>
        <w:t xml:space="preserve"> </w:t>
      </w:r>
      <w:r>
        <w:rPr>
          <w:rFonts w:ascii="Arial" w:cs="Arial" w:eastAsia="Arial" w:hAnsi="Arial"/>
          <w:sz w:val="22"/>
          <w:szCs w:val="22"/>
          <w:color w:val="auto"/>
        </w:rPr>
        <w:t>profits, business, data or information or for any remote, incidental, indirect, special or consequential damages.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7" w:right="239" w:bottom="1440" w:gutter="0" w:footer="0" w:header="0"/>
        </w:sectPr>
      </w:pPr>
    </w:p>
    <w:bookmarkStart w:id="163" w:name="page164"/>
    <w:bookmarkEnd w:id="163"/>
    <w:p>
      <w:pPr>
        <w:jc w:val="both"/>
        <w:ind w:firstLine="648"/>
        <w:spacing w:after="0" w:line="320" w:lineRule="auto"/>
        <w:rPr>
          <w:sz w:val="20"/>
          <w:szCs w:val="20"/>
          <w:color w:val="auto"/>
        </w:rPr>
      </w:pPr>
      <w:r>
        <w:rPr>
          <w:rFonts w:ascii="Arial" w:cs="Arial" w:eastAsia="Arial" w:hAnsi="Arial"/>
          <w:sz w:val="19"/>
          <w:szCs w:val="19"/>
          <w:i w:val="1"/>
          <w:iCs w:val="1"/>
          <w:color w:val="auto"/>
        </w:rPr>
        <w:t>Section 19.8. Continuing Obligations</w:t>
      </w:r>
      <w:r>
        <w:rPr>
          <w:rFonts w:ascii="Arial" w:cs="Arial" w:eastAsia="Arial" w:hAnsi="Arial"/>
          <w:sz w:val="19"/>
          <w:szCs w:val="19"/>
          <w:color w:val="auto"/>
        </w:rPr>
        <w:t>. The Company shall remain liable to perform all obligations assumed by it under</w:t>
      </w:r>
      <w:r>
        <w:rPr>
          <w:rFonts w:ascii="Arial" w:cs="Arial" w:eastAsia="Arial" w:hAnsi="Arial"/>
          <w:sz w:val="19"/>
          <w:szCs w:val="19"/>
          <w:i w:val="1"/>
          <w:iCs w:val="1"/>
          <w:color w:val="auto"/>
        </w:rPr>
        <w:t xml:space="preserve"> </w:t>
      </w:r>
      <w:r>
        <w:rPr>
          <w:rFonts w:ascii="Arial" w:cs="Arial" w:eastAsia="Arial" w:hAnsi="Arial"/>
          <w:sz w:val="19"/>
          <w:szCs w:val="19"/>
          <w:color w:val="auto"/>
        </w:rPr>
        <w:t>each Contract, and neither the Administrative Agent nor any Bank shall be under any obligation of any kind whatsoever thereunder or be under any liability whatsoever in the event of any failure by the Company to perform its obligations thereunder.</w:t>
      </w:r>
    </w:p>
    <w:p>
      <w:pPr>
        <w:spacing w:after="0" w:line="1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19.9.</w:t>
      </w:r>
      <w:r>
        <w:rPr>
          <w:sz w:val="20"/>
          <w:szCs w:val="20"/>
          <w:color w:val="auto"/>
        </w:rPr>
        <w:tab/>
      </w:r>
      <w:r>
        <w:rPr>
          <w:rFonts w:ascii="Arial" w:cs="Arial" w:eastAsia="Arial" w:hAnsi="Arial"/>
          <w:sz w:val="19"/>
          <w:szCs w:val="19"/>
          <w:i w:val="1"/>
          <w:iCs w:val="1"/>
          <w:color w:val="auto"/>
        </w:rPr>
        <w:t>USA Patriot Act; OFAC and Anti-Terrorism.</w:t>
      </w:r>
    </w:p>
    <w:p>
      <w:pPr>
        <w:spacing w:after="0" w:line="233" w:lineRule="exact"/>
        <w:rPr>
          <w:sz w:val="20"/>
          <w:szCs w:val="20"/>
          <w:color w:val="auto"/>
        </w:rPr>
      </w:pPr>
    </w:p>
    <w:p>
      <w:pPr>
        <w:jc w:val="both"/>
        <w:ind w:firstLine="1305"/>
        <w:spacing w:after="0" w:line="266" w:lineRule="auto"/>
        <w:tabs>
          <w:tab w:leader="none" w:pos="1878" w:val="left"/>
        </w:tabs>
        <w:numPr>
          <w:ilvl w:val="1"/>
          <w:numId w:val="76"/>
        </w:numPr>
        <w:rPr>
          <w:rFonts w:ascii="Arial" w:cs="Arial" w:eastAsia="Arial" w:hAnsi="Arial"/>
          <w:sz w:val="21"/>
          <w:szCs w:val="21"/>
          <w:color w:val="auto"/>
        </w:rPr>
      </w:pPr>
      <w:r>
        <w:rPr>
          <w:rFonts w:ascii="Arial" w:cs="Arial" w:eastAsia="Arial" w:hAnsi="Arial"/>
          <w:sz w:val="21"/>
          <w:szCs w:val="21"/>
          <w:color w:val="auto"/>
        </w:rPr>
        <w:t xml:space="preserve">Each Bank and the Administrative Agent (for itself and not on behalf of any Bank) hereby notifies the Company that pursuant to the requirements of the USA PATRIOT Improvement and Reauthorization Act, Title III of Pub. L. 109-177 (signed into law March 9, 2009) (the </w:t>
      </w:r>
      <w:r>
        <w:rPr>
          <w:rFonts w:ascii="Arial" w:cs="Arial" w:eastAsia="Arial" w:hAnsi="Arial"/>
          <w:sz w:val="21"/>
          <w:szCs w:val="21"/>
          <w:i w:val="1"/>
          <w:iCs w:val="1"/>
          <w:color w:val="auto"/>
        </w:rPr>
        <w:t>“Act”</w:t>
      </w:r>
      <w:r>
        <w:rPr>
          <w:rFonts w:ascii="Arial" w:cs="Arial" w:eastAsia="Arial" w:hAnsi="Arial"/>
          <w:sz w:val="21"/>
          <w:szCs w:val="21"/>
          <w:color w:val="auto"/>
        </w:rPr>
        <w:t>), it is required to obtain, verify, and record information that identifies the Company, which information includes the name and address of the Company and other information that will allow such Bank or the Administrative Agent, as applicable, to identify the Company in accordance with the Act.</w:t>
      </w:r>
    </w:p>
    <w:p>
      <w:pPr>
        <w:spacing w:after="0" w:line="174" w:lineRule="exact"/>
        <w:rPr>
          <w:rFonts w:ascii="Arial" w:cs="Arial" w:eastAsia="Arial" w:hAnsi="Arial"/>
          <w:sz w:val="21"/>
          <w:szCs w:val="21"/>
          <w:color w:val="auto"/>
        </w:rPr>
      </w:pPr>
    </w:p>
    <w:p>
      <w:pPr>
        <w:jc w:val="both"/>
        <w:ind w:firstLine="1305"/>
        <w:spacing w:after="0" w:line="247" w:lineRule="auto"/>
        <w:tabs>
          <w:tab w:leader="none" w:pos="1810"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Neither the Company, nor the Parent, nor, to the best of their knowledge, any Persons holding any legal or beneficial interest whatsoever in the Company or the Parent (whether directly or indirectly) (i) are named on the list of Specially Designated Nationals and Blocked Persons maintained by OFAC or any list of Persons issued by OFAC pursuant to Executive Order 13224 – Blocking Property and Prohibiting Transactions with Persons Who Commit, Threaten to Commit, or Support Terrorism, as in effect on the date hereof, or any similar list issued by OFAC (collectively, the </w:t>
      </w:r>
      <w:r>
        <w:rPr>
          <w:rFonts w:ascii="Arial" w:cs="Arial" w:eastAsia="Arial" w:hAnsi="Arial"/>
          <w:sz w:val="22"/>
          <w:szCs w:val="22"/>
          <w:i w:val="1"/>
          <w:iCs w:val="1"/>
          <w:color w:val="auto"/>
        </w:rPr>
        <w:t>“OFAC Lists”</w:t>
      </w:r>
      <w:r>
        <w:rPr>
          <w:rFonts w:ascii="Arial" w:cs="Arial" w:eastAsia="Arial" w:hAnsi="Arial"/>
          <w:sz w:val="22"/>
          <w:szCs w:val="22"/>
          <w:color w:val="auto"/>
        </w:rPr>
        <w:t>); (ii) are Persons determined by the Secretary of the Treasury of the United States to be owned by, controlled by, acting for or on behalf of, providing assistance, support, sponsorship, or services of any kind to, or otherwise associated with any of the Persons referred to or described in the OFAC Lists; or (iii) have conducted business with or engaged in any transaction with any Person identified in (i) or (ii) above.</w:t>
      </w:r>
    </w:p>
    <w:p>
      <w:pPr>
        <w:spacing w:after="0" w:line="195" w:lineRule="exact"/>
        <w:rPr>
          <w:rFonts w:ascii="Arial" w:cs="Arial" w:eastAsia="Arial" w:hAnsi="Arial"/>
          <w:sz w:val="22"/>
          <w:szCs w:val="22"/>
          <w:color w:val="auto"/>
        </w:rPr>
      </w:pPr>
    </w:p>
    <w:p>
      <w:pPr>
        <w:jc w:val="both"/>
        <w:ind w:firstLine="1305"/>
        <w:spacing w:after="0" w:line="290" w:lineRule="auto"/>
        <w:tabs>
          <w:tab w:leader="none" w:pos="1716" w:val="left"/>
        </w:tabs>
        <w:numPr>
          <w:ilvl w:val="1"/>
          <w:numId w:val="76"/>
        </w:numPr>
        <w:rPr>
          <w:rFonts w:ascii="Arial" w:cs="Arial" w:eastAsia="Arial" w:hAnsi="Arial"/>
          <w:sz w:val="19"/>
          <w:szCs w:val="19"/>
          <w:color w:val="auto"/>
        </w:rPr>
      </w:pPr>
      <w:r>
        <w:rPr>
          <w:rFonts w:ascii="Arial" w:cs="Arial" w:eastAsia="Arial" w:hAnsi="Arial"/>
          <w:sz w:val="19"/>
          <w:szCs w:val="19"/>
          <w:color w:val="auto"/>
        </w:rPr>
        <w:t>(i) Neither the Company nor the Parent will knowingly conduct business with or engage in any transaction with any Person named on any of the OFAC Lists or any Persons determined by the Secretary of the Treasury of the United States pursuant to Executive Order 13224 to be owned by, controlled by, acting for or on behalf of, providing assistance, support, sponsorship, or services of any kind to, or otherwise associated with any of the Persons referred to or described in the OFAC Lists;</w:t>
      </w:r>
    </w:p>
    <w:p>
      <w:pPr>
        <w:spacing w:after="0" w:line="1" w:lineRule="exact"/>
        <w:rPr>
          <w:rFonts w:ascii="Arial" w:cs="Arial" w:eastAsia="Arial" w:hAnsi="Arial"/>
          <w:sz w:val="19"/>
          <w:szCs w:val="19"/>
          <w:color w:val="auto"/>
        </w:rPr>
      </w:pPr>
    </w:p>
    <w:p>
      <w:pPr>
        <w:jc w:val="both"/>
        <w:ind w:firstLine="8"/>
        <w:spacing w:after="0" w:line="286" w:lineRule="auto"/>
        <w:tabs>
          <w:tab w:leader="none" w:pos="325"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if the Company or the Parent obtains actual knowledge or receives any written notice that it or any Person holding any legal or beneficial interest whatsoever therein (whether directly or indirectly) is named on any of the OFAC Lists (such occurrence, an </w:t>
      </w:r>
      <w:r>
        <w:rPr>
          <w:rFonts w:ascii="Arial" w:cs="Arial" w:eastAsia="Arial" w:hAnsi="Arial"/>
          <w:sz w:val="19"/>
          <w:szCs w:val="19"/>
          <w:i w:val="1"/>
          <w:iCs w:val="1"/>
          <w:color w:val="auto"/>
        </w:rPr>
        <w:t>“OFAC Violation”</w:t>
      </w:r>
      <w:r>
        <w:rPr>
          <w:rFonts w:ascii="Arial" w:cs="Arial" w:eastAsia="Arial" w:hAnsi="Arial"/>
          <w:sz w:val="19"/>
          <w:szCs w:val="19"/>
          <w:color w:val="auto"/>
        </w:rPr>
        <w:t>), the Company or the Parent will immediately (A) give written notice to the Administrative Agent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Banks of such OFAC Violation, and (B) comply with all applicable laws with respect to such OFAC Violation (regardless of whether the party included on any of the OFAC Lists is located within the jurisdiction of the United States of America), including, without limitation, the Economic and Trade Sanctions and Anti-Terrorism Laws. The Company and the Parent hereby authorize and consent to the Administrative Agent and each Bank taking any and all steps they deem necessary, in its sole discretion, to comply with all applicable laws with respect to any such OFAC Violation, including, without limitation, the requirements of the Economic and Trade Sanctions and Anti-Terrorism Laws (including the “freezing” and/or “blocking” of assets); and (iii) the Company and the Parent will comply at all times with the requirements of all Economic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7" w:right="239" w:bottom="1440" w:gutter="0" w:footer="0" w:header="0"/>
        </w:sectPr>
      </w:pPr>
    </w:p>
    <w:bookmarkStart w:id="164" w:name="page165"/>
    <w:bookmarkEnd w:id="164"/>
    <w:p>
      <w:pPr>
        <w:jc w:val="both"/>
        <w:spacing w:after="0" w:line="253" w:lineRule="auto"/>
        <w:rPr>
          <w:sz w:val="20"/>
          <w:szCs w:val="20"/>
          <w:color w:val="auto"/>
        </w:rPr>
      </w:pPr>
      <w:r>
        <w:rPr>
          <w:rFonts w:ascii="Arial" w:cs="Arial" w:eastAsia="Arial" w:hAnsi="Arial"/>
          <w:sz w:val="22"/>
          <w:szCs w:val="22"/>
          <w:color w:val="auto"/>
        </w:rPr>
        <w:t>and Trade Sanctions and Anti-Terrorism Laws, and will, upon the Administrative Agent’s or any Bank’s request from time to time during the term of this Agreement, deliver a certification confirming its compliance with the covenants set forth in this Section 19.9.</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i w:val="1"/>
          <w:iCs w:val="1"/>
          <w:color w:val="auto"/>
        </w:rPr>
        <w:t xml:space="preserve">Section 19.10. Amendments. </w:t>
      </w:r>
      <w:r>
        <w:rPr>
          <w:rFonts w:ascii="Arial" w:cs="Arial" w:eastAsia="Arial" w:hAnsi="Arial"/>
          <w:sz w:val="19"/>
          <w:szCs w:val="19"/>
          <w:color w:val="auto"/>
        </w:rPr>
        <w:t>No amendment, modification, waiver or supplement of any provision of this Agreement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consent to any departure by any Facility Party therefrom shall be effective unless in a writing signed by all of the Banks or, where permitted under this Agreement, the Required Banks, and then such amendment, waiver or consent shall be effective only in the specific instance and for the specific purpose for which given;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no amendment or waiver of Section 24 or any other provision of this Agreement which affects the rights or obligations of the Administrative Agent shall be effective unless signed by the Administrative Agent;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any Defaulting Bank’s right to approve or disapprove any amendment, modification, waiver, supplement or consent with respect to this Agreement shall be restricted as set forth in the definition of Required Banks.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SECTION 20. GOVERNING LAW</w:t>
      </w:r>
    </w:p>
    <w:p>
      <w:pPr>
        <w:spacing w:after="0" w:line="22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i w:val="1"/>
          <w:iCs w:val="1"/>
          <w:color w:val="auto"/>
        </w:rPr>
        <w:t xml:space="preserve">Section 20.1. </w:t>
      </w:r>
      <w:r>
        <w:rPr>
          <w:rFonts w:ascii="Arial" w:cs="Arial" w:eastAsia="Arial" w:hAnsi="Arial"/>
          <w:sz w:val="19"/>
          <w:szCs w:val="19"/>
          <w:color w:val="auto"/>
        </w:rPr>
        <w:t>This Agreement shall be governed by and construed in accordance with the laws of the State of New York</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regard to the principles of conflict of laws thereof (other than Section 5-1401 of the New York General Obligations Law).</w:t>
      </w:r>
    </w:p>
    <w:p>
      <w:pPr>
        <w:spacing w:after="0" w:line="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i w:val="1"/>
          <w:iCs w:val="1"/>
          <w:color w:val="auto"/>
        </w:rPr>
        <w:t xml:space="preserve">Section 20.2. </w:t>
      </w:r>
      <w:r>
        <w:rPr>
          <w:rFonts w:ascii="Arial" w:cs="Arial" w:eastAsia="Arial" w:hAnsi="Arial"/>
          <w:sz w:val="21"/>
          <w:szCs w:val="21"/>
          <w:color w:val="auto"/>
        </w:rPr>
        <w:t>ANY LITIGATION BASED HEREON, OR ARISING OUT OF, UNDER OR IN CONNECTION WITH</w:t>
      </w:r>
      <w:r>
        <w:rPr>
          <w:rFonts w:ascii="Arial" w:cs="Arial" w:eastAsia="Arial" w:hAnsi="Arial"/>
          <w:sz w:val="21"/>
          <w:szCs w:val="21"/>
          <w:i w:val="1"/>
          <w:iCs w:val="1"/>
          <w:color w:val="auto"/>
        </w:rPr>
        <w:t xml:space="preserve"> </w:t>
      </w:r>
      <w:r>
        <w:rPr>
          <w:rFonts w:ascii="Arial" w:cs="Arial" w:eastAsia="Arial" w:hAnsi="Arial"/>
          <w:sz w:val="21"/>
          <w:szCs w:val="21"/>
          <w:color w:val="auto"/>
        </w:rPr>
        <w:t>THIS AGREEMENT, MAY BE BROUGHT AND MAINTAINED IN THE COURTS OF THE STATE OF NEW YORK SITTING IN NEW YORK COUNTY, NEW YORK OR IN THE UNITED STATES DISTRICT COURT FOR THE SOUTHERN DISTRICT OF NEW YORK; PROVIDED THAT ANY SUIT SEEKING ENFORCEMENT AGAINST ANY RECEIVABLES OR OTHER PROPERTY MAY BE BROUGHT, AT THE APPLICABLE BANK’S OPTION, IN THE COURTS OF ANY JURISDICTION WHERE SUCH RECEIVABLES OR OTHER PROPERTY MAY BE FOUND. THE COMPANY AND THE PARENT HEREBY EXPRESSLY AND IRREVOCABLY SUBMIT TO THE JURISDICTION OF THE COURTS OF THE STATE OF NEW YORK SITTING IN NEW YORK COUNTY, NEW YORK AND OF THE UNITED STATES DISTRICT COURT FOR THE SOUTHERN DISTRICT OF NEW YORK FOR THE PURPOSE OF ANY SUCH LITIGATION. THE COMPANY AND THE PARENT FURTHER IRREVOCABLY CONSENT TO THE SERVICE OF PROCESS BY REGISTERED MAIL, POSTAGE PREPAID, TO THE ADDRESS SPECIFIED IN SECTION 14.1 OF THIS AGREEMENT (OR SUCH OTHER ADDRESS AS THEY SHALL HAVE SPECIFIED IN WRITING TO THE ADMINISTRATIVE AGENT AS THEIR ADDRESS FOR NOTICES HEREUNDER) OR BY PERSONAL SERVICE WITHIN OR WITHOUT THE STATE OF NEW YORK. THE COMPANY, THE PARENT, THE ADMINISTRATIVE AGENT AND EACH BANK EXPRESSLY AND IRREVOCABLY WAIVE, TO THE FULLEST EXTENT PERMITTED BY LAW, ANY OBJECTION WHICH THEY MAY NOW OR HEREAFTER HAVE TO THE LAYING OF VENUE OF ANY SUCH LITIGATION BROUGHT IN ANY SUCH COURT AND ANY CLAIM THAT ANY SUCH LITIGATION HAS BEEN BROUGHT IN AN INCONVENIENT FORUM.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7" w:right="239" w:bottom="1440" w:gutter="0" w:footer="0" w:header="0"/>
        </w:sectPr>
      </w:pPr>
    </w:p>
    <w:bookmarkStart w:id="165" w:name="page166"/>
    <w:bookmarkEnd w:id="165"/>
    <w:p>
      <w:pPr>
        <w:jc w:val="both"/>
        <w:ind w:firstLine="648"/>
        <w:spacing w:after="0" w:line="248" w:lineRule="auto"/>
        <w:rPr>
          <w:sz w:val="20"/>
          <w:szCs w:val="20"/>
          <w:color w:val="auto"/>
        </w:rPr>
      </w:pPr>
      <w:r>
        <w:rPr>
          <w:rFonts w:ascii="Arial" w:cs="Arial" w:eastAsia="Arial" w:hAnsi="Arial"/>
          <w:sz w:val="22"/>
          <w:szCs w:val="22"/>
          <w:i w:val="1"/>
          <w:iCs w:val="1"/>
          <w:color w:val="auto"/>
        </w:rPr>
        <w:t xml:space="preserve">Section 20.3. </w:t>
      </w:r>
      <w:r>
        <w:rPr>
          <w:rFonts w:ascii="Arial" w:cs="Arial" w:eastAsia="Arial" w:hAnsi="Arial"/>
          <w:sz w:val="22"/>
          <w:szCs w:val="22"/>
          <w:color w:val="auto"/>
        </w:rPr>
        <w:t>TO THE EXTENT PERMITTED BY LAW, THE COMPANY, THE PARENT,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AGENT AND EACH BANK HEREBY WAIVE ANY RIGHT TO A TRIAL BY JURY IN ANY ACTION OR PROCEEDING TO ENFORCE OR DEFEND ANY RIGHTS UNDER THIS AGREEMENT OR ANY APPLICATION, INSTRUMENT, DOCUMENT, AMENDMENT OR AGREEMENT DELIVERED OR WHICH MAY IN THE FUTURE BE DELIVERED IN CONNECTION HEREWITH OR ARISING FROM ANY BANKING RELATIONSHIP EXISTING IN CONNECTION WITH THIS AGREEMENT, AND AGREE THAT ANY SUCH ACTION OR PROCEEDING SHALL BE TRIED BEFORE A COURT AND NOT BEFORE A JURY.</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SECTION 21. OPTIONAL REPURCHASE</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i w:val="1"/>
          <w:iCs w:val="1"/>
          <w:color w:val="auto"/>
        </w:rPr>
        <w:t xml:space="preserve">Section 21.1. </w:t>
      </w:r>
      <w:r>
        <w:rPr>
          <w:rFonts w:ascii="Arial" w:cs="Arial" w:eastAsia="Arial" w:hAnsi="Arial"/>
          <w:sz w:val="19"/>
          <w:szCs w:val="19"/>
          <w:color w:val="auto"/>
        </w:rPr>
        <w:t>In the event that (i) the Administrative Agent gives notice to the Company of its intention to replace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as servicer and agent, (ii) all of the Banks inform the Company that they will not purchase any other Receivables due to a Termination Event, (iii) a Purchased Receivable is past due, or (iv) any bankruptcy or insolvency (however evidenced) of the Company or the Parent shall occur, the Company may, at its option, repurchase all of the outstanding Purchased Receivables from the Banks for an amount equal to the Agreed Base Value of such Purchased Receivables (or so much of it as was paid by the Banks to the Company and remains unpaid), less an amount equal to the product of such Agreed Base Value and Discount, where the numerator included in the calculation of Discount is the number of days from the repurchase date to the next following Settlement Date, and if such Purchased Receivable is being repurchased by the Company after the Maturity Date of such Purchased Receivable, together with interest thereon at the interest rate specified in Section 7.6 from the due date to the date of the Company’s payment in full thereof, and any other amounts then payable by the Company hereunder, including, breakage costs under Section 7.4, whereupon such amount shall become due and payable from the Company to the Banks upon the occurrence of the applicable event described in the foregoing going clauses (i), (ii), (iii) or (iv), as applicable, and shall be paid into the Payment Account.</w:t>
      </w:r>
    </w:p>
    <w:p>
      <w:pPr>
        <w:spacing w:after="0" w:line="16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i w:val="1"/>
          <w:iCs w:val="1"/>
          <w:color w:val="auto"/>
        </w:rPr>
        <w:t xml:space="preserve">Section 21.2. </w:t>
      </w:r>
      <w:r>
        <w:rPr>
          <w:rFonts w:ascii="Arial" w:cs="Arial" w:eastAsia="Arial" w:hAnsi="Arial"/>
          <w:sz w:val="19"/>
          <w:szCs w:val="19"/>
          <w:color w:val="auto"/>
        </w:rPr>
        <w:t>In addition to the foregoing, the Company shall have the right at any time before or after a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Event, at its option and upon written notice to the Administrative Agent (for distribution to the Banks), to repurchase all or a portion of the outstanding Purchased Receivables from the Banks for an amount equal to the Agreed Base Value of such Purchased Receivables (or so much of it as was paid by the Banks to the Company and remains unpaid), less an amount equal to the product of such Agreed Base Value and Discount, where the numerator included in the calculation of Discount is the number of days from the repurchase date to the next following Settlement Date, and if such Purchased Receivable is being repurchased by the Company after the Maturity Date of such Purchased Receivable, together with interest thereon at the interest rate specified in Section 7.6 from the relevant Maturity Date to the date of the Company’s payment in full thereof, and any other amounts then payable by the Company hereunder, including, breakage costs under Section 7.4, whereupon such amount shall become due and payable from the Company to the Banks on the date specified in such notice and shall be paid into the Payment Account.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7"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SECTION 22. GUARANTY; PARENT COVENANT.</w:t>
      </w:r>
    </w:p>
    <w:p>
      <w:pPr>
        <w:spacing w:after="0" w:line="220" w:lineRule="exact"/>
        <w:rPr>
          <w:sz w:val="20"/>
          <w:szCs w:val="20"/>
          <w:color w:val="auto"/>
        </w:rPr>
      </w:pPr>
    </w:p>
    <w:p>
      <w:pPr>
        <w:jc w:val="both"/>
        <w:ind w:firstLine="1305"/>
        <w:spacing w:after="0" w:line="290" w:lineRule="auto"/>
        <w:tabs>
          <w:tab w:leader="none" w:pos="1919"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Parent is the owner of the Company. Parent hereby unconditionally and irrevocably guarantees to the Beneficiaries the due and punctual payment, performance and observance by the Company of all of the terms, covenants, conditions, agreements, representations, warranties, indemnities and undertakings on the part of the Company to be performed or observed under this Agreement, including, without limitation, the punctual payment when due of all obligations of the Company now or hereafter existing under this Agreement, whether for indemnification payments, fees, expenses, repurchase obligations or otherwise (all of the foregoing being collectively referred to as the </w:t>
      </w:r>
      <w:r>
        <w:rPr>
          <w:rFonts w:ascii="Arial" w:cs="Arial" w:eastAsia="Arial" w:hAnsi="Arial"/>
          <w:sz w:val="19"/>
          <w:szCs w:val="19"/>
          <w:i w:val="1"/>
          <w:iCs w:val="1"/>
          <w:color w:val="auto"/>
        </w:rPr>
        <w:t>“Obligations”</w:t>
      </w:r>
      <w:r>
        <w:rPr>
          <w:rFonts w:ascii="Arial" w:cs="Arial" w:eastAsia="Arial" w:hAnsi="Arial"/>
          <w:sz w:val="19"/>
          <w:szCs w:val="19"/>
          <w:color w:val="auto"/>
        </w:rPr>
        <w:t>). In the event that the Company shall fail in any manner whatsoever to perform or observe any of the Obligations when the same shall be required to be performed or observed under this Agreement (subject to any applicable cure periods), then upon the written demand of the Administrative Agent, Parent shall perform, cause to be performed or make payment to allow such Obligations to be performed. For the avoidance of doubt, Obligations do not include, and the Parent is not hereby guaranteeing payment of any amounts due by the Debtors.</w:t>
      </w:r>
    </w:p>
    <w:p>
      <w:pPr>
        <w:spacing w:after="0" w:line="1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Parent’s liability under this Section 22(a) shall be irrevocable, absolute, independent and unconditional and shall not be affected by any circumstance which constitutes a legal or equitable discharge of a guarantor or surety other than payment and performance in full of the Obligations, and, without limiting the foregoing, shall be unconditional irrespective of (i) any lack of enforceability of the Obligations, and (ii) any law, regulation or rights with respect thereto. Neither Parent’s obligations hereunder nor any remedy for the enforcement thereof shall be impaired, modified, changed, released or limited in any manner whatsoever by an impairment, modification, change, release or limitation of the liability of the Company or by reason of the bankruptcy or insolvency of the Company. Parent waives any and all notices of the creation, renewal, extension or accrual of or increase in any of the Obligations and notice of or proof of reliance by the Administrative Agent or any Bank upon this Section 22(a) or acceptance of this Section 22(a). This Agreement shall conclusively be deemed to have been created, contracted or incurred, or renewed, extended, amended or waived, in reliance upon this Section 22(a). All dealings between the Company and Parent, on the one hand, and the Beneficiaries, on the other hand, likewise shall be conclusively presumed to have been had or consummated in reliance upon this Section 22(a).</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To the extent permitted by law, Parent hereby waives any and all presentments, demands, notices, and protests against Parent, and any requirement that the Administrative Agent or any Bank commence or exhaust any remedies against the Company or any collateral securing the Obligations. This guarantee is a guarantee of payment and performance and not of collection and shall remain in full force and effect until payment in full of the Obligations. The Obligations of Parent under this Section 22(a) does rank and will rank pari passu in priority of payment with all other unsecured and unsubordinated obligations for borrowed money of Parent.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payments under this Section 22(a) by Parent shall be made by Parent on the date when due and shall be made in Dollars and in immediately available and freely transferable funds to the Payment Account.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15" w:right="239" w:bottom="1440" w:gutter="0" w:footer="0" w:header="0"/>
        </w:sectPr>
      </w:pPr>
    </w:p>
    <w:bookmarkStart w:id="167" w:name="page168"/>
    <w:bookmarkEnd w:id="167"/>
    <w:p>
      <w:pPr>
        <w:jc w:val="both"/>
        <w:ind w:firstLine="1305"/>
        <w:spacing w:after="0" w:line="287" w:lineRule="auto"/>
        <w:tabs>
          <w:tab w:leader="none" w:pos="1728"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From and after the date hereof and so long as this Agreement is in effect, except to the extent compliance in any case or cases is waived in writing by the Administrative Agent, the Parent agrees that it will, for the benefit of the Administrative agent and the Banks, comply with, abide by, and be restricted by all the agreements, covenants, obligations and undertakings of the Parent contained in the provisions of Section 6.10 of the Credit Agreement, inclusive, regardless of whether any indebtedness is now or hereafter remains outstanding thereunder, or the Credit Agreement shall have terminated, all of which provisions, together with the related definitions, exhibits and ancillary provisions, are incorporated herein by reference, mutatis mutandis, and made a part hereof to the same extent and with the same force and effect as if the same had been herein set forth in their entirety, and will be deemed to continue in effect for the benefit of the Beneficiaries irrespective of whether the Credit Agreement remains in effect, and without regard or giving effect to any amendment or modification of such provisions or any waiver of compliance therewith, no such amendment, modification or waiver to in any manner constitute an amendment, modification or waiver of the provisions thereof as incorporated herein unless consented to in writing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any amendment, modification or supplement of the terms of the Credit Agreement in accordance with Section 1.2(b) thereof shall be deemed to be effective with respect to this Section 22(b) without further action by any party to this Agreement, and (ii) that said provisions for purposes of the incorporation described herein shall be amended in the following respects:</w:t>
      </w:r>
    </w:p>
    <w:p>
      <w:pPr>
        <w:spacing w:after="0" w:line="164" w:lineRule="exact"/>
        <w:rPr>
          <w:rFonts w:ascii="Arial" w:cs="Arial" w:eastAsia="Arial" w:hAnsi="Arial"/>
          <w:sz w:val="19"/>
          <w:szCs w:val="19"/>
          <w:color w:val="auto"/>
        </w:rPr>
      </w:pPr>
    </w:p>
    <w:p>
      <w:pPr>
        <w:ind w:left="2340" w:hanging="387"/>
        <w:spacing w:after="0"/>
        <w:tabs>
          <w:tab w:leader="none" w:pos="2340"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the term </w:t>
      </w:r>
      <w:r>
        <w:rPr>
          <w:rFonts w:ascii="Arial" w:cs="Arial" w:eastAsia="Arial" w:hAnsi="Arial"/>
          <w:sz w:val="22"/>
          <w:szCs w:val="22"/>
          <w:i w:val="1"/>
          <w:iCs w:val="1"/>
          <w:color w:val="auto"/>
        </w:rPr>
        <w:t>“Borrower”</w:t>
      </w:r>
      <w:r>
        <w:rPr>
          <w:rFonts w:ascii="Arial" w:cs="Arial" w:eastAsia="Arial" w:hAnsi="Arial"/>
          <w:sz w:val="22"/>
          <w:szCs w:val="22"/>
          <w:color w:val="auto"/>
        </w:rPr>
        <w:t xml:space="preserve"> appearing in said provisions shall mean and refer to the Parent;</w:t>
      </w:r>
    </w:p>
    <w:p>
      <w:pPr>
        <w:spacing w:after="0" w:line="233" w:lineRule="exact"/>
        <w:rPr>
          <w:rFonts w:ascii="Arial" w:cs="Arial" w:eastAsia="Arial" w:hAnsi="Arial"/>
          <w:sz w:val="22"/>
          <w:szCs w:val="22"/>
          <w:color w:val="auto"/>
        </w:rPr>
      </w:pPr>
    </w:p>
    <w:p>
      <w:pPr>
        <w:ind w:left="660" w:firstLine="1293"/>
        <w:spacing w:after="0" w:line="276" w:lineRule="auto"/>
        <w:tabs>
          <w:tab w:leader="none" w:pos="2414"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the term </w:t>
      </w:r>
      <w:r>
        <w:rPr>
          <w:rFonts w:ascii="Arial" w:cs="Arial" w:eastAsia="Arial" w:hAnsi="Arial"/>
          <w:sz w:val="22"/>
          <w:szCs w:val="22"/>
          <w:i w:val="1"/>
          <w:iCs w:val="1"/>
          <w:color w:val="auto"/>
        </w:rPr>
        <w:t>“Lenders”</w:t>
      </w:r>
      <w:r>
        <w:rPr>
          <w:rFonts w:ascii="Arial" w:cs="Arial" w:eastAsia="Arial" w:hAnsi="Arial"/>
          <w:sz w:val="22"/>
          <w:szCs w:val="22"/>
          <w:color w:val="auto"/>
        </w:rPr>
        <w:t xml:space="preserve"> or </w:t>
      </w:r>
      <w:r>
        <w:rPr>
          <w:rFonts w:ascii="Arial" w:cs="Arial" w:eastAsia="Arial" w:hAnsi="Arial"/>
          <w:sz w:val="22"/>
          <w:szCs w:val="22"/>
          <w:i w:val="1"/>
          <w:iCs w:val="1"/>
          <w:color w:val="auto"/>
        </w:rPr>
        <w:t>“Administrative Agent”</w:t>
      </w:r>
      <w:r>
        <w:rPr>
          <w:rFonts w:ascii="Arial" w:cs="Arial" w:eastAsia="Arial" w:hAnsi="Arial"/>
          <w:sz w:val="22"/>
          <w:szCs w:val="22"/>
          <w:color w:val="auto"/>
        </w:rPr>
        <w:t xml:space="preserve"> appearing in said provisions shall mean and refer to the Beneficiaries as defined in this Agreement;</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79"/>
        </w:numPr>
        <w:rPr>
          <w:rFonts w:ascii="Arial" w:cs="Arial" w:eastAsia="Arial" w:hAnsi="Arial"/>
          <w:sz w:val="21"/>
          <w:szCs w:val="21"/>
          <w:color w:val="auto"/>
        </w:rPr>
      </w:pPr>
      <w:r>
        <w:rPr>
          <w:rFonts w:ascii="Arial" w:cs="Arial" w:eastAsia="Arial" w:hAnsi="Arial"/>
          <w:sz w:val="21"/>
          <w:szCs w:val="21"/>
          <w:color w:val="auto"/>
        </w:rPr>
        <w:t xml:space="preserve">the term </w:t>
      </w:r>
      <w:r>
        <w:rPr>
          <w:rFonts w:ascii="Arial" w:cs="Arial" w:eastAsia="Arial" w:hAnsi="Arial"/>
          <w:sz w:val="21"/>
          <w:szCs w:val="21"/>
          <w:i w:val="1"/>
          <w:iCs w:val="1"/>
          <w:color w:val="auto"/>
        </w:rPr>
        <w:t>“Agreement”</w:t>
      </w:r>
      <w:r>
        <w:rPr>
          <w:rFonts w:ascii="Arial" w:cs="Arial" w:eastAsia="Arial" w:hAnsi="Arial"/>
          <w:sz w:val="21"/>
          <w:szCs w:val="21"/>
          <w:color w:val="auto"/>
        </w:rPr>
        <w:t xml:space="preserve"> appearing in said provisions shall mean and refer to this Agreement; and</w:t>
      </w:r>
    </w:p>
    <w:p>
      <w:pPr>
        <w:spacing w:after="0" w:line="244" w:lineRule="exact"/>
        <w:rPr>
          <w:rFonts w:ascii="Arial" w:cs="Arial" w:eastAsia="Arial" w:hAnsi="Arial"/>
          <w:sz w:val="21"/>
          <w:szCs w:val="21"/>
          <w:color w:val="auto"/>
        </w:rPr>
      </w:pPr>
    </w:p>
    <w:p>
      <w:pPr>
        <w:ind w:left="2440" w:hanging="487"/>
        <w:spacing w:after="0"/>
        <w:tabs>
          <w:tab w:leader="none" w:pos="2440"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the term </w:t>
      </w:r>
      <w:r>
        <w:rPr>
          <w:rFonts w:ascii="Arial" w:cs="Arial" w:eastAsia="Arial" w:hAnsi="Arial"/>
          <w:sz w:val="19"/>
          <w:szCs w:val="19"/>
          <w:i w:val="1"/>
          <w:iCs w:val="1"/>
          <w:color w:val="auto"/>
        </w:rPr>
        <w:t>“herein”</w:t>
      </w:r>
      <w:r>
        <w:rPr>
          <w:rFonts w:ascii="Arial" w:cs="Arial" w:eastAsia="Arial" w:hAnsi="Arial"/>
          <w:sz w:val="19"/>
          <w:szCs w:val="19"/>
          <w:color w:val="auto"/>
        </w:rPr>
        <w:t xml:space="preserve"> or </w:t>
      </w:r>
      <w:r>
        <w:rPr>
          <w:rFonts w:ascii="Arial" w:cs="Arial" w:eastAsia="Arial" w:hAnsi="Arial"/>
          <w:sz w:val="19"/>
          <w:szCs w:val="19"/>
          <w:i w:val="1"/>
          <w:iCs w:val="1"/>
          <w:color w:val="auto"/>
        </w:rPr>
        <w:t>“hereof”</w:t>
      </w:r>
      <w:r>
        <w:rPr>
          <w:rFonts w:ascii="Arial" w:cs="Arial" w:eastAsia="Arial" w:hAnsi="Arial"/>
          <w:sz w:val="19"/>
          <w:szCs w:val="19"/>
          <w:color w:val="auto"/>
        </w:rPr>
        <w:t xml:space="preserve"> appearing in said provisions shall mean and refer to this Agreement.</w:t>
      </w:r>
    </w:p>
    <w:p>
      <w:pPr>
        <w:spacing w:after="0" w:line="26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Other than as hereinabove amended, any terms contained in the provisions of the Credit Agreement incorporated herein which are defined in the Credit Agreement shall have the same meaning herein as in the Credit Agreement.</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SECTION 23. CONFIDENTIALITY.</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Each party hereto agrees to hold the Transaction Documents and all non-public information received by it in connection therewith from any other party hereto or its agents or representatives in confidence and agrees not to provide any Person with copies of any Transaction Document or such non-public information other than to (i) any officers, directors, members, managers, employees or outside accountants, auditors or attorneys thereof, (ii) any prospective or actual assignee or participant which (in each case) has signed a confidentiality agreement containing provisions substantively identical to this Section 23 or has agreed to be subject to the terms of this Section 23, and (iii) Governmental Authorities with appropriate jurisdiction (including filings required under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7" w:right="239" w:bottom="1440" w:gutter="0" w:footer="0" w:header="0"/>
        </w:sectPr>
      </w:pPr>
    </w:p>
    <w:bookmarkStart w:id="168" w:name="page169"/>
    <w:bookmarkEnd w:id="168"/>
    <w:p>
      <w:pPr>
        <w:jc w:val="both"/>
        <w:spacing w:after="0" w:line="297" w:lineRule="auto"/>
        <w:rPr>
          <w:sz w:val="20"/>
          <w:szCs w:val="20"/>
          <w:color w:val="auto"/>
        </w:rPr>
      </w:pPr>
      <w:r>
        <w:rPr>
          <w:rFonts w:ascii="Arial" w:cs="Arial" w:eastAsia="Arial" w:hAnsi="Arial"/>
          <w:sz w:val="19"/>
          <w:szCs w:val="19"/>
          <w:color w:val="auto"/>
        </w:rPr>
        <w:t>securities laws). Notwithstanding the above stated obligations, provided that the other parties hereto are, to the extent permitted by law, given notice of the intended disclosure or use, the parties hereto will not be liable for disclosure or use of such information which such Person can establish by tangible evidence: (i) was required by law, including pursuant to a valid subpoena or other legal process, (ii) was in such Person’s possession or known to such Person prior to receipt or (iii) is or becomes known to the public through disclosure in a printed publication (without breach of any of such Person’s obligations hereunder).</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SECTION 24. ADMINISTRATIVE AGENT</w:t>
      </w:r>
    </w:p>
    <w:p>
      <w:pPr>
        <w:spacing w:after="0" w:line="39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i w:val="1"/>
          <w:iCs w:val="1"/>
          <w:color w:val="auto"/>
        </w:rPr>
        <w:t xml:space="preserve">Section 24.1. Appointment and Authority. </w:t>
      </w:r>
      <w:r>
        <w:rPr>
          <w:rFonts w:ascii="Arial" w:cs="Arial" w:eastAsia="Arial" w:hAnsi="Arial"/>
          <w:sz w:val="19"/>
          <w:szCs w:val="19"/>
          <w:color w:val="auto"/>
        </w:rPr>
        <w:t>Each of the Banks hereby irrevocably appoints Mizuho to act on its</w:t>
      </w:r>
      <w:r>
        <w:rPr>
          <w:rFonts w:ascii="Arial" w:cs="Arial" w:eastAsia="Arial" w:hAnsi="Arial"/>
          <w:sz w:val="19"/>
          <w:szCs w:val="19"/>
          <w:i w:val="1"/>
          <w:iCs w:val="1"/>
          <w:color w:val="auto"/>
        </w:rPr>
        <w:t xml:space="preserve"> </w:t>
      </w:r>
      <w:r>
        <w:rPr>
          <w:rFonts w:ascii="Arial" w:cs="Arial" w:eastAsia="Arial" w:hAnsi="Arial"/>
          <w:sz w:val="19"/>
          <w:szCs w:val="19"/>
          <w:color w:val="auto"/>
        </w:rPr>
        <w:t>behalf as the Administrative Agent hereunder and under the other Transaction Documents and authorizes the Administrative Agent to take such actions on its behalf and to exercise such powers as are delegated to the Administrative Agent by the terms hereof or thereof, together with such actions and powers as are reasonably incidental thereto. Except as expressly set forth in Sections 24.6(a) and 24.6(b), the provisions of this Section are solely for the benefit of the Administrative Agent and the Banks, and neither the Company nor any other Facility Party shall have rights as a third-party beneficiary of any of such provisions. It is understood and agreed that the use of the term “agent” herein or in any other Transaction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6" w:lineRule="exact"/>
        <w:rPr>
          <w:sz w:val="20"/>
          <w:szCs w:val="20"/>
          <w:color w:val="auto"/>
        </w:rPr>
      </w:pPr>
    </w:p>
    <w:p>
      <w:pPr>
        <w:jc w:val="both"/>
        <w:ind w:firstLine="1459"/>
        <w:spacing w:after="0" w:line="294" w:lineRule="auto"/>
        <w:rPr>
          <w:sz w:val="20"/>
          <w:szCs w:val="20"/>
          <w:color w:val="auto"/>
        </w:rPr>
      </w:pPr>
      <w:r>
        <w:rPr>
          <w:rFonts w:ascii="Arial" w:cs="Arial" w:eastAsia="Arial" w:hAnsi="Arial"/>
          <w:sz w:val="19"/>
          <w:szCs w:val="19"/>
          <w:i w:val="1"/>
          <w:iCs w:val="1"/>
          <w:color w:val="auto"/>
        </w:rPr>
        <w:t>Section 24.2. Rights as a Bank</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Person serving as the Administrative Agent hereunder shall have the same</w:t>
      </w:r>
      <w:r>
        <w:rPr>
          <w:rFonts w:ascii="Arial" w:cs="Arial" w:eastAsia="Arial" w:hAnsi="Arial"/>
          <w:sz w:val="19"/>
          <w:szCs w:val="19"/>
          <w:i w:val="1"/>
          <w:iCs w:val="1"/>
          <w:color w:val="auto"/>
        </w:rPr>
        <w:t xml:space="preserve"> </w:t>
      </w:r>
      <w:r>
        <w:rPr>
          <w:rFonts w:ascii="Arial" w:cs="Arial" w:eastAsia="Arial" w:hAnsi="Arial"/>
          <w:sz w:val="19"/>
          <w:szCs w:val="19"/>
          <w:color w:val="auto"/>
        </w:rPr>
        <w:t>rights and powers in its capacity as a Bank as any other Bank and may exercise the same as though it were not the Administrative Agent, and the term “Bank” or “Banks”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Parent, the Company or any Subsidiary or other Affiliate thereof as if such Person were not the Administrative Agent hereunder and without any duty to account therefor to the Banks.</w:t>
      </w:r>
    </w:p>
    <w:p>
      <w:pPr>
        <w:spacing w:after="0" w:line="193" w:lineRule="exact"/>
        <w:rPr>
          <w:sz w:val="20"/>
          <w:szCs w:val="20"/>
          <w:color w:val="auto"/>
        </w:rPr>
      </w:pPr>
    </w:p>
    <w:p>
      <w:pPr>
        <w:ind w:left="1460"/>
        <w:spacing w:after="0"/>
        <w:tabs>
          <w:tab w:leader="none" w:pos="2800" w:val="left"/>
        </w:tabs>
        <w:rPr>
          <w:sz w:val="20"/>
          <w:szCs w:val="20"/>
          <w:color w:val="auto"/>
        </w:rPr>
      </w:pPr>
      <w:r>
        <w:rPr>
          <w:rFonts w:ascii="Arial" w:cs="Arial" w:eastAsia="Arial" w:hAnsi="Arial"/>
          <w:sz w:val="22"/>
          <w:szCs w:val="22"/>
          <w:i w:val="1"/>
          <w:iCs w:val="1"/>
          <w:color w:val="auto"/>
        </w:rPr>
        <w:t>Section 24.3.</w:t>
      </w:r>
      <w:r>
        <w:rPr>
          <w:sz w:val="20"/>
          <w:szCs w:val="20"/>
          <w:color w:val="auto"/>
        </w:rPr>
        <w:tab/>
      </w:r>
      <w:r>
        <w:rPr>
          <w:rFonts w:ascii="Arial" w:cs="Arial" w:eastAsia="Arial" w:hAnsi="Arial"/>
          <w:sz w:val="19"/>
          <w:szCs w:val="19"/>
          <w:i w:val="1"/>
          <w:iCs w:val="1"/>
          <w:color w:val="auto"/>
        </w:rPr>
        <w:t>Exculpatory Provisions.</w:t>
      </w:r>
    </w:p>
    <w:p>
      <w:pPr>
        <w:spacing w:after="0" w:line="274" w:lineRule="exact"/>
        <w:rPr>
          <w:sz w:val="20"/>
          <w:szCs w:val="20"/>
          <w:color w:val="auto"/>
        </w:rPr>
      </w:pPr>
    </w:p>
    <w:p>
      <w:pPr>
        <w:jc w:val="both"/>
        <w:ind w:firstLine="1305"/>
        <w:spacing w:after="0" w:line="260" w:lineRule="auto"/>
        <w:tabs>
          <w:tab w:leader="none" w:pos="17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Administrative Agent shall not have any duties or obligations except those expressly set forth herein and in the other Transaction Documents, and its duties hereunder shall be administrative in nature. Without limiting the generality of the foregoing, the Administrative Agent shall not:</w:t>
      </w:r>
    </w:p>
    <w:p>
      <w:pPr>
        <w:spacing w:after="0" w:line="177" w:lineRule="exact"/>
        <w:rPr>
          <w:rFonts w:ascii="Arial" w:cs="Arial" w:eastAsia="Arial" w:hAnsi="Arial"/>
          <w:sz w:val="22"/>
          <w:szCs w:val="22"/>
          <w:color w:val="auto"/>
        </w:rPr>
      </w:pPr>
    </w:p>
    <w:p>
      <w:pPr>
        <w:ind w:left="660" w:firstLine="1293"/>
        <w:spacing w:after="0" w:line="276" w:lineRule="auto"/>
        <w:tabs>
          <w:tab w:leader="none" w:pos="2475" w:val="left"/>
        </w:tabs>
        <w:numPr>
          <w:ilvl w:val="1"/>
          <w:numId w:val="80"/>
        </w:numPr>
        <w:rPr>
          <w:rFonts w:ascii="Arial" w:cs="Arial" w:eastAsia="Arial" w:hAnsi="Arial"/>
          <w:sz w:val="22"/>
          <w:szCs w:val="22"/>
          <w:color w:val="auto"/>
        </w:rPr>
      </w:pPr>
      <w:r>
        <w:rPr>
          <w:rFonts w:ascii="Arial" w:cs="Arial" w:eastAsia="Arial" w:hAnsi="Arial"/>
          <w:sz w:val="22"/>
          <w:szCs w:val="22"/>
          <w:color w:val="auto"/>
        </w:rPr>
        <w:t>be subject to any fiduciary or other implied duties, regardless of whether a Termination Event has occurred and is continuing;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7" w:right="239" w:bottom="1440" w:gutter="0" w:footer="0" w:header="0"/>
        </w:sectPr>
      </w:pPr>
    </w:p>
    <w:bookmarkStart w:id="169" w:name="page170"/>
    <w:bookmarkEnd w:id="169"/>
    <w:p>
      <w:pPr>
        <w:jc w:val="both"/>
        <w:ind w:left="660" w:firstLine="1293"/>
        <w:spacing w:after="0" w:line="292" w:lineRule="auto"/>
        <w:tabs>
          <w:tab w:leader="none" w:pos="2671"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Required Banks (or such other number or percentage of the Banks as shall be expressly provided for herein or in the other Transaction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the Administrative Agent shall not be required to take any action that, in its opinion or the opinion of its counsel, may expose the Administrative Agent to liability or that is contrary to any Transaction Document or applicable law, including for the avoidance of doubt any action that may be in violation of the automatic stay under any Bankruptcy Law or that may effect a forfeiture, modification or termination of property of a Defaulting Bank in violation of any Bankruptcy Law; and</w:t>
      </w:r>
    </w:p>
    <w:p>
      <w:pPr>
        <w:spacing w:after="0" w:line="155" w:lineRule="exact"/>
        <w:rPr>
          <w:rFonts w:ascii="Arial" w:cs="Arial" w:eastAsia="Arial" w:hAnsi="Arial"/>
          <w:sz w:val="19"/>
          <w:szCs w:val="19"/>
          <w:color w:val="auto"/>
        </w:rPr>
      </w:pPr>
    </w:p>
    <w:p>
      <w:pPr>
        <w:jc w:val="both"/>
        <w:ind w:left="660" w:firstLine="1293"/>
        <w:spacing w:after="0" w:line="320" w:lineRule="auto"/>
        <w:tabs>
          <w:tab w:leader="none" w:pos="2474" w:val="left"/>
        </w:tabs>
        <w:numPr>
          <w:ilvl w:val="1"/>
          <w:numId w:val="81"/>
        </w:numPr>
        <w:rPr>
          <w:rFonts w:ascii="Arial" w:cs="Arial" w:eastAsia="Arial" w:hAnsi="Arial"/>
          <w:sz w:val="19"/>
          <w:szCs w:val="19"/>
          <w:color w:val="auto"/>
        </w:rPr>
      </w:pPr>
      <w:r>
        <w:rPr>
          <w:rFonts w:ascii="Arial" w:cs="Arial" w:eastAsia="Arial" w:hAnsi="Arial"/>
          <w:sz w:val="19"/>
          <w:szCs w:val="19"/>
          <w:color w:val="auto"/>
        </w:rPr>
        <w:t>except as expressly set forth herein and in the other Transaction Documents, have any duty to disclose, and shall not be liable for the failure to disclose, any information relating to the Company or any of its Affiliates that is communicated to or obtained by the Person serving as the Administrative Agent or any of its Affiliates in any capacity.</w:t>
      </w:r>
    </w:p>
    <w:p>
      <w:pPr>
        <w:spacing w:after="0" w:line="125" w:lineRule="exact"/>
        <w:rPr>
          <w:rFonts w:ascii="Arial" w:cs="Arial" w:eastAsia="Arial" w:hAnsi="Arial"/>
          <w:sz w:val="19"/>
          <w:szCs w:val="19"/>
          <w:color w:val="auto"/>
        </w:rPr>
      </w:pPr>
    </w:p>
    <w:p>
      <w:pPr>
        <w:jc w:val="both"/>
        <w:ind w:firstLine="1305"/>
        <w:spacing w:after="0" w:line="251" w:lineRule="auto"/>
        <w:tabs>
          <w:tab w:leader="none" w:pos="17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Administrative Agent shall not be liable for any action taken or not taken by it (i) with the consent or at the request of the Required Banks, or (ii) in the absence of its own gross negligence or willful misconduct as determined by a court of competent jurisdiction by final and nonappealable judgment. The Administrative Agent shall not be deemed to have knowledge of any Termination Event unless and until notice describing such Termination Event is given to the Administrative Agent in writing by the Company or a Bank.</w:t>
      </w:r>
    </w:p>
    <w:p>
      <w:pPr>
        <w:spacing w:after="0" w:line="189" w:lineRule="exact"/>
        <w:rPr>
          <w:rFonts w:ascii="Arial" w:cs="Arial" w:eastAsia="Arial" w:hAnsi="Arial"/>
          <w:sz w:val="22"/>
          <w:szCs w:val="22"/>
          <w:color w:val="auto"/>
        </w:rPr>
      </w:pPr>
    </w:p>
    <w:p>
      <w:pPr>
        <w:jc w:val="both"/>
        <w:ind w:firstLine="1305"/>
        <w:spacing w:after="0" w:line="294" w:lineRule="auto"/>
        <w:tabs>
          <w:tab w:leader="none" w:pos="1811"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Termination Event, (iv) the validity, enforceability, effectiveness or genuineness of this Agreement, any other Transaction Document or any other agreement, instrument or document, or (v) the satisfaction of any condition set forth in Section 3 or elsewhere herein, other than to confirm receipt of items expressly required to be delivered to the Administrative Agent.</w:t>
      </w:r>
    </w:p>
    <w:p>
      <w:pPr>
        <w:spacing w:after="0" w:line="152" w:lineRule="exact"/>
        <w:rPr>
          <w:sz w:val="20"/>
          <w:szCs w:val="20"/>
          <w:color w:val="auto"/>
        </w:rPr>
      </w:pPr>
    </w:p>
    <w:p>
      <w:pPr>
        <w:jc w:val="both"/>
        <w:ind w:firstLine="1459"/>
        <w:spacing w:after="0" w:line="294" w:lineRule="auto"/>
        <w:rPr>
          <w:sz w:val="20"/>
          <w:szCs w:val="20"/>
          <w:color w:val="auto"/>
        </w:rPr>
      </w:pPr>
      <w:r>
        <w:rPr>
          <w:rFonts w:ascii="Arial" w:cs="Arial" w:eastAsia="Arial" w:hAnsi="Arial"/>
          <w:sz w:val="19"/>
          <w:szCs w:val="19"/>
          <w:i w:val="1"/>
          <w:iCs w:val="1"/>
          <w:color w:val="auto"/>
        </w:rPr>
        <w:t xml:space="preserve">Section 24.4. Reliance by Administrative Agent. </w:t>
      </w:r>
      <w:r>
        <w:rPr>
          <w:rFonts w:ascii="Arial" w:cs="Arial" w:eastAsia="Arial" w:hAnsi="Arial"/>
          <w:sz w:val="19"/>
          <w:szCs w:val="19"/>
          <w:color w:val="auto"/>
        </w:rPr>
        <w:t>The Administrative Agent shall be entitled to rely upon, and</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purchase hereunder, that by its terms must be fulfilled to the satisfaction of a Bank, the Administrative Agent may presume that such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7" w:right="239" w:bottom="1440" w:gutter="0" w:footer="0" w:header="0"/>
        </w:sectPr>
      </w:pPr>
    </w:p>
    <w:bookmarkStart w:id="170" w:name="page171"/>
    <w:bookmarkEnd w:id="170"/>
    <w:p>
      <w:pPr>
        <w:jc w:val="both"/>
        <w:spacing w:after="0" w:line="250" w:lineRule="auto"/>
        <w:rPr>
          <w:sz w:val="20"/>
          <w:szCs w:val="20"/>
          <w:color w:val="auto"/>
        </w:rPr>
      </w:pPr>
      <w:r>
        <w:rPr>
          <w:rFonts w:ascii="Arial" w:cs="Arial" w:eastAsia="Arial" w:hAnsi="Arial"/>
          <w:sz w:val="22"/>
          <w:szCs w:val="22"/>
          <w:color w:val="auto"/>
        </w:rPr>
        <w:t>condition is satisfactory to such Bank unless the Administrative Agent shall have received notice to the contrary from such Bank prior to the making of such purchase.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29" w:lineRule="exact"/>
        <w:rPr>
          <w:sz w:val="20"/>
          <w:szCs w:val="20"/>
          <w:color w:val="auto"/>
        </w:rPr>
      </w:pPr>
    </w:p>
    <w:p>
      <w:pPr>
        <w:jc w:val="both"/>
        <w:ind w:firstLine="1459"/>
        <w:spacing w:after="0" w:line="291" w:lineRule="auto"/>
        <w:rPr>
          <w:sz w:val="20"/>
          <w:szCs w:val="20"/>
          <w:color w:val="auto"/>
        </w:rPr>
      </w:pPr>
      <w:r>
        <w:rPr>
          <w:rFonts w:ascii="Arial" w:cs="Arial" w:eastAsia="Arial" w:hAnsi="Arial"/>
          <w:sz w:val="19"/>
          <w:szCs w:val="19"/>
          <w:i w:val="1"/>
          <w:iCs w:val="1"/>
          <w:color w:val="auto"/>
        </w:rPr>
        <w:t xml:space="preserve">Section 24.5. Delegation of Duties. </w:t>
      </w:r>
      <w:r>
        <w:rPr>
          <w:rFonts w:ascii="Arial" w:cs="Arial" w:eastAsia="Arial" w:hAnsi="Arial"/>
          <w:sz w:val="19"/>
          <w:szCs w:val="19"/>
          <w:color w:val="auto"/>
        </w:rPr>
        <w:t>The Administrative Agent may perform any and all of its duties and exercise</w:t>
      </w:r>
      <w:r>
        <w:rPr>
          <w:rFonts w:ascii="Arial" w:cs="Arial" w:eastAsia="Arial" w:hAnsi="Arial"/>
          <w:sz w:val="19"/>
          <w:szCs w:val="19"/>
          <w:i w:val="1"/>
          <w:iCs w:val="1"/>
          <w:color w:val="auto"/>
        </w:rPr>
        <w:t xml:space="preserve"> </w:t>
      </w:r>
      <w:r>
        <w:rPr>
          <w:rFonts w:ascii="Arial" w:cs="Arial" w:eastAsia="Arial" w:hAnsi="Arial"/>
          <w:sz w:val="19"/>
          <w:szCs w:val="19"/>
          <w:color w:val="auto"/>
        </w:rPr>
        <w:t>its rights and powers hereunder or under any other Transaction Document by or through any one or more sub-agents appointed by the Administrative Agent. The Administrative Agent and any such sub agent may perform any and all of its duties and exercise its rights and powers by or through their respective Related Parties. The exculpatory provisions of this Section shall apply to any such sub agent and to the Related Parties of the Administrative Agent and any such sub-agent, and shall apply to their respective activities in connection with the syndication of the Purchased Receivables and each Bank’s Stated Amount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5" w:lineRule="exact"/>
        <w:rPr>
          <w:sz w:val="20"/>
          <w:szCs w:val="20"/>
          <w:color w:val="auto"/>
        </w:rPr>
      </w:pPr>
    </w:p>
    <w:p>
      <w:pPr>
        <w:ind w:left="1460"/>
        <w:spacing w:after="0"/>
        <w:tabs>
          <w:tab w:leader="none" w:pos="2800" w:val="left"/>
        </w:tabs>
        <w:rPr>
          <w:sz w:val="20"/>
          <w:szCs w:val="20"/>
          <w:color w:val="auto"/>
        </w:rPr>
      </w:pPr>
      <w:r>
        <w:rPr>
          <w:rFonts w:ascii="Arial" w:cs="Arial" w:eastAsia="Arial" w:hAnsi="Arial"/>
          <w:sz w:val="22"/>
          <w:szCs w:val="22"/>
          <w:i w:val="1"/>
          <w:iCs w:val="1"/>
          <w:color w:val="auto"/>
        </w:rPr>
        <w:t>Section 24.6.</w:t>
      </w:r>
      <w:r>
        <w:rPr>
          <w:sz w:val="20"/>
          <w:szCs w:val="20"/>
          <w:color w:val="auto"/>
        </w:rPr>
        <w:tab/>
      </w:r>
      <w:r>
        <w:rPr>
          <w:rFonts w:ascii="Arial" w:cs="Arial" w:eastAsia="Arial" w:hAnsi="Arial"/>
          <w:sz w:val="19"/>
          <w:szCs w:val="19"/>
          <w:i w:val="1"/>
          <w:iCs w:val="1"/>
          <w:color w:val="auto"/>
        </w:rPr>
        <w:t>Resignation of the Administrative Agent.</w:t>
      </w:r>
    </w:p>
    <w:p>
      <w:pPr>
        <w:spacing w:after="0" w:line="274" w:lineRule="exact"/>
        <w:rPr>
          <w:sz w:val="20"/>
          <w:szCs w:val="20"/>
          <w:color w:val="auto"/>
        </w:rPr>
      </w:pPr>
    </w:p>
    <w:p>
      <w:pPr>
        <w:jc w:val="both"/>
        <w:ind w:firstLine="1305"/>
        <w:spacing w:after="0" w:line="291" w:lineRule="auto"/>
        <w:tabs>
          <w:tab w:leader="none" w:pos="1743"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Administrative Agent may at any time give notice of its resignation to the Banks and the Company. Upon receipt of any such notice of resignation, the Required Banks shall have the right, with the prior written consent of the Company (provided, (x) no such consent of the Company shall be required while a Termination Event exists and (y) such consent shall not be unreasonably withheld, delayed or conditioned), to appoint a successor. If no such successor shall have been so appointed by the Required Banks and shall have accepted such appointment within thirty days after the retiring Administrative Agent gives notice of its resignation (or such earlier day as shall be agreed by the Required Banks) (the </w:t>
      </w:r>
      <w:r>
        <w:rPr>
          <w:rFonts w:ascii="Arial" w:cs="Arial" w:eastAsia="Arial" w:hAnsi="Arial"/>
          <w:sz w:val="19"/>
          <w:szCs w:val="19"/>
          <w:i w:val="1"/>
          <w:iCs w:val="1"/>
          <w:color w:val="auto"/>
        </w:rPr>
        <w:t>“Resignation Effective Date”</w:t>
      </w:r>
      <w:r>
        <w:rPr>
          <w:rFonts w:ascii="Arial" w:cs="Arial" w:eastAsia="Arial" w:hAnsi="Arial"/>
          <w:sz w:val="19"/>
          <w:szCs w:val="19"/>
          <w:color w:val="auto"/>
        </w:rPr>
        <w:t>), then the retiring Administrative Agent may (but shall not be obligated to), on behalf of the Banks, appoint a successor Administrative Agent meeting the qualifications set forth above. Whether or not a successor has been appointed, such resignation shall become effective in accordance with such notice on the Resignation Effective Date.</w:t>
      </w:r>
    </w:p>
    <w:p>
      <w:pPr>
        <w:spacing w:after="0" w:line="154" w:lineRule="exact"/>
        <w:rPr>
          <w:rFonts w:ascii="Arial" w:cs="Arial" w:eastAsia="Arial" w:hAnsi="Arial"/>
          <w:sz w:val="19"/>
          <w:szCs w:val="19"/>
          <w:color w:val="auto"/>
        </w:rPr>
      </w:pPr>
    </w:p>
    <w:p>
      <w:pPr>
        <w:jc w:val="both"/>
        <w:ind w:firstLine="1305"/>
        <w:spacing w:after="0" w:line="294" w:lineRule="auto"/>
        <w:tabs>
          <w:tab w:leader="none" w:pos="1742"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If the Person serving as the Administrative Agent is a Defaulting Bank pursuant to clause (iv) of the definition thereof, the Required Banks may, to the extent permitted by applicable law, by notice in writing to the Company and such Person remove such Person as the Administrative Agent and, with the consent of the Company (provided, (x) no such consent of the Company shall be required while a Termination Event exists and (y) such consent shall not be unreasonably withheld, delayed or conditioned), appoint a successor. If no such successor shall have been so appointed by the Required Banks and shall have accepted such appointment within thirty days (or such earlier day as shall be agreed by the Required Banks) (the </w:t>
      </w:r>
      <w:r>
        <w:rPr>
          <w:rFonts w:ascii="Arial" w:cs="Arial" w:eastAsia="Arial" w:hAnsi="Arial"/>
          <w:sz w:val="19"/>
          <w:szCs w:val="19"/>
          <w:i w:val="1"/>
          <w:iCs w:val="1"/>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7" w:right="239" w:bottom="1440" w:gutter="0" w:footer="0" w:header="0"/>
        </w:sectPr>
      </w:pPr>
    </w:p>
    <w:bookmarkStart w:id="171" w:name="page172"/>
    <w:bookmarkEnd w:id="171"/>
    <w:p>
      <w:pPr>
        <w:jc w:val="both"/>
        <w:ind w:firstLine="1305"/>
        <w:spacing w:after="0" w:line="287" w:lineRule="auto"/>
        <w:tabs>
          <w:tab w:leader="none" w:pos="1716" w:val="left"/>
        </w:tabs>
        <w:numPr>
          <w:ilvl w:val="0"/>
          <w:numId w:val="84"/>
        </w:numPr>
        <w:rPr>
          <w:rFonts w:ascii="Arial" w:cs="Arial" w:eastAsia="Arial" w:hAnsi="Arial"/>
          <w:sz w:val="19"/>
          <w:szCs w:val="19"/>
          <w:color w:val="auto"/>
        </w:rPr>
      </w:pPr>
      <w:r>
        <w:rPr>
          <w:rFonts w:ascii="Arial" w:cs="Arial" w:eastAsia="Arial" w:hAnsi="Arial"/>
          <w:sz w:val="19"/>
          <w:szCs w:val="19"/>
          <w:color w:val="auto"/>
        </w:rPr>
        <w:t>With effect from the Resignation Effective Date or the Removal Effective Date (as applicable) (i) the retiring or removed Administrative Agent shall be discharged from its duties and obligations hereunder and under the other Transaction Documents, (except that in the case of any collateral held by the Administrative Agent on behalf of the Beneficiaries, the retiring or removed the Administrative Agent shall continue to hold such collateral until such time as a successor the Administrative Agent is appointed) and (ii) all payments, communications and determinations provided to be made by, to or through the Administrative Agent shall instead be made by or to each Bank directly, until such time, if any, as the Required Banks appoint a successor Administrative Agent as provided for above. Upon the acceptance of a successor’s appointment as the Administrative Agent hereunder, such successor shall succeed to and become vested with all of the rights, powers, privileges and duties of the retiring or removed Administrative Agent, and the retiring or removed Administrative Agent shall be discharged from all of its duties and obligations hereunder or under the other Transaction Documents.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Transaction Documents, the provisions of this Section and Sections 15.2 and 15.4 shall continue in effect for the benefit of such retiring or removed Administrative Agent, its sub agents and their respective Related Parties in respect of any actions taken or omitted to be taken by any of them while the retiring or removed Administrative Agent was acting as the Administrative Agent.</w:t>
      </w:r>
    </w:p>
    <w:p>
      <w:pPr>
        <w:spacing w:after="0" w:line="159" w:lineRule="exact"/>
        <w:rPr>
          <w:sz w:val="20"/>
          <w:szCs w:val="20"/>
          <w:color w:val="auto"/>
        </w:rPr>
      </w:pPr>
    </w:p>
    <w:p>
      <w:pPr>
        <w:jc w:val="both"/>
        <w:ind w:firstLine="1459"/>
        <w:spacing w:after="0" w:line="294" w:lineRule="auto"/>
        <w:rPr>
          <w:sz w:val="20"/>
          <w:szCs w:val="20"/>
          <w:color w:val="auto"/>
        </w:rPr>
      </w:pPr>
      <w:r>
        <w:rPr>
          <w:rFonts w:ascii="Arial" w:cs="Arial" w:eastAsia="Arial" w:hAnsi="Arial"/>
          <w:sz w:val="19"/>
          <w:szCs w:val="19"/>
          <w:i w:val="1"/>
          <w:iCs w:val="1"/>
          <w:color w:val="auto"/>
        </w:rPr>
        <w:t xml:space="preserve">Section 24.7. Non-Reliance on Administrative Agent and Other Banks. </w:t>
      </w:r>
      <w:r>
        <w:rPr>
          <w:rFonts w:ascii="Arial" w:cs="Arial" w:eastAsia="Arial" w:hAnsi="Arial"/>
          <w:sz w:val="19"/>
          <w:szCs w:val="19"/>
          <w:color w:val="auto"/>
        </w:rPr>
        <w:t>Each Bank acknowledges that it has,</w:t>
      </w:r>
      <w:r>
        <w:rPr>
          <w:rFonts w:ascii="Arial" w:cs="Arial" w:eastAsia="Arial" w:hAnsi="Arial"/>
          <w:sz w:val="19"/>
          <w:szCs w:val="19"/>
          <w:i w:val="1"/>
          <w:iCs w:val="1"/>
          <w:color w:val="auto"/>
        </w:rPr>
        <w:t xml:space="preserve"> </w:t>
      </w:r>
      <w:r>
        <w:rPr>
          <w:rFonts w:ascii="Arial" w:cs="Arial" w:eastAsia="Arial" w:hAnsi="Arial"/>
          <w:sz w:val="19"/>
          <w:szCs w:val="19"/>
          <w:color w:val="auto"/>
        </w:rPr>
        <w:t>independently and without reliance upon the Administrative Agent or any other Bank or any of their Related Parties and based on such documents and information as it has deemed appropriate, made its own credit analysis and decision to enter into this Agreement. Each Bank also acknowledges that it will, independently and without reliance upon the Administrative Agent or any other Bank or any of their Related Parties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w:t>
      </w:r>
    </w:p>
    <w:p>
      <w:pPr>
        <w:spacing w:after="0" w:line="193" w:lineRule="exact"/>
        <w:rPr>
          <w:sz w:val="20"/>
          <w:szCs w:val="20"/>
          <w:color w:val="auto"/>
        </w:rPr>
      </w:pPr>
    </w:p>
    <w:p>
      <w:pPr>
        <w:jc w:val="both"/>
        <w:ind w:firstLine="1459"/>
        <w:spacing w:after="0" w:line="260" w:lineRule="auto"/>
        <w:rPr>
          <w:sz w:val="20"/>
          <w:szCs w:val="20"/>
          <w:color w:val="auto"/>
        </w:rPr>
      </w:pPr>
      <w:r>
        <w:rPr>
          <w:rFonts w:ascii="Arial" w:cs="Arial" w:eastAsia="Arial" w:hAnsi="Arial"/>
          <w:sz w:val="22"/>
          <w:szCs w:val="22"/>
          <w:i w:val="1"/>
          <w:iCs w:val="1"/>
          <w:color w:val="auto"/>
        </w:rPr>
        <w:t xml:space="preserve">Section 24.8. No Other Duties, Etc. </w:t>
      </w:r>
      <w:r>
        <w:rPr>
          <w:rFonts w:ascii="Arial" w:cs="Arial" w:eastAsia="Arial" w:hAnsi="Arial"/>
          <w:sz w:val="22"/>
          <w:szCs w:val="22"/>
          <w:color w:val="auto"/>
        </w:rPr>
        <w:t>Anything herein to the contrary notwithstanding, the Lead Arranger shall</w:t>
      </w:r>
      <w:r>
        <w:rPr>
          <w:rFonts w:ascii="Arial" w:cs="Arial" w:eastAsia="Arial" w:hAnsi="Arial"/>
          <w:sz w:val="22"/>
          <w:szCs w:val="22"/>
          <w:i w:val="1"/>
          <w:iCs w:val="1"/>
          <w:color w:val="auto"/>
        </w:rPr>
        <w:t xml:space="preserve"> </w:t>
      </w:r>
      <w:r>
        <w:rPr>
          <w:rFonts w:ascii="Arial" w:cs="Arial" w:eastAsia="Arial" w:hAnsi="Arial"/>
          <w:sz w:val="22"/>
          <w:szCs w:val="22"/>
          <w:color w:val="auto"/>
        </w:rPr>
        <w:t>have no power, duty or responsibility under this Agreement or any of the other Transaction Documents, except in its capacity, as applicable, as the Administrative Agent or a Bank hereunder.</w:t>
      </w:r>
    </w:p>
    <w:p>
      <w:pPr>
        <w:spacing w:after="0" w:line="218" w:lineRule="exact"/>
        <w:rPr>
          <w:sz w:val="20"/>
          <w:szCs w:val="20"/>
          <w:color w:val="auto"/>
        </w:rPr>
      </w:pPr>
    </w:p>
    <w:p>
      <w:pPr>
        <w:jc w:val="both"/>
        <w:ind w:firstLine="1459"/>
        <w:spacing w:after="0" w:line="266" w:lineRule="auto"/>
        <w:rPr>
          <w:sz w:val="20"/>
          <w:szCs w:val="20"/>
          <w:color w:val="auto"/>
        </w:rPr>
      </w:pPr>
      <w:r>
        <w:rPr>
          <w:rFonts w:ascii="Arial" w:cs="Arial" w:eastAsia="Arial" w:hAnsi="Arial"/>
          <w:sz w:val="21"/>
          <w:szCs w:val="21"/>
          <w:i w:val="1"/>
          <w:iCs w:val="1"/>
          <w:color w:val="auto"/>
        </w:rPr>
        <w:t xml:space="preserve">Section 24.9. Administrative Agent May File Proofs of Claim. </w:t>
      </w:r>
      <w:r>
        <w:rPr>
          <w:rFonts w:ascii="Arial" w:cs="Arial" w:eastAsia="Arial" w:hAnsi="Arial"/>
          <w:sz w:val="21"/>
          <w:szCs w:val="21"/>
          <w:color w:val="auto"/>
        </w:rPr>
        <w:t>In case of the pendency of any proceeding under</w:t>
      </w:r>
      <w:r>
        <w:rPr>
          <w:rFonts w:ascii="Arial" w:cs="Arial" w:eastAsia="Arial" w:hAnsi="Arial"/>
          <w:sz w:val="21"/>
          <w:szCs w:val="21"/>
          <w:i w:val="1"/>
          <w:iCs w:val="1"/>
          <w:color w:val="auto"/>
        </w:rPr>
        <w:t xml:space="preserve"> </w:t>
      </w:r>
      <w:r>
        <w:rPr>
          <w:rFonts w:ascii="Arial" w:cs="Arial" w:eastAsia="Arial" w:hAnsi="Arial"/>
          <w:sz w:val="21"/>
          <w:szCs w:val="21"/>
          <w:color w:val="auto"/>
        </w:rPr>
        <w:t>any Bankruptcy Law or any other judicial proceeding relative to any Facility Party, the Administrative Agent (irrespective of whether the principal of any Purchased Receivable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7" w:right="239" w:bottom="1440" w:gutter="0" w:footer="0" w:header="0"/>
        </w:sectPr>
      </w:pPr>
    </w:p>
    <w:bookmarkStart w:id="172" w:name="page173"/>
    <w:bookmarkEnd w:id="172"/>
    <w:p>
      <w:pPr>
        <w:jc w:val="both"/>
        <w:ind w:firstLine="1305"/>
        <w:spacing w:after="0" w:line="270" w:lineRule="auto"/>
        <w:tabs>
          <w:tab w:leader="none" w:pos="1743"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to file and prove a claim for the whole amount of the principal and interest owing and unpaid in respect of the Purchased Receivables and all obligations hereunder that are owing and unpaid and to file such other documents as may be necessary or advisable in order to have the claims of the Banks and the Administrative Agent allowed in such judicial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the Banks shall retain all rights to cast votes in any such proceeding; and</w:t>
      </w:r>
    </w:p>
    <w:p>
      <w:pPr>
        <w:spacing w:after="0" w:line="169" w:lineRule="exact"/>
        <w:rPr>
          <w:rFonts w:ascii="Arial" w:cs="Arial" w:eastAsia="Arial" w:hAnsi="Arial"/>
          <w:sz w:val="21"/>
          <w:szCs w:val="21"/>
          <w:color w:val="auto"/>
        </w:rPr>
      </w:pPr>
    </w:p>
    <w:p>
      <w:pPr>
        <w:ind w:left="1760" w:hanging="455"/>
        <w:spacing w:after="0"/>
        <w:tabs>
          <w:tab w:leader="none" w:pos="17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same;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Bank to make such payments to the Administrative Agent and, in the event that the Administrative Agent shall consent to the making of such payments directly to the Banks, to pay to the Administrative Agent any amount due for the reasonable compensation, expenses, disbursements and advances of the Administrative Agent and its agents and counsel, and any other amounts due the Administrative Agent under Sections 15.2 and 15.4.</w:t>
      </w:r>
    </w:p>
    <w:p>
      <w:pPr>
        <w:spacing w:after="0" w:line="176" w:lineRule="exact"/>
        <w:rPr>
          <w:sz w:val="20"/>
          <w:szCs w:val="20"/>
          <w:color w:val="auto"/>
        </w:rPr>
      </w:pPr>
    </w:p>
    <w:p>
      <w:pPr>
        <w:jc w:val="both"/>
        <w:ind w:firstLine="1459"/>
        <w:spacing w:after="0" w:line="286" w:lineRule="auto"/>
        <w:rPr>
          <w:sz w:val="20"/>
          <w:szCs w:val="20"/>
          <w:color w:val="auto"/>
        </w:rPr>
      </w:pPr>
      <w:r>
        <w:rPr>
          <w:rFonts w:ascii="Arial" w:cs="Arial" w:eastAsia="Arial" w:hAnsi="Arial"/>
          <w:sz w:val="19"/>
          <w:szCs w:val="19"/>
          <w:i w:val="1"/>
          <w:iCs w:val="1"/>
          <w:color w:val="auto"/>
        </w:rPr>
        <w:t xml:space="preserve">Section 24.10. No Enforcement, Etc. </w:t>
      </w:r>
      <w:r>
        <w:rPr>
          <w:rFonts w:ascii="Arial" w:cs="Arial" w:eastAsia="Arial" w:hAnsi="Arial"/>
          <w:sz w:val="19"/>
          <w:szCs w:val="19"/>
          <w:color w:val="auto"/>
        </w:rPr>
        <w:t>Anything contained in any of the Transaction Documents to the contrary</w:t>
      </w:r>
      <w:r>
        <w:rPr>
          <w:rFonts w:ascii="Arial" w:cs="Arial" w:eastAsia="Arial" w:hAnsi="Arial"/>
          <w:sz w:val="19"/>
          <w:szCs w:val="19"/>
          <w:i w:val="1"/>
          <w:iCs w:val="1"/>
          <w:color w:val="auto"/>
        </w:rPr>
        <w:t xml:space="preserve"> </w:t>
      </w:r>
      <w:r>
        <w:rPr>
          <w:rFonts w:ascii="Arial" w:cs="Arial" w:eastAsia="Arial" w:hAnsi="Arial"/>
          <w:sz w:val="19"/>
          <w:szCs w:val="19"/>
          <w:color w:val="auto"/>
        </w:rPr>
        <w:t>notwithstanding, each Facility Party, the Administrative Agent and each Bank hereby agree that (a) no Bank shall have any right individually to realize upon any of the Purchased Receivables or to enforce the guaranty of the Parent as set forth in Section 22, it being understood and agreed that all powers, rights and remedies hereunder and under any of the Transaction Documents may be exercised solely by the Administrative Agent for the benefit of the Beneficiaries in accordance with the terms hereof and thereof and all powers, rights and remedies hereunder may be exercised solely by the Administrative Agent for the benefit of the Beneficiaries in accordance with the terms thereof, and (b) in the event of a foreclosure or similar enforcement action by the Administrative Agent on any of the Purchased Receivables pursuant to a public or private sale or other disposition (including pursuant to section 363(k), section 1129(b)(2)(a)(ii) or otherwise of the Bankruptcy Code), the Administrative Agent (or any Bank, except with respect to a “credit bid” pursuant to section 363(k), section 1129(b)(2)(a)(ii) or otherwise of the Bankruptcy Code,) may be the purchaser or licensor of any or all of such Purchased Receivables at any such sale or other disposition and the Administrative Agent, as agent for and representative of Beneficiaries (but not any Bank or Banks in its or their respective individual capacities) shall be entitled, upon instructions from Required Banks, for the purpose of bidding and making settlement or payment of the purchase price for all or any portion of the Purchased Receivables sold at any such sale or disposition, to use and apply any of the Obligations as a credit on account of the purchase price for any Purchased Receivables payable by the Administrative Agent at such sale or other disposition. The Administrative Agent shall not be responsible for or have a duty to ascertain or inquire into any representation or warranty regarding the existence, value or collectability of the Purchased Receivables, the existence, priority or perfection of the Administrative Agent’s Lien thereon, or any certificate prepared by any Facility Party in connection therewith, and the Administrative Agent shall not be responsible or liable to the Banks for any failure to monitor or maintain any portion of the Purchased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7" w:right="239" w:bottom="1440" w:gutter="0" w:footer="0" w:header="0"/>
        </w:sectPr>
      </w:pPr>
    </w:p>
    <w:bookmarkStart w:id="173" w:name="page174"/>
    <w:bookmarkEnd w:id="173"/>
    <w:p>
      <w:pPr>
        <w:jc w:val="both"/>
        <w:ind w:firstLine="1459"/>
        <w:spacing w:after="0" w:line="290" w:lineRule="auto"/>
        <w:rPr>
          <w:sz w:val="20"/>
          <w:szCs w:val="20"/>
          <w:color w:val="auto"/>
        </w:rPr>
      </w:pPr>
      <w:r>
        <w:rPr>
          <w:rFonts w:ascii="Arial" w:cs="Arial" w:eastAsia="Arial" w:hAnsi="Arial"/>
          <w:sz w:val="19"/>
          <w:szCs w:val="19"/>
          <w:i w:val="1"/>
          <w:iCs w:val="1"/>
          <w:color w:val="auto"/>
        </w:rPr>
        <w:t xml:space="preserve">Section 24.11. Withholding Taxes. </w:t>
      </w:r>
      <w:r>
        <w:rPr>
          <w:rFonts w:ascii="Arial" w:cs="Arial" w:eastAsia="Arial" w:hAnsi="Arial"/>
          <w:sz w:val="19"/>
          <w:szCs w:val="19"/>
          <w:color w:val="auto"/>
        </w:rPr>
        <w:t>To the extent required by any applicable Law, the Administrative Agent may</w:t>
      </w:r>
      <w:r>
        <w:rPr>
          <w:rFonts w:ascii="Arial" w:cs="Arial" w:eastAsia="Arial" w:hAnsi="Arial"/>
          <w:sz w:val="19"/>
          <w:szCs w:val="19"/>
          <w:i w:val="1"/>
          <w:iCs w:val="1"/>
          <w:color w:val="auto"/>
        </w:rPr>
        <w:t xml:space="preserve"> </w:t>
      </w:r>
      <w:r>
        <w:rPr>
          <w:rFonts w:ascii="Arial" w:cs="Arial" w:eastAsia="Arial" w:hAnsi="Arial"/>
          <w:sz w:val="19"/>
          <w:szCs w:val="19"/>
          <w:color w:val="auto"/>
        </w:rPr>
        <w:t>withhold from any payment to any Bank an amount equivalent to any applicable withholding tax. If the Internal Revenue Service or any other Governmental Authority asserts a claim that the Administrative Agent did not properly withhold tax from amounts paid to or for the account of any Bank because the appropriate form was not delivered, was not properly executed or was invalid or because such Bank failed to notify the Administrative Agent of a change in circumstance which rendered the exemption from, or reduction of, withholding tax ineffective or for any other reason, such Bank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7" w:right="239" w:bottom="1440" w:gutter="0" w:footer="0" w:header="0"/>
        </w:sectPr>
      </w:pPr>
    </w:p>
    <w:bookmarkStart w:id="174" w:name="page175"/>
    <w:bookmarkEnd w:id="174"/>
    <w:p>
      <w:pPr>
        <w:spacing w:after="0" w:line="263" w:lineRule="auto"/>
        <w:rPr>
          <w:sz w:val="20"/>
          <w:szCs w:val="20"/>
          <w:color w:val="auto"/>
        </w:rPr>
      </w:pPr>
      <w:r>
        <w:rPr>
          <w:rFonts w:ascii="Arial" w:cs="Arial" w:eastAsia="Arial" w:hAnsi="Arial"/>
          <w:sz w:val="22"/>
          <w:szCs w:val="22"/>
          <w:color w:val="auto"/>
        </w:rPr>
        <w:t>IN WITNESS WHEREOF, the parties have executed this Agreement by their undersigned, duly authorized officers on the date first above written:</w:t>
      </w:r>
    </w:p>
    <w:p>
      <w:pPr>
        <w:spacing w:after="0" w:line="20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THE SCOTTS COMPANY LLC</w:t>
      </w:r>
    </w:p>
    <w:p>
      <w:pPr>
        <w:spacing w:after="0" w:line="200" w:lineRule="exact"/>
        <w:rPr>
          <w:sz w:val="20"/>
          <w:szCs w:val="20"/>
          <w:color w:val="auto"/>
        </w:rPr>
      </w:pPr>
    </w:p>
    <w:p>
      <w:pPr>
        <w:spacing w:after="0" w:line="32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J. Weaver</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J. Weaver</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Treasurer</w:t>
      </w:r>
    </w:p>
    <w:p>
      <w:pPr>
        <w:spacing w:after="0" w:line="200" w:lineRule="exact"/>
        <w:rPr>
          <w:sz w:val="20"/>
          <w:szCs w:val="20"/>
          <w:color w:val="auto"/>
        </w:rPr>
      </w:pPr>
    </w:p>
    <w:p>
      <w:pPr>
        <w:spacing w:after="0" w:line="29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THE SCOTTS MIRACLE-GRO COMPANY</w:t>
      </w:r>
    </w:p>
    <w:p>
      <w:pPr>
        <w:spacing w:after="0" w:line="200" w:lineRule="exact"/>
        <w:rPr>
          <w:sz w:val="20"/>
          <w:szCs w:val="20"/>
          <w:color w:val="auto"/>
        </w:rPr>
      </w:pPr>
    </w:p>
    <w:p>
      <w:pPr>
        <w:spacing w:after="0" w:line="32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J. Weaver</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J. Weaver</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Corporate Treasurer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Master Accounts Receivable Purchase Agreement</w:t>
      </w:r>
    </w:p>
    <w:p>
      <w:pPr>
        <w:sectPr>
          <w:pgSz w:w="11900" w:h="16838" w:orient="portrait"/>
          <w:cols w:equalWidth="0" w:num="1">
            <w:col w:w="11420"/>
          </w:cols>
          <w:pgMar w:left="240" w:top="591" w:right="239" w:bottom="1440" w:gutter="0" w:footer="0" w:header="0"/>
        </w:sectPr>
      </w:pPr>
    </w:p>
    <w:bookmarkStart w:id="175" w:name="page176"/>
    <w:bookmarkEnd w:id="175"/>
    <w:p>
      <w:pPr>
        <w:ind w:left="4540"/>
        <w:spacing w:after="0"/>
        <w:rPr>
          <w:sz w:val="20"/>
          <w:szCs w:val="20"/>
          <w:color w:val="auto"/>
        </w:rPr>
      </w:pPr>
      <w:r>
        <w:rPr>
          <w:rFonts w:ascii="Arial" w:cs="Arial" w:eastAsia="Arial" w:hAnsi="Arial"/>
          <w:sz w:val="19"/>
          <w:szCs w:val="19"/>
          <w:b w:val="1"/>
          <w:bCs w:val="1"/>
          <w:color w:val="auto"/>
        </w:rPr>
        <w:t>MIZUHO CORPORATE BANK, LTD.</w:t>
      </w:r>
      <w:r>
        <w:rPr>
          <w:rFonts w:ascii="Arial" w:cs="Arial" w:eastAsia="Arial" w:hAnsi="Arial"/>
          <w:sz w:val="19"/>
          <w:szCs w:val="19"/>
          <w:color w:val="auto"/>
        </w:rPr>
        <w:t>, as Administrative Agent and a Bank</w:t>
      </w:r>
    </w:p>
    <w:p>
      <w:pPr>
        <w:spacing w:after="0" w:line="301"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Tenya Mitsuboshi</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Tenya Mitsuboshi</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Deputy General Manager</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Payment Account:</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Pay To: Mizuho Corporate Bank, Ltd., New York Branch</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Fed ABA#: 026 004 307</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Account Name: LAU - ISA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A/C#: H79-740-222205</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Reference:  [Name of Sender] for The Scotts Company LLC - Receivables /</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LAU</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Bank’s Stated Amount</w:t>
      </w:r>
      <w:r>
        <w:rPr>
          <w:rFonts w:ascii="Arial" w:cs="Arial" w:eastAsia="Arial" w:hAnsi="Arial"/>
          <w:sz w:val="22"/>
          <w:szCs w:val="22"/>
          <w:color w:val="auto"/>
        </w:rPr>
        <w:t>: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Master Accounts Receivable Purchase Agreement</w:t>
      </w:r>
    </w:p>
    <w:p>
      <w:pPr>
        <w:sectPr>
          <w:pgSz w:w="11900" w:h="16838" w:orient="portrait"/>
          <w:cols w:equalWidth="0" w:num="1">
            <w:col w:w="11400"/>
          </w:cols>
          <w:pgMar w:left="240" w:top="841" w:right="259" w:bottom="1440" w:gutter="0" w:footer="0" w:header="0"/>
        </w:sectPr>
      </w:pPr>
    </w:p>
    <w:bookmarkStart w:id="176" w:name="page177"/>
    <w:bookmarkEnd w:id="176"/>
    <w:p>
      <w:pPr>
        <w:ind w:left="4540"/>
        <w:spacing w:after="0"/>
        <w:rPr>
          <w:sz w:val="20"/>
          <w:szCs w:val="20"/>
          <w:color w:val="auto"/>
        </w:rPr>
      </w:pPr>
      <w:r>
        <w:rPr>
          <w:rFonts w:ascii="Arial" w:cs="Arial" w:eastAsia="Arial" w:hAnsi="Arial"/>
          <w:sz w:val="22"/>
          <w:szCs w:val="22"/>
          <w:b w:val="1"/>
          <w:bCs w:val="1"/>
          <w:color w:val="auto"/>
        </w:rPr>
        <w:t>THE BANK OF NOVA SCOTIA</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 Neves</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N. Neves</w:t>
      </w:r>
    </w:p>
    <w:p>
      <w:pPr>
        <w:spacing w:after="0" w:line="4" w:lineRule="exact"/>
        <w:rPr>
          <w:sz w:val="20"/>
          <w:szCs w:val="20"/>
          <w:color w:val="auto"/>
        </w:rPr>
      </w:pPr>
    </w:p>
    <w:p>
      <w:pPr>
        <w:jc w:val="right"/>
        <w:ind w:right="99"/>
        <w:spacing w:after="0"/>
        <w:tabs>
          <w:tab w:leader="none" w:pos="4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Relationship Manager Commodity Trade Finance</w:t>
      </w:r>
    </w:p>
    <w:p>
      <w:pPr>
        <w:spacing w:after="0" w:line="242"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T.W. King</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T.W. King</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 Commodity Trade Finance</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Bank’s Stated Amount</w:t>
      </w:r>
      <w:r>
        <w:rPr>
          <w:rFonts w:ascii="Arial" w:cs="Arial" w:eastAsia="Arial" w:hAnsi="Arial"/>
          <w:sz w:val="22"/>
          <w:szCs w:val="22"/>
          <w:color w:val="auto"/>
        </w:rPr>
        <w:t>: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Master Accounts Receivable Purchase Agreement</w:t>
      </w:r>
    </w:p>
    <w:p>
      <w:pPr>
        <w:sectPr>
          <w:pgSz w:w="11900" w:h="16838" w:orient="portrait"/>
          <w:cols w:equalWidth="0" w:num="1">
            <w:col w:w="10219"/>
          </w:cols>
          <w:pgMar w:left="240" w:top="841" w:right="1440" w:bottom="1440" w:gutter="0" w:footer="0" w:header="0"/>
        </w:sectPr>
      </w:pPr>
    </w:p>
    <w:bookmarkStart w:id="177" w:name="page178"/>
    <w:bookmarkEnd w:id="177"/>
    <w:p>
      <w:pPr>
        <w:ind w:left="4540"/>
        <w:spacing w:after="0"/>
        <w:rPr>
          <w:sz w:val="20"/>
          <w:szCs w:val="20"/>
          <w:color w:val="auto"/>
        </w:rPr>
      </w:pPr>
      <w:r>
        <w:rPr>
          <w:rFonts w:ascii="Arial" w:cs="Arial" w:eastAsia="Arial" w:hAnsi="Arial"/>
          <w:sz w:val="22"/>
          <w:szCs w:val="22"/>
          <w:b w:val="1"/>
          <w:bCs w:val="1"/>
          <w:color w:val="auto"/>
        </w:rPr>
        <w:t>SUNTRUST BANK</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Emily Shields</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Emily Shields</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42" w:lineRule="exact"/>
        <w:rPr>
          <w:sz w:val="20"/>
          <w:szCs w:val="20"/>
          <w:color w:val="auto"/>
        </w:rPr>
      </w:pPr>
    </w:p>
    <w:p>
      <w:pPr>
        <w:jc w:val="right"/>
        <w:ind w:right="2419"/>
        <w:spacing w:after="0"/>
        <w:rPr>
          <w:sz w:val="20"/>
          <w:szCs w:val="20"/>
          <w:color w:val="auto"/>
        </w:rPr>
      </w:pPr>
      <w:r>
        <w:rPr>
          <w:rFonts w:ascii="Arial" w:cs="Arial" w:eastAsia="Arial" w:hAnsi="Arial"/>
          <w:sz w:val="22"/>
          <w:szCs w:val="22"/>
          <w:u w:val="single" w:color="auto"/>
          <w:color w:val="auto"/>
        </w:rPr>
        <w:t>Bank’s Stated Amount</w:t>
      </w:r>
      <w:r>
        <w:rPr>
          <w:rFonts w:ascii="Arial" w:cs="Arial" w:eastAsia="Arial" w:hAnsi="Arial"/>
          <w:sz w:val="22"/>
          <w:szCs w:val="22"/>
          <w:color w:val="auto"/>
        </w:rPr>
        <w:t>: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Master Accounts Receivable Purchase Agreement</w:t>
      </w:r>
    </w:p>
    <w:p>
      <w:pPr>
        <w:sectPr>
          <w:pgSz w:w="11900" w:h="16838" w:orient="portrait"/>
          <w:cols w:equalWidth="0" w:num="1">
            <w:col w:w="10219"/>
          </w:cols>
          <w:pgMar w:left="240" w:top="842" w:right="1440" w:bottom="1440" w:gutter="0" w:footer="0" w:header="0"/>
        </w:sectPr>
      </w:pPr>
    </w:p>
    <w:bookmarkStart w:id="178" w:name="page179"/>
    <w:bookmarkEnd w:id="178"/>
    <w:p>
      <w:pPr>
        <w:jc w:val="right"/>
        <w:ind w:right="2359"/>
        <w:spacing w:after="0"/>
        <w:rPr>
          <w:sz w:val="20"/>
          <w:szCs w:val="20"/>
          <w:color w:val="auto"/>
        </w:rPr>
      </w:pPr>
      <w:r>
        <w:rPr>
          <w:rFonts w:ascii="Arial" w:cs="Arial" w:eastAsia="Arial" w:hAnsi="Arial"/>
          <w:sz w:val="22"/>
          <w:szCs w:val="22"/>
          <w:b w:val="1"/>
          <w:bCs w:val="1"/>
          <w:color w:val="auto"/>
        </w:rPr>
        <w:t>RB RECEIVABLES LLC</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 G. Kortland</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 G. Kortland</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Deputy Treasurer</w:t>
      </w:r>
    </w:p>
    <w:p>
      <w:pPr>
        <w:spacing w:after="0" w:line="200" w:lineRule="exact"/>
        <w:rPr>
          <w:sz w:val="20"/>
          <w:szCs w:val="20"/>
          <w:color w:val="auto"/>
        </w:rPr>
      </w:pPr>
    </w:p>
    <w:p>
      <w:pPr>
        <w:spacing w:after="0" w:line="299"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Brett Delfino</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Brett Delfino</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Secretary</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9"/>
          <w:szCs w:val="19"/>
          <w:u w:val="single" w:color="auto"/>
          <w:color w:val="auto"/>
        </w:rPr>
        <w:t>Bank’s Stated Amount</w:t>
      </w:r>
      <w:r>
        <w:rPr>
          <w:rFonts w:ascii="Arial" w:cs="Arial" w:eastAsia="Arial" w:hAnsi="Arial"/>
          <w:sz w:val="19"/>
          <w:szCs w:val="19"/>
          <w:color w:val="auto"/>
        </w:rPr>
        <w:t>: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Master Accounts Receivable Purchase Agreement</w:t>
      </w:r>
    </w:p>
    <w:p>
      <w:pPr>
        <w:sectPr>
          <w:pgSz w:w="11900" w:h="16838" w:orient="portrait"/>
          <w:cols w:equalWidth="0" w:num="1">
            <w:col w:w="10219"/>
          </w:cols>
          <w:pgMar w:left="240" w:top="841"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SCHEDULE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REQUEST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 20__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Mizuho Corporate Bank, Ltd.,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Administrative Agent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1251 Avenue of the Americas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Johan Andreasson</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REQUEST FOR PURCHASE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We refer to the Master Accounts Receivable Purchase Agreement among The Scotts Company LLC, The Scotts Miracle-Gro Company, the Banks party thereto, and Mizuho Corporate Bank, Ltd., as administrative agent, dated as of November 15, 2012 (as amended through the date hereof, the </w:t>
      </w:r>
      <w:r>
        <w:rPr>
          <w:rFonts w:ascii="Arial" w:cs="Arial" w:eastAsia="Arial" w:hAnsi="Arial"/>
          <w:sz w:val="22"/>
          <w:szCs w:val="22"/>
          <w:i w:val="1"/>
          <w:iCs w:val="1"/>
          <w:color w:val="auto"/>
        </w:rPr>
        <w:t>“Purchase Agreement”</w:t>
      </w:r>
      <w:r>
        <w:rPr>
          <w:rFonts w:ascii="Arial" w:cs="Arial" w:eastAsia="Arial" w:hAnsi="Arial"/>
          <w:sz w:val="22"/>
          <w:szCs w:val="22"/>
          <w:color w:val="auto"/>
        </w:rPr>
        <w:t>). Terms defined in the Purchase Agreement shall have the same meaning herein as defined in such Purchase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undersigned Company hereby requests that the Banks purchase on _____________, 20__, (the </w:t>
      </w:r>
      <w:r>
        <w:rPr>
          <w:rFonts w:ascii="Arial" w:cs="Arial" w:eastAsia="Arial" w:hAnsi="Arial"/>
          <w:sz w:val="19"/>
          <w:szCs w:val="19"/>
          <w:i w:val="1"/>
          <w:iCs w:val="1"/>
          <w:color w:val="auto"/>
        </w:rPr>
        <w:t>“Purchase Date”</w:t>
      </w:r>
      <w:r>
        <w:rPr>
          <w:rFonts w:ascii="Arial" w:cs="Arial" w:eastAsia="Arial" w:hAnsi="Arial"/>
          <w:sz w:val="19"/>
          <w:szCs w:val="19"/>
          <w:color w:val="auto"/>
        </w:rPr>
        <w:t>), the</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Purchased Receivables set forth in the Portfolio Report attached hereto, in accordance with, and subject to, the terms and provisions of the Purchase Agreement, with the understanding that no Bank is committed to making such purchase. The undersigned Company hereby makes the representations and warranties set forth in Section 10 of the Purchase Agreement for the benefit of the Administrative Agent and the Banks, as of the Purchase Date, and further state that such representations and warranties are true and correct as of such Purchase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and delivered by the undersigned Company as of the date first above written.</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8235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-29210</wp:posOffset>
            </wp:positionV>
            <wp:extent cx="685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b w:val="1"/>
          <w:bCs w:val="1"/>
          <w:color w:val="auto"/>
        </w:rPr>
        <w:t>SCHEDULE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Administrative Agent and the Banks shall have received each of the following, in form and substance satisfactory to each of them:</w:t>
      </w:r>
    </w:p>
    <w:p>
      <w:pPr>
        <w:spacing w:after="0" w:line="175" w:lineRule="exact"/>
        <w:rPr>
          <w:sz w:val="20"/>
          <w:szCs w:val="20"/>
          <w:color w:val="auto"/>
        </w:rPr>
      </w:pPr>
    </w:p>
    <w:p>
      <w:pPr>
        <w:ind w:left="1120" w:hanging="464"/>
        <w:spacing w:after="0"/>
        <w:tabs>
          <w:tab w:leader="none" w:pos="11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Executed counterparts of this Agreement and the other Transaction Documents.</w:t>
      </w:r>
    </w:p>
    <w:p>
      <w:pPr>
        <w:spacing w:after="0" w:line="219" w:lineRule="exact"/>
        <w:rPr>
          <w:rFonts w:ascii="Arial" w:cs="Arial" w:eastAsia="Arial" w:hAnsi="Arial"/>
          <w:sz w:val="22"/>
          <w:szCs w:val="22"/>
          <w:color w:val="auto"/>
        </w:rPr>
      </w:pPr>
    </w:p>
    <w:p>
      <w:pPr>
        <w:jc w:val="both"/>
        <w:ind w:firstLine="656"/>
        <w:spacing w:after="0" w:line="292" w:lineRule="auto"/>
        <w:tabs>
          <w:tab w:leader="none" w:pos="1207" w:val="left"/>
        </w:tabs>
        <w:numPr>
          <w:ilvl w:val="0"/>
          <w:numId w:val="86"/>
        </w:numPr>
        <w:rPr>
          <w:rFonts w:ascii="Arial" w:cs="Arial" w:eastAsia="Arial" w:hAnsi="Arial"/>
          <w:sz w:val="19"/>
          <w:szCs w:val="19"/>
          <w:color w:val="auto"/>
        </w:rPr>
      </w:pPr>
      <w:r>
        <w:rPr>
          <w:rFonts w:ascii="Arial" w:cs="Arial" w:eastAsia="Arial" w:hAnsi="Arial"/>
          <w:sz w:val="19"/>
          <w:szCs w:val="19"/>
          <w:color w:val="auto"/>
        </w:rPr>
        <w:t>Certified copies of the Company’s and the Parent’s organizational documents, together with certified copies of the resolutions of the Company’s and Parent’s board of directors or members authorizing this Agreement and the Administrative Agent and the Banks having received executed copies of this Agreement and the other Transaction Documents and authorizing a person or persons to sign or otherwise attest the due execution of those documents including any subsequent notices and acknowledgements to be executed or delivered pursuant to this Agreement, the other Transaction Documents and any other documents to be executed or delivered by the Company pursuant hereto or thereto together with an officer incumbency and specimen signature certificate, all in form satisfactory to the Administrative Agent and the Banks.</w:t>
      </w:r>
    </w:p>
    <w:p>
      <w:pPr>
        <w:spacing w:after="0" w:line="151" w:lineRule="exact"/>
        <w:rPr>
          <w:rFonts w:ascii="Arial" w:cs="Arial" w:eastAsia="Arial" w:hAnsi="Arial"/>
          <w:sz w:val="19"/>
          <w:szCs w:val="19"/>
          <w:color w:val="auto"/>
        </w:rPr>
      </w:pPr>
    </w:p>
    <w:p>
      <w:pPr>
        <w:jc w:val="both"/>
        <w:ind w:firstLine="656"/>
        <w:spacing w:after="0" w:line="248" w:lineRule="auto"/>
        <w:tabs>
          <w:tab w:leader="none" w:pos="1284" w:val="left"/>
        </w:tabs>
        <w:numPr>
          <w:ilvl w:val="0"/>
          <w:numId w:val="86"/>
        </w:numPr>
        <w:rPr>
          <w:rFonts w:ascii="Arial" w:cs="Arial" w:eastAsia="Arial" w:hAnsi="Arial"/>
          <w:sz w:val="22"/>
          <w:szCs w:val="22"/>
          <w:color w:val="auto"/>
        </w:rPr>
      </w:pPr>
      <w:r>
        <w:rPr>
          <w:rFonts w:ascii="Arial" w:cs="Arial" w:eastAsia="Arial" w:hAnsi="Arial"/>
          <w:sz w:val="22"/>
          <w:szCs w:val="22"/>
          <w:color w:val="auto"/>
        </w:rPr>
        <w:t>Legal opinions of outside special counsel to the Company and the Parent relating to the enforceability of the Transaction Documents, and the perfection of the security interests created hereby, and of outside special counsel or internal counsel to the Company and the Parent relating to the power and authority of Company and the Parent to enter into the Transaction Documents and its performance thereunder, in each case in form and in substance satisfactory to the Administrative Agent and the Banks.</w:t>
      </w:r>
    </w:p>
    <w:p>
      <w:pPr>
        <w:spacing w:after="0" w:line="192" w:lineRule="exact"/>
        <w:rPr>
          <w:rFonts w:ascii="Arial" w:cs="Arial" w:eastAsia="Arial" w:hAnsi="Arial"/>
          <w:sz w:val="22"/>
          <w:szCs w:val="22"/>
          <w:color w:val="auto"/>
        </w:rPr>
      </w:pPr>
    </w:p>
    <w:p>
      <w:pPr>
        <w:ind w:left="1120" w:hanging="464"/>
        <w:spacing w:after="0"/>
        <w:tabs>
          <w:tab w:leader="none" w:pos="11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Blocked Account Agreements signed by the Company in form satisfactory to the Administrative Agent and the Banks.</w:t>
      </w:r>
    </w:p>
    <w:p>
      <w:pPr>
        <w:spacing w:after="0" w:line="254" w:lineRule="exact"/>
        <w:rPr>
          <w:rFonts w:ascii="Arial" w:cs="Arial" w:eastAsia="Arial" w:hAnsi="Arial"/>
          <w:sz w:val="19"/>
          <w:szCs w:val="19"/>
          <w:color w:val="auto"/>
        </w:rPr>
      </w:pPr>
    </w:p>
    <w:p>
      <w:pPr>
        <w:jc w:val="both"/>
        <w:ind w:right="20" w:firstLine="656"/>
        <w:spacing w:after="0" w:line="253" w:lineRule="auto"/>
        <w:tabs>
          <w:tab w:leader="none" w:pos="115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Acknowledgement copies of such UCC financing statements or other filings as are required under Section 9.1, such lien search reports as the Administrative Agent and the Banks shall deem advisable with respect to the Company, and releases of any Adverse Claim on the Purchased Receivables shown in such reports.</w:t>
      </w:r>
    </w:p>
    <w:p>
      <w:pPr>
        <w:spacing w:after="0" w:line="185" w:lineRule="exact"/>
        <w:rPr>
          <w:rFonts w:ascii="Arial" w:cs="Arial" w:eastAsia="Arial" w:hAnsi="Arial"/>
          <w:sz w:val="22"/>
          <w:szCs w:val="22"/>
          <w:color w:val="auto"/>
        </w:rPr>
      </w:pPr>
    </w:p>
    <w:p>
      <w:pPr>
        <w:jc w:val="both"/>
        <w:ind w:firstLine="656"/>
        <w:spacing w:after="0" w:line="312" w:lineRule="auto"/>
        <w:tabs>
          <w:tab w:leader="none" w:pos="117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An acknowledgment from JPMorgan Chase Bank, N.A., as agent under the existing working capital credit facility agreement (the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that all Purchased Receivables shall be deemed to be </w:t>
      </w:r>
      <w:r>
        <w:rPr>
          <w:rFonts w:ascii="Arial" w:cs="Arial" w:eastAsia="Arial" w:hAnsi="Arial"/>
          <w:sz w:val="19"/>
          <w:szCs w:val="19"/>
          <w:i w:val="1"/>
          <w:iCs w:val="1"/>
          <w:color w:val="auto"/>
        </w:rPr>
        <w:t>“Sold Receivables”</w:t>
      </w:r>
      <w:r>
        <w:rPr>
          <w:rFonts w:ascii="Arial" w:cs="Arial" w:eastAsia="Arial" w:hAnsi="Arial"/>
          <w:sz w:val="19"/>
          <w:szCs w:val="19"/>
          <w:color w:val="auto"/>
        </w:rPr>
        <w:t xml:space="preserve"> under the Credit Agreement and that this Agreement constitutes a </w:t>
      </w:r>
      <w:r>
        <w:rPr>
          <w:rFonts w:ascii="Arial" w:cs="Arial" w:eastAsia="Arial" w:hAnsi="Arial"/>
          <w:sz w:val="19"/>
          <w:szCs w:val="19"/>
          <w:i w:val="1"/>
          <w:iCs w:val="1"/>
          <w:color w:val="auto"/>
        </w:rPr>
        <w:t>“Receivables Purchase Agreement”</w:t>
      </w:r>
      <w:r>
        <w:rPr>
          <w:rFonts w:ascii="Arial" w:cs="Arial" w:eastAsia="Arial" w:hAnsi="Arial"/>
          <w:sz w:val="19"/>
          <w:szCs w:val="19"/>
          <w:color w:val="auto"/>
        </w:rPr>
        <w:t xml:space="preserve"> under the Credit Agreement.</w:t>
      </w:r>
    </w:p>
    <w:p>
      <w:pPr>
        <w:sectPr>
          <w:pgSz w:w="11900" w:h="16838" w:orient="portrait"/>
          <w:cols w:equalWidth="0" w:num="1">
            <w:col w:w="11420"/>
          </w:cols>
          <w:pgMar w:left="240" w:top="80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SCHEDULE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UCC DETAILS SCHEDULE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UCC INFORMATION</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 Name:</w:t>
      </w:r>
      <w:r>
        <w:rPr>
          <w:sz w:val="20"/>
          <w:szCs w:val="20"/>
          <w:color w:val="auto"/>
        </w:rPr>
        <w:tab/>
      </w:r>
      <w:r>
        <w:rPr>
          <w:rFonts w:ascii="Arial" w:cs="Arial" w:eastAsia="Arial" w:hAnsi="Arial"/>
          <w:sz w:val="19"/>
          <w:szCs w:val="19"/>
          <w:color w:val="auto"/>
        </w:rPr>
        <w:t>THE SCOTTS COMPANY LLC</w:t>
      </w:r>
    </w:p>
    <w:p>
      <w:pPr>
        <w:spacing w:after="0" w:line="220" w:lineRule="exact"/>
        <w:rPr>
          <w:sz w:val="20"/>
          <w:szCs w:val="20"/>
          <w:color w:val="auto"/>
        </w:rPr>
      </w:pPr>
    </w:p>
    <w:p>
      <w:pPr>
        <w:spacing w:after="0"/>
        <w:tabs>
          <w:tab w:leader="none" w:pos="2620" w:val="left"/>
          <w:tab w:leader="none" w:pos="4880" w:val="left"/>
        </w:tabs>
        <w:rPr>
          <w:sz w:val="20"/>
          <w:szCs w:val="20"/>
          <w:color w:val="auto"/>
        </w:rPr>
      </w:pPr>
      <w:r>
        <w:rPr>
          <w:rFonts w:ascii="Arial" w:cs="Arial" w:eastAsia="Arial" w:hAnsi="Arial"/>
          <w:sz w:val="22"/>
          <w:szCs w:val="22"/>
          <w:color w:val="auto"/>
        </w:rPr>
        <w:t>(b) Chief Executive Office:</w:t>
        <w:tab/>
        <w:t>14111 Scottslawn Road</w:t>
      </w:r>
      <w:r>
        <w:rPr>
          <w:sz w:val="20"/>
          <w:szCs w:val="20"/>
          <w:color w:val="auto"/>
        </w:rPr>
        <w:tab/>
      </w:r>
      <w:r>
        <w:rPr>
          <w:rFonts w:ascii="Arial" w:cs="Arial" w:eastAsia="Arial" w:hAnsi="Arial"/>
          <w:sz w:val="19"/>
          <w:szCs w:val="19"/>
          <w:color w:val="auto"/>
        </w:rPr>
        <w:t>Marysville, Ohio 43041</w:t>
      </w:r>
    </w:p>
    <w:p>
      <w:pPr>
        <w:spacing w:after="0" w:line="220" w:lineRule="exact"/>
        <w:rPr>
          <w:sz w:val="20"/>
          <w:szCs w:val="20"/>
          <w:color w:val="auto"/>
        </w:rPr>
      </w:pPr>
    </w:p>
    <w:p>
      <w:pPr>
        <w:ind w:left="300" w:hanging="292"/>
        <w:spacing w:after="0"/>
        <w:tabs>
          <w:tab w:leader="none" w:pos="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State of Organization:   Ohio</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Organizational ID No.:   1503259</w:t>
      </w:r>
    </w:p>
    <w:p>
      <w:pPr>
        <w:spacing w:after="0" w:line="219" w:lineRule="exact"/>
        <w:rPr>
          <w:rFonts w:ascii="Arial" w:cs="Arial" w:eastAsia="Arial" w:hAnsi="Arial"/>
          <w:sz w:val="22"/>
          <w:szCs w:val="22"/>
          <w:color w:val="auto"/>
        </w:rPr>
      </w:pPr>
    </w:p>
    <w:p>
      <w:pPr>
        <w:ind w:left="300" w:hanging="292"/>
        <w:spacing w:after="0"/>
        <w:tabs>
          <w:tab w:leader="none" w:pos="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Tradenames:   None</w:t>
      </w:r>
    </w:p>
    <w:p>
      <w:pPr>
        <w:spacing w:after="0" w:line="220" w:lineRule="exact"/>
        <w:rPr>
          <w:sz w:val="20"/>
          <w:szCs w:val="20"/>
          <w:color w:val="auto"/>
        </w:rPr>
      </w:pPr>
    </w:p>
    <w:p>
      <w:pPr>
        <w:spacing w:after="0"/>
        <w:tabs>
          <w:tab w:leader="none" w:pos="3260" w:val="left"/>
        </w:tabs>
        <w:rPr>
          <w:sz w:val="20"/>
          <w:szCs w:val="20"/>
          <w:color w:val="auto"/>
        </w:rPr>
      </w:pPr>
      <w:r>
        <w:rPr>
          <w:rFonts w:ascii="Arial" w:cs="Arial" w:eastAsia="Arial" w:hAnsi="Arial"/>
          <w:sz w:val="22"/>
          <w:szCs w:val="22"/>
          <w:color w:val="auto"/>
        </w:rPr>
        <w:t>(f) Changes in Location, Name and</w:t>
      </w:r>
      <w:r>
        <w:rPr>
          <w:sz w:val="20"/>
          <w:szCs w:val="20"/>
          <w:color w:val="auto"/>
        </w:rPr>
        <w:tab/>
      </w:r>
      <w:r>
        <w:rPr>
          <w:rFonts w:ascii="Arial" w:cs="Arial" w:eastAsia="Arial" w:hAnsi="Arial"/>
          <w:sz w:val="19"/>
          <w:szCs w:val="19"/>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Corporate Organization:</w:t>
      </w:r>
    </w:p>
    <w:p>
      <w:pPr>
        <w:sectPr>
          <w:pgSz w:w="11900" w:h="16838" w:orient="portrait"/>
          <w:cols w:equalWidth="0" w:num="1">
            <w:col w:w="11420"/>
          </w:cols>
          <w:pgMar w:left="240" w:top="80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SCHEDULE 4</w:t>
      </w:r>
    </w:p>
    <w:p>
      <w:pPr>
        <w:spacing w:after="0" w:line="22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FORM OF PORTFOLIO REPORT</w:t>
      </w:r>
    </w:p>
    <w:p>
      <w:pPr>
        <w:sectPr>
          <w:pgSz w:w="11900" w:h="16838" w:orient="portrait"/>
          <w:cols w:equalWidth="0" w:num="1">
            <w:col w:w="10220"/>
          </w:cols>
          <w:pgMar w:left="1440" w:top="801" w:right="239"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281"/>
        </w:trPr>
        <w:tc>
          <w:tcPr>
            <w:tcW w:w="3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60" w:type="dxa"/>
            <w:vAlign w:val="bottom"/>
          </w:tcPr>
          <w:p>
            <w:pPr>
              <w:ind w:left="2380"/>
              <w:spacing w:after="0"/>
              <w:rPr>
                <w:sz w:val="20"/>
                <w:szCs w:val="20"/>
                <w:color w:val="auto"/>
              </w:rPr>
            </w:pPr>
            <w:r>
              <w:rPr>
                <w:rFonts w:ascii="Arial" w:cs="Arial" w:eastAsia="Arial" w:hAnsi="Arial"/>
                <w:sz w:val="22"/>
                <w:szCs w:val="22"/>
                <w:b w:val="1"/>
                <w:bCs w:val="1"/>
                <w:color w:val="auto"/>
                <w:w w:val="96"/>
              </w:rPr>
              <w:t>SCHEDULE 5</w:t>
            </w:r>
          </w:p>
        </w:tc>
      </w:tr>
      <w:tr>
        <w:trPr>
          <w:trHeight w:val="473"/>
        </w:trPr>
        <w:tc>
          <w:tcPr>
            <w:tcW w:w="3920" w:type="dxa"/>
            <w:vAlign w:val="bottom"/>
          </w:tcPr>
          <w:p>
            <w:pPr>
              <w:spacing w:after="0"/>
              <w:rPr>
                <w:sz w:val="24"/>
                <w:szCs w:val="24"/>
                <w:color w:val="auto"/>
              </w:rPr>
            </w:pPr>
          </w:p>
        </w:tc>
        <w:tc>
          <w:tcPr>
            <w:tcW w:w="3760" w:type="dxa"/>
            <w:vAlign w:val="bottom"/>
          </w:tcPr>
          <w:p>
            <w:pPr>
              <w:ind w:left="660"/>
              <w:spacing w:after="0"/>
              <w:rPr>
                <w:sz w:val="20"/>
                <w:szCs w:val="20"/>
                <w:color w:val="auto"/>
              </w:rPr>
            </w:pPr>
            <w:r>
              <w:rPr>
                <w:rFonts w:ascii="Arial" w:cs="Arial" w:eastAsia="Arial" w:hAnsi="Arial"/>
                <w:sz w:val="22"/>
                <w:szCs w:val="22"/>
                <w:b w:val="1"/>
                <w:bCs w:val="1"/>
                <w:color w:val="auto"/>
              </w:rPr>
              <w:t>APPROVED DEBTORS</w:t>
            </w:r>
          </w:p>
        </w:tc>
        <w:tc>
          <w:tcPr>
            <w:tcW w:w="3760" w:type="dxa"/>
            <w:vAlign w:val="bottom"/>
          </w:tcPr>
          <w:p>
            <w:pPr>
              <w:spacing w:after="0"/>
              <w:rPr>
                <w:sz w:val="24"/>
                <w:szCs w:val="24"/>
                <w:color w:val="auto"/>
              </w:rPr>
            </w:pPr>
          </w:p>
        </w:tc>
      </w:tr>
      <w:tr>
        <w:trPr>
          <w:trHeight w:val="598"/>
        </w:trPr>
        <w:tc>
          <w:tcPr>
            <w:tcW w:w="3920" w:type="dxa"/>
            <w:vAlign w:val="bottom"/>
            <w:tcBorders>
              <w:bottom w:val="single" w:sz="8" w:color="00000A"/>
            </w:tcBorders>
          </w:tcPr>
          <w:p>
            <w:pPr>
              <w:spacing w:after="0"/>
              <w:rPr>
                <w:sz w:val="24"/>
                <w:szCs w:val="24"/>
                <w:color w:val="auto"/>
              </w:rPr>
            </w:pPr>
          </w:p>
        </w:tc>
        <w:tc>
          <w:tcPr>
            <w:tcW w:w="3760" w:type="dxa"/>
            <w:vAlign w:val="bottom"/>
            <w:tcBorders>
              <w:bottom w:val="single" w:sz="8" w:color="00000A"/>
            </w:tcBorders>
          </w:tcPr>
          <w:p>
            <w:pPr>
              <w:spacing w:after="0"/>
              <w:rPr>
                <w:sz w:val="24"/>
                <w:szCs w:val="24"/>
                <w:color w:val="auto"/>
              </w:rPr>
            </w:pPr>
          </w:p>
        </w:tc>
        <w:tc>
          <w:tcPr>
            <w:tcW w:w="3760" w:type="dxa"/>
            <w:vAlign w:val="bottom"/>
            <w:tcBorders>
              <w:bottom w:val="single" w:sz="8" w:color="00000A"/>
            </w:tcBorders>
          </w:tcPr>
          <w:p>
            <w:pPr>
              <w:spacing w:after="0"/>
              <w:rPr>
                <w:sz w:val="24"/>
                <w:szCs w:val="24"/>
                <w:color w:val="auto"/>
              </w:rPr>
            </w:pPr>
          </w:p>
        </w:tc>
      </w:tr>
      <w:tr>
        <w:trPr>
          <w:trHeight w:val="473"/>
        </w:trPr>
        <w:tc>
          <w:tcPr>
            <w:tcW w:w="39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1"/>
              </w:rPr>
              <w:t>Approved Debtor</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1"/>
              </w:rPr>
              <w:t>Applicable Margin</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1"/>
              </w:rPr>
              <w:t>Debtor Sublimit</w:t>
            </w:r>
          </w:p>
        </w:tc>
      </w:tr>
      <w:tr>
        <w:trPr>
          <w:trHeight w:val="480"/>
        </w:trPr>
        <w:tc>
          <w:tcPr>
            <w:tcW w:w="39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Lowe’s Companies, Inc.</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0.75%</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$200 million</w:t>
            </w:r>
          </w:p>
        </w:tc>
      </w:tr>
      <w:tr>
        <w:trPr>
          <w:trHeight w:val="480"/>
        </w:trPr>
        <w:tc>
          <w:tcPr>
            <w:tcW w:w="39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Wal-Mart Stores Inc.</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0.75%</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$100 million</w:t>
            </w:r>
          </w:p>
        </w:tc>
      </w:tr>
      <w:tr>
        <w:trPr>
          <w:trHeight w:val="480"/>
        </w:trPr>
        <w:tc>
          <w:tcPr>
            <w:tcW w:w="39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The Home Depot, Inc.</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0.75%</w:t>
            </w:r>
          </w:p>
        </w:tc>
        <w:tc>
          <w:tcPr>
            <w:tcW w:w="37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$200 million</w:t>
            </w:r>
          </w:p>
        </w:tc>
      </w:tr>
    </w:tbl>
    <w:p>
      <w:pPr>
        <w:sectPr>
          <w:pgSz w:w="11900" w:h="16838" w:orient="portrait"/>
          <w:cols w:equalWidth="0" w:num="1">
            <w:col w:w="11440"/>
          </w:cols>
          <w:pgMar w:left="240" w:top="801" w:right="21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w w:val="91"/>
              </w:rPr>
              <w:t>Exhibit 12</w:t>
            </w:r>
          </w:p>
        </w:tc>
        <w:tc>
          <w:tcPr>
            <w:tcW w:w="0" w:type="dxa"/>
            <w:vAlign w:val="bottom"/>
          </w:tcPr>
          <w:p>
            <w:pPr>
              <w:spacing w:after="0"/>
              <w:rPr>
                <w:sz w:val="1"/>
                <w:szCs w:val="1"/>
                <w:color w:val="auto"/>
              </w:rPr>
            </w:pPr>
          </w:p>
        </w:tc>
      </w:tr>
      <w:tr>
        <w:trPr>
          <w:trHeight w:val="360"/>
        </w:trPr>
        <w:tc>
          <w:tcPr>
            <w:tcW w:w="4460" w:type="dxa"/>
            <w:vAlign w:val="bottom"/>
          </w:tcPr>
          <w:p>
            <w:pPr>
              <w:spacing w:after="0"/>
              <w:rPr>
                <w:sz w:val="20"/>
                <w:szCs w:val="20"/>
                <w:color w:val="auto"/>
              </w:rPr>
            </w:pPr>
            <w:r>
              <w:rPr>
                <w:rFonts w:ascii="Arial" w:cs="Arial" w:eastAsia="Arial" w:hAnsi="Arial"/>
                <w:sz w:val="18"/>
                <w:szCs w:val="18"/>
                <w:b w:val="1"/>
                <w:bCs w:val="1"/>
                <w:color w:val="auto"/>
              </w:rPr>
              <w:t>The Scotts Miracle-Gro Company</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4460" w:type="dxa"/>
            <w:vAlign w:val="bottom"/>
          </w:tcPr>
          <w:p>
            <w:pPr>
              <w:ind w:left="40"/>
              <w:spacing w:after="0"/>
              <w:rPr>
                <w:sz w:val="20"/>
                <w:szCs w:val="20"/>
                <w:color w:val="auto"/>
              </w:rPr>
            </w:pPr>
            <w:r>
              <w:rPr>
                <w:rFonts w:ascii="Arial" w:cs="Arial" w:eastAsia="Arial" w:hAnsi="Arial"/>
                <w:sz w:val="14"/>
                <w:szCs w:val="14"/>
                <w:color w:val="auto"/>
              </w:rPr>
              <w:t>($ IN MILLIONS)</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For the Fiscal Year Ended September 30,</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from continuing operations before income taxes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0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Capitalized</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adjusted earnings available for payment of fixed</w:t>
            </w:r>
          </w:p>
        </w:tc>
        <w:tc>
          <w:tcPr>
            <w:tcW w:w="1000" w:type="dxa"/>
            <w:vAlign w:val="bottom"/>
            <w:vMerge w:val="restart"/>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7"/>
              </w:rPr>
              <w:t>267.1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Fixed Charges:</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00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10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expense representative of interest factor</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4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Ratio of Earnings to Fixed Charges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amortization of capitalized interest, adjustments for minority interests in consolidated subsidiaries and distributed earnings of equity investees.</w:t>
      </w:r>
    </w:p>
    <w:p>
      <w:pPr>
        <w:sectPr>
          <w:pgSz w:w="11900" w:h="16838" w:orient="portrait"/>
          <w:cols w:equalWidth="0" w:num="1">
            <w:col w:w="11420"/>
          </w:cols>
          <w:pgMar w:left="240" w:top="58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SUBSIDIARIES OF THE SCOTTS MIRACLE-GRO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September 30, 2012)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Gutwein &amp; Co., Inc., an Indiana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Scotts Global Investments, Inc., a Delaware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Scotts Switzerland Holdings, SA (Switzerland)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SMG Brands, Inc., a Delaware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OMS Investments, Inc., a Delaware corporation</w:t>
      </w:r>
    </w:p>
    <w:p>
      <w:pPr>
        <w:spacing w:after="0" w:line="4" w:lineRule="exact"/>
        <w:rPr>
          <w:sz w:val="20"/>
          <w:szCs w:val="20"/>
          <w:color w:val="auto"/>
        </w:rPr>
      </w:pPr>
    </w:p>
    <w:p>
      <w:pPr>
        <w:ind w:right="3860" w:firstLine="1297"/>
        <w:spacing w:after="0" w:line="243" w:lineRule="auto"/>
        <w:rPr>
          <w:sz w:val="20"/>
          <w:szCs w:val="20"/>
          <w:color w:val="auto"/>
        </w:rPr>
      </w:pPr>
      <w:r>
        <w:rPr>
          <w:rFonts w:ascii="Arial" w:cs="Arial" w:eastAsia="Arial" w:hAnsi="Arial"/>
          <w:sz w:val="22"/>
          <w:szCs w:val="22"/>
          <w:color w:val="auto"/>
        </w:rPr>
        <w:t>Scotts Temecula Operations, LLC, a Delaware limited liability company SMG Growing Media, Inc., an Ohio corporation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Rod McLellan Company, a California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Hyponex Corporation, a Delaware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SMGM LLC, an Ohio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Scotts Company LLC, an Ohio limited liability company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EG Systems, Inc., dba Scotts LawnService, an Indiana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Sanford Scientific, Inc., a New York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Scotts Global Services, Inc., an Ohio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Scotts Manufacturing Company, a Delaware corporation</w:t>
      </w:r>
    </w:p>
    <w:p>
      <w:pPr>
        <w:spacing w:after="0" w:line="4" w:lineRule="exact"/>
        <w:rPr>
          <w:sz w:val="20"/>
          <w:szCs w:val="20"/>
          <w:color w:val="auto"/>
        </w:rPr>
      </w:pPr>
    </w:p>
    <w:p>
      <w:pPr>
        <w:ind w:left="660" w:right="5040" w:firstLine="648"/>
        <w:spacing w:after="0" w:line="243" w:lineRule="auto"/>
        <w:rPr>
          <w:sz w:val="20"/>
          <w:szCs w:val="20"/>
          <w:color w:val="auto"/>
        </w:rPr>
      </w:pPr>
      <w:r>
        <w:rPr>
          <w:rFonts w:ascii="Arial" w:cs="Arial" w:eastAsia="Arial" w:hAnsi="Arial"/>
          <w:sz w:val="22"/>
          <w:szCs w:val="22"/>
          <w:color w:val="auto"/>
        </w:rPr>
        <w:t>Miracle-Gro Lawn Products, Inc., a New York corporation Scotts Products Co., an Ohio corporation</w:t>
      </w:r>
    </w:p>
    <w:p>
      <w:pPr>
        <w:spacing w:after="0" w:line="1" w:lineRule="exact"/>
        <w:rPr>
          <w:sz w:val="20"/>
          <w:szCs w:val="20"/>
          <w:color w:val="auto"/>
        </w:rPr>
      </w:pPr>
    </w:p>
    <w:p>
      <w:pPr>
        <w:jc w:val="center"/>
        <w:ind w:right="5380"/>
        <w:spacing w:after="0"/>
        <w:rPr>
          <w:sz w:val="20"/>
          <w:szCs w:val="20"/>
          <w:color w:val="auto"/>
        </w:rPr>
      </w:pPr>
      <w:r>
        <w:rPr>
          <w:rFonts w:ascii="Arial" w:cs="Arial" w:eastAsia="Arial" w:hAnsi="Arial"/>
          <w:sz w:val="22"/>
          <w:szCs w:val="22"/>
          <w:color w:val="auto"/>
        </w:rPr>
        <w:t>Scotts Servicios, S.A. de C.V. (Mexico)</w:t>
      </w:r>
    </w:p>
    <w:p>
      <w:pPr>
        <w:spacing w:after="0" w:line="4" w:lineRule="exact"/>
        <w:rPr>
          <w:sz w:val="20"/>
          <w:szCs w:val="20"/>
          <w:color w:val="auto"/>
        </w:rPr>
      </w:pPr>
    </w:p>
    <w:p>
      <w:pPr>
        <w:jc w:val="center"/>
        <w:ind w:right="5440"/>
        <w:spacing w:after="0"/>
        <w:rPr>
          <w:sz w:val="20"/>
          <w:szCs w:val="20"/>
          <w:color w:val="auto"/>
        </w:rPr>
      </w:pPr>
      <w:r>
        <w:rPr>
          <w:rFonts w:ascii="Arial" w:cs="Arial" w:eastAsia="Arial" w:hAnsi="Arial"/>
          <w:sz w:val="22"/>
          <w:szCs w:val="22"/>
          <w:color w:val="auto"/>
        </w:rPr>
        <w:t>Scotts Professional Products Co., an Ohio corporation</w:t>
      </w:r>
    </w:p>
    <w:p>
      <w:pPr>
        <w:spacing w:after="0" w:line="4" w:lineRule="exact"/>
        <w:rPr>
          <w:sz w:val="20"/>
          <w:szCs w:val="20"/>
          <w:color w:val="auto"/>
        </w:rPr>
      </w:pPr>
    </w:p>
    <w:p>
      <w:pPr>
        <w:jc w:val="center"/>
        <w:ind w:right="5380"/>
        <w:spacing w:after="0"/>
        <w:rPr>
          <w:sz w:val="20"/>
          <w:szCs w:val="20"/>
          <w:color w:val="auto"/>
        </w:rPr>
      </w:pPr>
      <w:r>
        <w:rPr>
          <w:rFonts w:ascii="Arial" w:cs="Arial" w:eastAsia="Arial" w:hAnsi="Arial"/>
          <w:sz w:val="22"/>
          <w:szCs w:val="22"/>
          <w:color w:val="auto"/>
        </w:rPr>
        <w:t>Scotts Servicios, S.A. de C.V. (Mexico)</w:t>
      </w:r>
    </w:p>
    <w:p>
      <w:pPr>
        <w:spacing w:after="0" w:line="4" w:lineRule="exact"/>
        <w:rPr>
          <w:sz w:val="20"/>
          <w:szCs w:val="20"/>
          <w:color w:val="auto"/>
        </w:rPr>
      </w:pPr>
    </w:p>
    <w:p>
      <w:pPr>
        <w:jc w:val="center"/>
        <w:ind w:right="5320"/>
        <w:spacing w:after="0"/>
        <w:rPr>
          <w:sz w:val="20"/>
          <w:szCs w:val="20"/>
          <w:color w:val="auto"/>
        </w:rPr>
      </w:pPr>
      <w:r>
        <w:rPr>
          <w:rFonts w:ascii="Arial" w:cs="Arial" w:eastAsia="Arial" w:hAnsi="Arial"/>
          <w:sz w:val="22"/>
          <w:szCs w:val="22"/>
          <w:color w:val="auto"/>
        </w:rPr>
        <w:t>Scotts-Sierra Investments, Inc., a Delaware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ASEF BV (Netherlands)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Australia Pty Limited (Australia)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Gardening Fertilizer (Wuhan) Co., Ltd. (China)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Benelux BVBA (Belgium)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Canada Ltd. (Canada)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Czech s.r.o. (Czech Republic)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de Mexico SA de CV (Mexico)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France Holdings SARL (France)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France SAS (France)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Celaflor GmbH (Germany)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Celaflor HGmbH (Austria)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Holdings Limited (United Kingdom)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Levington Group Limited (United Kingdom)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The Scotts Company (UK) Limited (United Kingdom)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The Scotts Company (Manufacturing) Limited (United Kingdom)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Humax Horticulture Limited (UK)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 M Scott International Investments Limited (United Kingdom)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Horticulture Ltd. (Ireland)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Poland Sp.z.o.o. (Poland)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Scotts Company (Nordic) A/S (Denmark)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Turf-Seed (Europe) Limited (Ireland)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Teak 2, Ltd., a Delaware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Swiss Farms Products, Inc., a Delaware corporation</w:t>
      </w:r>
    </w:p>
    <w:p>
      <w:pPr>
        <w:sectPr>
          <w:pgSz w:w="11900" w:h="16838" w:orient="portrait"/>
          <w:cols w:equalWidth="0" w:num="1">
            <w:col w:w="11420"/>
          </w:cols>
          <w:pgMar w:left="240" w:top="337"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consent to the incorporation by reference in this Registration Statement Nos. 033−47073, 333−06061, 333−27561, 333−72715, 333−76697, 333−104490, 333−124503, 333−131466, 333−147397, 333−153925 and 333−154364 on Form S-8 and Registration Statement No. 333−163330 on Form S-3 of our reports dated November 20, 2012 relating to the consolidated financial statements and consolidated financial statement schedules of The Scotts Miracle−Gro Company and subsidiaries (the “Company”) and the effectiveness of the Company’s internal control over financial reporting, appearing in the Company’s Annual Report on Form 10-K for the year ended September 30, 2012.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2012</w:t>
      </w:r>
    </w:p>
    <w:p>
      <w:pPr>
        <w:sectPr>
          <w:pgSz w:w="11900" w:h="16838" w:orient="portrait"/>
          <w:cols w:equalWidth="0" w:num="1">
            <w:col w:w="11420"/>
          </w:cols>
          <w:pgMar w:left="240" w:top="13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right="60"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Alan H. Barry</w:t>
      </w:r>
    </w:p>
    <w:p>
      <w:pPr>
        <w:sectPr>
          <w:pgSz w:w="11900" w:h="16838" w:orient="portrait"/>
          <w:cols w:equalWidth="0" w:num="1">
            <w:col w:w="11420"/>
          </w:cols>
          <w:pgMar w:left="240" w:top="337" w:right="239" w:bottom="1440" w:gutter="0" w:footer="0" w:header="0"/>
        </w:sectPr>
      </w:pPr>
    </w:p>
    <w:bookmarkStart w:id="188" w:name="page189"/>
    <w:bookmarkEnd w:id="18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Joseph P. Flannery</w:t>
      </w:r>
    </w:p>
    <w:p>
      <w:pPr>
        <w:sectPr>
          <w:pgSz w:w="11900" w:h="16838" w:orient="portrait"/>
          <w:cols w:equalWidth="0" w:num="1">
            <w:col w:w="11360"/>
          </w:cols>
          <w:pgMar w:left="240" w:top="360" w:right="299" w:bottom="1440" w:gutter="0" w:footer="0" w:header="0"/>
        </w:sectPr>
      </w:pPr>
    </w:p>
    <w:bookmarkStart w:id="189" w:name="page190"/>
    <w:bookmarkEnd w:id="189"/>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11320"/>
          </w:cols>
          <w:pgMar w:left="240" w:top="360" w:right="339" w:bottom="1440" w:gutter="0" w:footer="0" w:header="0"/>
        </w:sectPr>
      </w:pPr>
    </w:p>
    <w:bookmarkStart w:id="190" w:name="page191"/>
    <w:bookmarkEnd w:id="190"/>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11360"/>
          </w:cols>
          <w:pgMar w:left="240" w:top="360" w:right="299" w:bottom="1440" w:gutter="0" w:footer="0" w:header="0"/>
        </w:sectPr>
      </w:pPr>
    </w:p>
    <w:bookmarkStart w:id="191" w:name="page192"/>
    <w:bookmarkEnd w:id="19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11360"/>
          </w:cols>
          <w:pgMar w:left="240" w:top="360" w:right="299" w:bottom="1440" w:gutter="0" w:footer="0" w:header="0"/>
        </w:sectPr>
      </w:pPr>
    </w:p>
    <w:bookmarkStart w:id="192" w:name="page193"/>
    <w:bookmarkEnd w:id="19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William G. Jurgensen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William G. Jurgensen</w:t>
      </w:r>
    </w:p>
    <w:p>
      <w:pPr>
        <w:sectPr>
          <w:pgSz w:w="11900" w:h="16838" w:orient="portrait"/>
          <w:cols w:equalWidth="0" w:num="1">
            <w:col w:w="11360"/>
          </w:cols>
          <w:pgMar w:left="240" w:top="360" w:right="299" w:bottom="1440" w:gutter="0" w:footer="0" w:header="0"/>
        </w:sectPr>
      </w:pPr>
    </w:p>
    <w:bookmarkStart w:id="193" w:name="page194"/>
    <w:bookmarkEnd w:id="193"/>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11360"/>
          </w:cols>
          <w:pgMar w:left="240" w:top="360" w:right="299" w:bottom="1440" w:gutter="0" w:footer="0" w:header="0"/>
        </w:sectPr>
      </w:pPr>
    </w:p>
    <w:bookmarkStart w:id="194" w:name="page195"/>
    <w:bookmarkEnd w:id="194"/>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Carl F. Kohrt, Ph.D.</w:t>
      </w:r>
    </w:p>
    <w:p>
      <w:pPr>
        <w:sectPr>
          <w:pgSz w:w="11900" w:h="16838" w:orient="portrait"/>
          <w:cols w:equalWidth="0" w:num="1">
            <w:col w:w="11360"/>
          </w:cols>
          <w:pgMar w:left="240" w:top="360" w:right="299" w:bottom="1440" w:gutter="0" w:footer="0" w:header="0"/>
        </w:sectPr>
      </w:pPr>
    </w:p>
    <w:bookmarkStart w:id="195" w:name="page196"/>
    <w:bookmarkEnd w:id="195"/>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Katherine Hagedorn Littlefield</w:t>
      </w:r>
    </w:p>
    <w:p>
      <w:pPr>
        <w:sectPr>
          <w:pgSz w:w="11900" w:h="16838" w:orient="portrait"/>
          <w:cols w:equalWidth="0" w:num="1">
            <w:col w:w="11360"/>
          </w:cols>
          <w:pgMar w:left="240" w:top="360" w:right="29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11360"/>
          </w:cols>
          <w:pgMar w:left="240" w:top="360" w:right="299" w:bottom="1440" w:gutter="0" w:footer="0" w:header="0"/>
        </w:sectPr>
      </w:pPr>
    </w:p>
    <w:bookmarkStart w:id="197" w:name="page198"/>
    <w:bookmarkEnd w:id="197"/>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Stephanie M. Shern</w:t>
      </w:r>
    </w:p>
    <w:p>
      <w:pPr>
        <w:sectPr>
          <w:pgSz w:w="11900" w:h="16838" w:orient="portrait"/>
          <w:cols w:equalWidth="0" w:num="1">
            <w:col w:w="11360"/>
          </w:cols>
          <w:pgMar w:left="240" w:top="360" w:right="299" w:bottom="1440" w:gutter="0" w:footer="0" w:header="0"/>
        </w:sectPr>
      </w:pPr>
    </w:p>
    <w:bookmarkStart w:id="198" w:name="page199"/>
    <w:bookmarkEnd w:id="19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John S. Shiely</w:t>
      </w:r>
    </w:p>
    <w:p>
      <w:pPr>
        <w:sectPr>
          <w:pgSz w:w="11900" w:h="16838" w:orient="portrait"/>
          <w:cols w:equalWidth="0" w:num="1">
            <w:col w:w="11360"/>
          </w:cols>
          <w:pgMar w:left="240" w:top="360" w:right="29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firstLine="648"/>
        <w:spacing w:after="0" w:line="563" w:lineRule="auto"/>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2012, hereby constitutes and appoints James Hagedorn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20th day of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C. Evans</w:t>
      </w:r>
    </w:p>
    <w:p>
      <w:pPr>
        <w:sectPr>
          <w:pgSz w:w="11900" w:h="16838" w:orient="portrait"/>
          <w:cols w:equalWidth="0" w:num="1">
            <w:col w:w="11400"/>
          </w:cols>
          <w:pgMar w:left="240" w:top="360" w:right="25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2012;</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November 20,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279"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2012;</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November 20,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David C. Evans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Chief Financial Officer and Executive Vice President, Strategy and</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Business Development</w:t>
      </w:r>
    </w:p>
    <w:p>
      <w:pPr>
        <w:sectPr>
          <w:pgSz w:w="11900" w:h="16838" w:orient="portrait"/>
          <w:cols w:equalWidth="0" w:num="1">
            <w:col w:w="11420"/>
          </w:cols>
          <w:pgMar w:left="240" w:top="5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2012 as filed with the Securities and Exchange Commission on the date hereof (the “Report”), the undersigned James Hagedorn, Chief Executive Officer and Chairman of the Board of the Company, and David C. Evans, Chief Financial Officer and Executive Vice President, Strategy and Business Development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DAVID C. EVANS</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David C. Evans</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Chief Executive Officer</w:t>
            </w:r>
          </w:p>
        </w:tc>
        <w:tc>
          <w:tcPr>
            <w:tcW w:w="5580" w:type="dxa"/>
            <w:vAlign w:val="bottom"/>
          </w:tcPr>
          <w:p>
            <w:pPr>
              <w:ind w:left="36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Strategy and Business Development</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November 20, 2012</w:t>
            </w:r>
          </w:p>
        </w:tc>
        <w:tc>
          <w:tcPr>
            <w:tcW w:w="5580" w:type="dxa"/>
            <w:vAlign w:val="bottom"/>
          </w:tcPr>
          <w:p>
            <w:pPr>
              <w:ind w:left="360"/>
              <w:spacing w:after="0"/>
              <w:rPr>
                <w:sz w:val="20"/>
                <w:szCs w:val="20"/>
                <w:color w:val="auto"/>
              </w:rPr>
            </w:pPr>
            <w:r>
              <w:rPr>
                <w:rFonts w:ascii="Arial" w:cs="Arial" w:eastAsia="Arial" w:hAnsi="Arial"/>
                <w:sz w:val="18"/>
                <w:szCs w:val="18"/>
                <w:color w:val="auto"/>
              </w:rPr>
              <w:t>November 20, 2012</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p>
      <w:pPr>
        <w:sectPr>
          <w:pgSz w:w="11900" w:h="16838" w:orient="portrait"/>
          <w:cols w:equalWidth="0" w:num="1">
            <w:col w:w="11420"/>
          </w:cols>
          <w:pgMar w:left="240" w:top="581" w:right="23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252095</wp:posOffset>
            </wp:positionV>
            <wp:extent cx="7229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FORM 10-Q</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0"/>
          <w:szCs w:val="20"/>
          <w:color w:val="auto"/>
        </w:rPr>
      </w:pPr>
    </w:p>
    <w:p>
      <w:pPr>
        <w:ind w:left="720" w:hanging="685"/>
        <w:spacing w:after="0"/>
        <w:tabs>
          <w:tab w:leader="none" w:pos="720" w:val="left"/>
        </w:tabs>
        <w:numPr>
          <w:ilvl w:val="0"/>
          <w:numId w:val="93"/>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FOR THE QUARTERLY PERIOD ENDED SEPTEMBER 30, 2012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7" w:lineRule="exact"/>
        <w:rPr>
          <w:sz w:val="20"/>
          <w:szCs w:val="20"/>
          <w:color w:val="auto"/>
        </w:rPr>
      </w:pPr>
    </w:p>
    <w:p>
      <w:pPr>
        <w:ind w:left="720" w:hanging="685"/>
        <w:spacing w:after="0"/>
        <w:tabs>
          <w:tab w:leader="none" w:pos="720" w:val="left"/>
        </w:tabs>
        <w:numPr>
          <w:ilvl w:val="0"/>
          <w:numId w:val="94"/>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3" w:lineRule="exact"/>
        <w:rPr>
          <w:sz w:val="20"/>
          <w:szCs w:val="20"/>
          <w:color w:val="auto"/>
        </w:rPr>
      </w:pPr>
    </w:p>
    <w:p>
      <w:pPr>
        <w:ind w:left="440"/>
        <w:spacing w:after="0"/>
        <w:tabs>
          <w:tab w:leader="none" w:pos="506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20"/>
          <w:szCs w:val="20"/>
          <w:b w:val="1"/>
          <w:bCs w:val="1"/>
          <w:color w:val="auto"/>
        </w:rPr>
        <w:t>TO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0"/>
          <w:szCs w:val="20"/>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0"/>
          <w:szCs w:val="20"/>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126" w:right="239" w:bottom="1440" w:gutter="0" w:footer="0" w:header="0"/>
        </w:sectPr>
      </w:pP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4">
            <w:col w:w="1720" w:space="720"/>
            <w:col w:w="5080" w:space="720"/>
            <w:col w:w="2120" w:space="720"/>
            <w:col w:w="340"/>
          </w:cols>
          <w:pgMar w:left="240" w:top="126" w:right="239" w:bottom="144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4">
            <w:col w:w="1720" w:space="720"/>
            <w:col w:w="5080" w:space="720"/>
            <w:col w:w="2120" w:space="720"/>
            <w:col w:w="340"/>
          </w:cols>
          <w:pgMar w:left="240" w:top="126" w:right="239" w:bottom="1440" w:gutter="0" w:footer="0" w:header="0"/>
          <w:type w:val="continuous"/>
        </w:sectPr>
      </w:pPr>
    </w:p>
    <w:p>
      <w:pPr>
        <w:spacing w:after="0" w:line="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ectPr>
          <w:pgSz w:w="11900" w:h="16838" w:orient="portrait"/>
          <w:cols w:equalWidth="0" w:num="5">
            <w:col w:w="8620" w:space="180"/>
            <w:col w:w="260" w:space="80"/>
            <w:col w:w="160" w:space="180"/>
            <w:col w:w="220" w:space="100"/>
            <w:col w:w="1620"/>
          </w:cols>
          <w:pgMar w:left="240" w:top="126"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Class</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Outstanding at August 06, 2012</w:t>
            </w:r>
          </w:p>
        </w:tc>
      </w:tr>
      <w:tr>
        <w:trPr>
          <w:trHeight w:val="27"/>
        </w:trPr>
        <w:tc>
          <w:tcPr>
            <w:tcW w:w="21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Common Shares, $0.01 stated value, no par value</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61,156,686 common shares</w:t>
            </w:r>
          </w:p>
        </w:tc>
      </w:tr>
      <w:tr>
        <w:trPr>
          <w:trHeight w:val="149"/>
        </w:trPr>
        <w:tc>
          <w:tcPr>
            <w:tcW w:w="216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6" w:right="239" w:bottom="1440" w:gutter="0" w:footer="0" w:header="0"/>
          <w:type w:val="continuous"/>
        </w:sectPr>
      </w:pPr>
    </w:p>
    <w:bookmarkStart w:id="204" w:name="page205"/>
    <w:bookmarkEnd w:id="204"/>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0"/>
          </w:tcPr>
          <w:p>
            <w:pPr>
              <w:spacing w:after="0" w:line="189" w:lineRule="exact"/>
              <w:rPr>
                <w:rFonts w:ascii="Arial" w:cs="Arial" w:eastAsia="Arial" w:hAnsi="Arial"/>
                <w:sz w:val="18"/>
                <w:szCs w:val="18"/>
                <w:color w:val="0000FF"/>
              </w:rPr>
            </w:pPr>
            <w:hyperlink w:anchor="page205">
              <w:r>
                <w:rPr>
                  <w:rFonts w:ascii="Arial" w:cs="Arial" w:eastAsia="Arial" w:hAnsi="Arial"/>
                  <w:sz w:val="18"/>
                  <w:szCs w:val="18"/>
                  <w:color w:val="0000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FF"/>
            </w:tcBorders>
            <w:gridSpan w:val="4"/>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Item 1.</w:t>
              </w:r>
            </w:hyperlink>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Financial Statements</w:t>
              </w:r>
            </w:hyperlink>
          </w:p>
        </w:tc>
        <w:tc>
          <w:tcPr>
            <w:tcW w:w="744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34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206">
              <w:r>
                <w:rPr>
                  <w:rFonts w:ascii="Arial" w:cs="Arial" w:eastAsia="Arial" w:hAnsi="Arial"/>
                  <w:sz w:val="18"/>
                  <w:szCs w:val="18"/>
                  <w:color w:val="0000FF"/>
                  <w:w w:val="88"/>
                </w:rPr>
                <w:t>Condensed Consolidated Statements of Operations — Three and nine months ended June 30, 2012 and July 2, 2011</w:t>
              </w:r>
            </w:hyperlink>
          </w:p>
        </w:tc>
        <w:tc>
          <w:tcPr>
            <w:tcW w:w="110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06">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Condensed Consolidated Statements of Cash Flow — Nine months ended June 30, 2012 and July 2, 2011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06">
              <w:r>
                <w:rPr>
                  <w:rFonts w:ascii="Arial" w:cs="Arial" w:eastAsia="Arial" w:hAnsi="Arial"/>
                  <w:sz w:val="18"/>
                  <w:szCs w:val="18"/>
                  <w:color w:val="0000FF"/>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9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8"/>
              </w:rPr>
            </w:pPr>
            <w:hyperlink w:anchor="page207">
              <w:r>
                <w:rPr>
                  <w:rFonts w:ascii="Arial" w:cs="Arial" w:eastAsia="Arial" w:hAnsi="Arial"/>
                  <w:sz w:val="18"/>
                  <w:szCs w:val="18"/>
                  <w:color w:val="0000FF"/>
                  <w:w w:val="88"/>
                </w:rPr>
                <w:t>Condensed Consolidated Balance Sheets — June 30, 2012, July 2, 2011 and September 30, 2011</w:t>
              </w:r>
            </w:hyperlink>
          </w:p>
        </w:tc>
        <w:tc>
          <w:tcPr>
            <w:tcW w:w="620" w:type="dxa"/>
            <w:vAlign w:val="bottom"/>
            <w:tcBorders>
              <w:top w:val="single" w:sz="8" w:color="0000FF"/>
            </w:tcBorders>
          </w:tcPr>
          <w:p>
            <w:pPr>
              <w:spacing w:after="0"/>
              <w:rPr>
                <w:sz w:val="21"/>
                <w:szCs w:val="21"/>
                <w:color w:val="auto"/>
              </w:rPr>
            </w:pPr>
          </w:p>
        </w:tc>
        <w:tc>
          <w:tcPr>
            <w:tcW w:w="186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20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208">
              <w:r>
                <w:rPr>
                  <w:rFonts w:ascii="Arial" w:cs="Arial" w:eastAsia="Arial" w:hAnsi="Arial"/>
                  <w:sz w:val="18"/>
                  <w:szCs w:val="18"/>
                  <w:color w:val="0000FF"/>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08">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Item 2.</w:t>
              </w:r>
            </w:hyperlink>
          </w:p>
        </w:tc>
        <w:tc>
          <w:tcPr>
            <w:tcW w:w="9440" w:type="dxa"/>
            <w:vAlign w:val="bottom"/>
            <w:gridSpan w:val="16"/>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243">
              <w:r>
                <w:rPr>
                  <w:rFonts w:ascii="Arial" w:cs="Arial" w:eastAsia="Arial" w:hAnsi="Arial"/>
                  <w:sz w:val="18"/>
                  <w:szCs w:val="18"/>
                  <w:color w:val="0000FF"/>
                </w:rPr>
                <w:t>Item 3.</w:t>
              </w:r>
            </w:hyperlink>
          </w:p>
        </w:tc>
        <w:tc>
          <w:tcPr>
            <w:tcW w:w="9440" w:type="dxa"/>
            <w:vAlign w:val="bottom"/>
            <w:gridSpan w:val="16"/>
          </w:tcPr>
          <w:p>
            <w:pPr>
              <w:spacing w:after="0"/>
              <w:rPr>
                <w:rFonts w:ascii="Arial" w:cs="Arial" w:eastAsia="Arial" w:hAnsi="Arial"/>
                <w:sz w:val="18"/>
                <w:szCs w:val="18"/>
                <w:color w:val="0000FF"/>
              </w:rPr>
            </w:pPr>
            <w:hyperlink w:anchor="page243">
              <w:r>
                <w:rPr>
                  <w:rFonts w:ascii="Arial" w:cs="Arial" w:eastAsia="Arial" w:hAnsi="Arial"/>
                  <w:sz w:val="18"/>
                  <w:szCs w:val="18"/>
                  <w:color w:val="0000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43">
              <w:r>
                <w:rPr>
                  <w:rFonts w:ascii="Arial" w:cs="Arial" w:eastAsia="Arial" w:hAnsi="Arial"/>
                  <w:sz w:val="18"/>
                  <w:szCs w:val="18"/>
                  <w:color w:val="0000FF"/>
                </w:rPr>
                <w:t>41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Item 4.</w:t>
              </w:r>
            </w:hyperlink>
          </w:p>
        </w:tc>
        <w:tc>
          <w:tcPr>
            <w:tcW w:w="9440" w:type="dxa"/>
            <w:vAlign w:val="bottom"/>
            <w:gridSpan w:val="16"/>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44">
              <w:r>
                <w:rPr>
                  <w:rFonts w:ascii="Arial" w:cs="Arial" w:eastAsia="Arial" w:hAnsi="Arial"/>
                  <w:sz w:val="18"/>
                  <w:szCs w:val="18"/>
                  <w:color w:val="0000FF"/>
                </w:rPr>
                <w:t>41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244">
              <w:r>
                <w:rPr>
                  <w:rFonts w:ascii="Arial" w:cs="Arial" w:eastAsia="Arial" w:hAnsi="Arial"/>
                  <w:sz w:val="18"/>
                  <w:szCs w:val="18"/>
                  <w:color w:val="0000FF"/>
                  <w:w w:val="97"/>
                </w:rPr>
                <w:t>PART II. OTHER INFORMATION:</w:t>
              </w:r>
            </w:hyperlink>
          </w:p>
        </w:tc>
        <w:tc>
          <w:tcPr>
            <w:tcW w:w="768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Item 1.</w:t>
              </w:r>
            </w:hyperlink>
          </w:p>
        </w:tc>
        <w:tc>
          <w:tcPr>
            <w:tcW w:w="9440" w:type="dxa"/>
            <w:vAlign w:val="bottom"/>
            <w:gridSpan w:val="16"/>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Legal Proceedings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44">
              <w:r>
                <w:rPr>
                  <w:rFonts w:ascii="Arial" w:cs="Arial" w:eastAsia="Arial" w:hAnsi="Arial"/>
                  <w:sz w:val="18"/>
                  <w:szCs w:val="18"/>
                  <w:color w:val="0000FF"/>
                </w:rPr>
                <w:t>41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w w:val="92"/>
              </w:rPr>
            </w:pPr>
            <w:hyperlink w:anchor="page244">
              <w:r>
                <w:rPr>
                  <w:rFonts w:ascii="Arial" w:cs="Arial" w:eastAsia="Arial" w:hAnsi="Arial"/>
                  <w:sz w:val="18"/>
                  <w:szCs w:val="18"/>
                  <w:color w:val="0000FF"/>
                  <w:w w:val="92"/>
                </w:rPr>
                <w:t>Item 1A.</w:t>
              </w:r>
            </w:hyperlink>
          </w:p>
        </w:tc>
        <w:tc>
          <w:tcPr>
            <w:tcW w:w="280" w:type="dxa"/>
            <w:vAlign w:val="bottom"/>
            <w:gridSpan w:val="2"/>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Risk Factors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44">
              <w:r>
                <w:rPr>
                  <w:rFonts w:ascii="Arial" w:cs="Arial" w:eastAsia="Arial" w:hAnsi="Arial"/>
                  <w:sz w:val="18"/>
                  <w:szCs w:val="18"/>
                  <w:color w:val="0000FF"/>
                </w:rPr>
                <w:t>41</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245">
              <w:r>
                <w:rPr>
                  <w:rFonts w:ascii="Arial" w:cs="Arial" w:eastAsia="Arial" w:hAnsi="Arial"/>
                  <w:sz w:val="18"/>
                  <w:szCs w:val="18"/>
                  <w:color w:val="0000FF"/>
                </w:rPr>
                <w:t>Item 2.</w:t>
              </w:r>
            </w:hyperlink>
          </w:p>
        </w:tc>
        <w:tc>
          <w:tcPr>
            <w:tcW w:w="280" w:type="dxa"/>
            <w:vAlign w:val="bottom"/>
            <w:gridSpan w:val="2"/>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245">
              <w:r>
                <w:rPr>
                  <w:rFonts w:ascii="Arial" w:cs="Arial" w:eastAsia="Arial" w:hAnsi="Arial"/>
                  <w:sz w:val="18"/>
                  <w:szCs w:val="18"/>
                  <w:color w:val="0000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45">
              <w:r>
                <w:rPr>
                  <w:rFonts w:ascii="Arial" w:cs="Arial" w:eastAsia="Arial" w:hAnsi="Arial"/>
                  <w:sz w:val="18"/>
                  <w:szCs w:val="18"/>
                  <w:color w:val="0000FF"/>
                </w:rPr>
                <w:t>42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245">
              <w:r>
                <w:rPr>
                  <w:rFonts w:ascii="Arial" w:cs="Arial" w:eastAsia="Arial" w:hAnsi="Arial"/>
                  <w:sz w:val="18"/>
                  <w:szCs w:val="18"/>
                  <w:color w:val="0000FF"/>
                </w:rPr>
                <w:t>Item 6.</w:t>
              </w:r>
            </w:hyperlink>
          </w:p>
        </w:tc>
        <w:tc>
          <w:tcPr>
            <w:tcW w:w="9440" w:type="dxa"/>
            <w:vAlign w:val="bottom"/>
            <w:gridSpan w:val="16"/>
          </w:tcPr>
          <w:p>
            <w:pPr>
              <w:spacing w:after="0"/>
              <w:rPr>
                <w:rFonts w:ascii="Arial" w:cs="Arial" w:eastAsia="Arial" w:hAnsi="Arial"/>
                <w:sz w:val="18"/>
                <w:szCs w:val="18"/>
                <w:color w:val="0000FF"/>
              </w:rPr>
            </w:pPr>
            <w:hyperlink w:anchor="page245">
              <w:r>
                <w:rPr>
                  <w:rFonts w:ascii="Arial" w:cs="Arial" w:eastAsia="Arial" w:hAnsi="Arial"/>
                  <w:sz w:val="18"/>
                  <w:szCs w:val="18"/>
                  <w:color w:val="0000FF"/>
                </w:rPr>
                <w:t>Exhibits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45">
              <w:r>
                <w:rPr>
                  <w:rFonts w:ascii="Arial" w:cs="Arial" w:eastAsia="Arial" w:hAnsi="Arial"/>
                  <w:sz w:val="18"/>
                  <w:szCs w:val="18"/>
                  <w:color w:val="0000FF"/>
                </w:rPr>
                <w:t>42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w w:val="85"/>
              </w:rPr>
            </w:pPr>
            <w:hyperlink w:anchor="page245">
              <w:r>
                <w:rPr>
                  <w:rFonts w:ascii="Arial" w:cs="Arial" w:eastAsia="Arial" w:hAnsi="Arial"/>
                  <w:sz w:val="18"/>
                  <w:szCs w:val="18"/>
                  <w:color w:val="0000FF"/>
                  <w:w w:val="85"/>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45">
              <w:r>
                <w:rPr>
                  <w:rFonts w:ascii="Arial" w:cs="Arial" w:eastAsia="Arial" w:hAnsi="Arial"/>
                  <w:sz w:val="18"/>
                  <w:szCs w:val="18"/>
                  <w:color w:val="0000FF"/>
                </w:rPr>
                <w:t>43</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FF"/>
                <w:w w:val="92"/>
              </w:rPr>
            </w:pPr>
            <w:hyperlink w:anchor="page246">
              <w:r>
                <w:rPr>
                  <w:rFonts w:ascii="Arial" w:cs="Arial" w:eastAsia="Arial" w:hAnsi="Arial"/>
                  <w:sz w:val="18"/>
                  <w:szCs w:val="18"/>
                  <w:color w:val="0000FF"/>
                  <w:w w:val="92"/>
                </w:rPr>
                <w:t>Index to Exhibits</w:t>
              </w:r>
            </w:hyperlink>
          </w:p>
        </w:tc>
        <w:tc>
          <w:tcPr>
            <w:tcW w:w="912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46">
              <w:r>
                <w:rPr>
                  <w:rFonts w:ascii="Arial" w:cs="Arial" w:eastAsia="Arial" w:hAnsi="Arial"/>
                  <w:sz w:val="18"/>
                  <w:szCs w:val="18"/>
                  <w:color w:val="0000FF"/>
                </w:rPr>
                <w:t>44</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6140" w:type="dxa"/>
            <w:vAlign w:val="bottom"/>
            <w:gridSpan w:val="10"/>
          </w:tcPr>
          <w:p>
            <w:pPr>
              <w:jc w:val="right"/>
              <w:ind w:right="16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40" w:type="dxa"/>
            <w:vAlign w:val="bottom"/>
          </w:tcPr>
          <w:p>
            <w:pPr>
              <w:jc w:val="right"/>
              <w:ind w:right="111"/>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401.2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2,826.1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w w:val="99"/>
              </w:rPr>
              <w:t>Income from continuing operations before income taxes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income per common share:</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8"/>
              </w:rPr>
              <w:t>Weighted-average common shares outstanding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Weighted-average common shares outstanding during the period plus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potential common shares</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9020" w:type="dxa"/>
            <w:vAlign w:val="bottom"/>
          </w:tcPr>
          <w:p>
            <w:pPr>
              <w:spacing w:after="0"/>
              <w:rPr>
                <w:sz w:val="13"/>
                <w:szCs w:val="13"/>
                <w:color w:val="auto"/>
              </w:rPr>
            </w:pPr>
          </w:p>
        </w:tc>
        <w:tc>
          <w:tcPr>
            <w:tcW w:w="12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9"/>
              </w:rPr>
              <w:t>SEPTEMBER 30,</w:t>
            </w:r>
          </w:p>
        </w:tc>
      </w:tr>
      <w:tr>
        <w:trPr>
          <w:trHeight w:val="192"/>
        </w:trPr>
        <w:tc>
          <w:tcPr>
            <w:tcW w:w="9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2011</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Impairment and other charges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9020" w:type="dxa"/>
            <w:vAlign w:val="bottom"/>
          </w:tcPr>
          <w:p>
            <w:pPr>
              <w:ind w:left="14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Payment of contingent consideration and related</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9020" w:type="dxa"/>
            <w:vAlign w:val="bottom"/>
          </w:tcPr>
          <w:p>
            <w:pPr>
              <w:ind w:left="144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6" w:right="239" w:bottom="44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449" w:gutter="0" w:footer="0" w:header="0"/>
          <w:type w:val="continuous"/>
        </w:sectPr>
      </w:pPr>
    </w:p>
    <w:bookmarkStart w:id="207" w:name="page208"/>
    <w:bookmarkEnd w:id="207"/>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40" w:type="dxa"/>
            <w:vAlign w:val="bottom"/>
            <w:gridSpan w:val="5"/>
          </w:tcPr>
          <w:p>
            <w:pPr>
              <w:ind w:left="10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w w:val="99"/>
              </w:rPr>
              <w:t>Accounts receivable, less allowances of $6.2, $13.6 and $12.9, respectively</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323.5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387.0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$533.7, $496.8 and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$510.5,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309.1</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36.3</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0"/>
        </w:trPr>
        <w:tc>
          <w:tcPr>
            <w:tcW w:w="8120" w:type="dxa"/>
            <w:vAlign w:val="bottom"/>
            <w:tcBorders>
              <w:bottom w:val="single" w:sz="8" w:color="CCEEFF"/>
            </w:tcBorders>
            <w:gridSpan w:val="4"/>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232.0</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Commitments and contingencies (notes 3 and 12)</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w w:val="89"/>
              </w:rPr>
              <w:t>Common shares and capital in excess of $.01 stated value per share, 61.2, 63.7 and</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60.8 shares issued and outstanding, respectively</w:t>
            </w:r>
          </w:p>
        </w:tc>
        <w:tc>
          <w:tcPr>
            <w:tcW w:w="1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427.1</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Treasury shares, at cost: 7.0, 4.6 and 7.5 shares, respectively</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208" w:name="page209"/>
    <w:bookmarkEnd w:id="208"/>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right="2140" w:firstLine="2132"/>
        <w:spacing w:after="0" w:line="484" w:lineRule="auto"/>
        <w:rPr>
          <w:sz w:val="20"/>
          <w:szCs w:val="20"/>
          <w:color w:val="auto"/>
        </w:rPr>
      </w:pPr>
      <w:r>
        <w:rPr>
          <w:rFonts w:ascii="Arial" w:cs="Arial" w:eastAsia="Arial" w:hAnsi="Arial"/>
          <w:sz w:val="18"/>
          <w:szCs w:val="18"/>
          <w:b w:val="1"/>
          <w:bCs w:val="1"/>
          <w:color w:val="auto"/>
        </w:rPr>
        <w:t xml:space="preserve">NOTES TO CONDENSED CONSOLIDATED FINANCIAL STATEMENTS (UNAUDITED) NOTE 1. SUMMARY OF SIGNIFICANT ACCOUNTING POLICIES </w:t>
      </w:r>
      <w:r>
        <w:rPr>
          <w:rFonts w:ascii="Arial" w:cs="Arial" w:eastAsia="Arial" w:hAnsi="Arial"/>
          <w:sz w:val="18"/>
          <w:szCs w:val="18"/>
          <w:b w:val="1"/>
          <w:bCs w:val="1"/>
          <w:i w:val="1"/>
          <w:iCs w:val="1"/>
          <w:u w:val="single" w:color="auto"/>
          <w:color w:val="auto"/>
        </w:rPr>
        <w:t>Nature of Operations</w:t>
      </w:r>
    </w:p>
    <w:p>
      <w:pPr>
        <w:spacing w:after="0" w:line="22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2011, the Company completed the sale of a significant majority of the assets of its Global Professional business (excluding the non-European professional seed business, “Global Pro”) to Israel Chemicals Ltd. (“ICL”). As a result of the then-pending sale, effective in the Company’s first quarter of fiscal 2011, the Company classified Global Pro as discontinued operations. See “NOTE 2. DISCONTINUED OPERATIONS” for additional details regarding the sale of Global Pro.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and nine months ended September 30, 2012 and September 30, 2011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2012, which includes a complete set of footnote disclosures, including the Company’s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Measurement</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May 2011, the Financial Accounting Standards Board (the “FASB”) issued amended accounting guidance to improve comparability of fair value measures between GAAP and the International Financial Reporting Standards. The amended guidance clarifies how to apply the existing fair value measurement and disclosure requirements. The provisions were effective for the Company’s financial statements for the interim period beginning January 1, 2012. The adoption of the amended guidance did not have a significant impact on the Company's financial statements and related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will be effective for the Company’s financial statements for the fiscal year beginning October 1, 2012. The Company is in the process of evaluating the impact that the amended guidance may have on its financial statements and related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Goodwill Impairment</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September 2011, the FASB issued new accounting guidance that permits an entity to first assess qualitative factors to determine whether it is more likely than not that the fair value of a reporting unit is less than its carrying amount as a basis for determining whether it is necessary to perform the two-step goodwill impairment test. The entity is not required to calculate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of a reporting unit unless the entity determines that it is more likely than not that the reporting unit’s fair value is less than its carrying value. The guidance will be effective for the Company’s financial statements for the fiscal year beginning October 1, 2012. The Company is in the process of evaluating the impact that the guidance may have on its financial statements and related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Indefinite-Lived Intangible Asset Impairment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July 2012, the FASB issued new accounting guidance that permits an entity to first assess qualitative factors to determine whether it is more likely than not that the fair value of an indefinite-lived intangible asset is less than its carrying amount as a basis for determining whether it is necessary to calculate the fair value of the asset. The entity is not required to calculate the fair value of an indefinite-lived intangible asset unless the entity determines that it is more likely than not that the indefinite-lived intangible asset’s fair value is less than its carrying value. The guidance will be effective for the Company’s financial statements for the fiscal year beginning October 1, 2012. The Company is in the process of evaluating the impact that the guidance may have on its financial statements and related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February 28, 2011, the Company completed the sale of Global Pro to ICL for $270 million. After agreed upon adjustments (including post-closing adjustments), the Company received $270.9 million net proceeds, or $253.6 million after transaction costs. Results from discontinued operations for fiscal 2011 include an after-tax gain on the sale of Global Pro of $39.5 million, which includes transaction costs. In addition, in the third quarter of fiscal 2012, the Company recorded an adjustment of $(0.2) million as a change in estimate on the tax due on the sale of Global Pro.</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the terms of the indenture governing the Company’s 7.25% Senior Notes due 2018 and the indenture governing the Company’s 6.625% Senior Notes due 2020, the Company had a period of P360D days to apply an amount equal to the net proceeds received from the sale of Global Pro to repay indebtedness, acquire equity interests in certain entities, make capital expenditures, acquire other assets useful in a related business and/or make investments in certain joint ventures. Any amount not so applied must be used to make an offer to repurchase the Senior Notes, provided that such repurchase offer may be deferred until such time as the unutilized proceeds exceed $50 million. As of September 30, 2012, the Company had applied all but approximately $45 million of the net proceeds to one or more of the uses permitted by the indentures.</w:t>
      </w:r>
    </w:p>
    <w:p>
      <w:pPr>
        <w:spacing w:after="0" w:line="97"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Company’s decision to exit the professional ornamental horticulture, turf and specialty agriculture markets and sell Global Pro was another step in its strategy to evolve its business portfolio to better leverage growth opportunities within its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segments.</w:t>
      </w:r>
    </w:p>
    <w:p>
      <w:pPr>
        <w:spacing w:after="0" w:line="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conjunction with the transaction, The Scotts Company LLC (“Scotts LLC”), a wholly owned subsidiary of Scotts Miracle-Gro, and ICL entered into several product supply agreements which are generally up to P5Y years in duration, as well as various trademark and technology licensing agreements with varying durations. The purpose of these agreements is to allow each party to continue leveraging existing production capabilities and intellectual property to meet customer demand for their respective products. Scotts LLC estimates that it will supply ICL with approximately $40 million of product under these agreements, as well as purchase approximately $15 million of materials from ICL, each on an annualized basis.</w:t>
      </w:r>
    </w:p>
    <w:p>
      <w:pPr>
        <w:spacing w:after="0" w:line="9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continuing cash inflows and outflows related to these agreements are not considered to be significant in relation to the overall cash flows of Global Pro. Furthermore, none of these agreements permit the Company to influence the operating or financial policies of Global Pro under the ownership of ICL. Therefore, Global Pro met the criteria for presentation as discontinued operations. As such, effective in the first quarter of fiscal 2011, the Company classified Global Pro as discontinued operations for all periods presented. The Global Pro results from discontinued operations include an allocation of interest expense relating to the amount of our then existing credit facilities that was required to be repaid from the sale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210" w:name="page211"/>
    <w:bookmarkEnd w:id="210"/>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Global Pro within discontinued operations for the periods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 2011</w:t>
            </w:r>
          </w:p>
        </w:tc>
        <w:tc>
          <w:tcPr>
            <w:tcW w:w="24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JULY 2, 2011</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78.1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Global Pro business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Global Pro sale related transaction costs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Income from discontinued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57.4</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April 2008, the Company became aware that a former associate apparently deliberately circumvented the Company’s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In late April 2008, in connection with the U.S. EPA’s investigation, the Company conducted a consumer-level recall of certain consumer lawn and garden products and a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2009, fiscal 2010 or fiscal 2011 sales and are not expected to materially affect the Company’s fiscal 2012 sales.</w:t>
      </w:r>
    </w:p>
    <w:p>
      <w:pPr>
        <w:spacing w:after="0" w:line="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wild bird food recall did not materially affect the Company’s fiscal 2009, fiscal 2010 or fiscal 2011 financial condition, result of operations or cash flows and are not expected to affect the Company's fiscal 2012 financial condition, result of operations or cash flows.</w:t>
      </w:r>
    </w:p>
    <w:p>
      <w:pPr>
        <w:spacing w:after="0" w:line="8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Settlement discussions relating to potential fines and/or penalties are a frequent outgrowth of governmental investigations. In that regard, on or about June 30, 2011, the Company received a Notice of Intent to File Administrative Complaint (“Notice”) from the U.S. EPA Region 5 with respect to the alleged FIFRA violations. The Notice, which did not set forth a proposed penalty amount, offered the Company an opportunity to present any information that it believed the U.S. EPA should consider prior to filing the complaint and indicated that the U.S. EPA was prepared to meet with the Company to discuss the alleged violations. The Company made a timely response to the Notice and settlement discussions between the Company and the U.S. EPA are ongoing.</w:t>
      </w:r>
    </w:p>
    <w:p>
      <w:pPr>
        <w:spacing w:after="0" w:line="7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previously disclosed, the Company has also been engaged in settlement discussions with the U.S. DOJ regarding its criminal investigation. On January 25, 2012, a plea agreement (the “Plea Agreement”), executed by both Scotts Miracle-Gro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211" w:name="page212"/>
    <w:bookmarkEnd w:id="211"/>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U.S. DOJ, was filed with the United States District Court for the Southern District of Ohio. Under the terms of the Plea Agreement, Scotts Miracle-Gro agreed to plead guilty to 10 counts of violating FIFRA and the regulations promulgated thereunder, to pay a $4 million penalty to the United States and to provide $0.1 million to each of the following programs designed to enhance and protect the natural environment, particularly habitats for the bird populations that the U.S. EPA’s regulation of pesticides is designed to protect: (1) Ohio Audubon’s Important Bird Area Program; (2) Ohio Department of Natural Resources’ Urban Forestry Program; (3) Columbus Metro-Parks Bird Habitat Enhancement Program; (4) Cornell University Ornithology Laboratory; and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(5)The Nature Conservancy of Ohio. In exchange for Scotts Miracle-Gro’s guilty plea and the other promises contained in the Plea Agreement, the U.S. DOJ agreed not to criminally prosecute the Company for any other federal crimes relating to any potential FIFRA violations known to the government as of the date of the Plea Agreement. On March 13, 2012, the court accepted the Company's guilty plea, but delayed sentencing thereon to an unspecified later date. The Company’s previously established accrual includes the full amount of the proposed criminal penalty and other amounts payable under the Plea Agreement.</w:t>
      </w:r>
    </w:p>
    <w:p>
      <w:pPr>
        <w:spacing w:after="0" w:line="11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U.S. EPA and related state investigations continue and the court has not yet issued its sentence with respect to the Plea Agreement between Scotts Miracle-Gro and the U.S. DOJ. In addition, the Company may be subject to additional judgments, settlements, fines and/or penalties as a result of federal, state or private actions with respect to known or potential additional product registration issues. Accordingly, the Company cannot reasonably estimate the total scope or magnitude of all possible liabilities that could result from known or potential product registration issues. Based on the facts and circumstances known to the Company at this time (including settlement discussions that have taken place to date and the Plea Agreement), the Company has established what it believes to be an appropriate accrual. It is possible that any fines and/or penalties with respect to the investigations, as well as any judgments, litigation costs or other liabilities relating to such known or potential product registration issues, could exceed the amount of the accrual and could have an adverse effect on the Company’s financial condition, results of operations or cash flows.</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 result of these registration and recall matters, the Company has recorded charges for affected inventory and other registration and recall-related costs. The Company expects that future charges will include costs associated with the rework of certain finished goods inventories, the potential disposal of certain products and ongoing third-party professional services related to the U.S. EPA, U.S. DOJ and state investigations. It may also be appropriate to establish additional accruals as settlement discussions continue or in connection with other actions or potential liabilities arising in connection with the product registration and recall issues.</w:t>
      </w:r>
    </w:p>
    <w:p>
      <w:pPr>
        <w:spacing w:after="0" w:line="10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the impact of the product registration and recall matters on the Company’s results of operations and other current liabilities for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SEPTEMBER 30, 2012</w:t>
            </w: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SEPTEMBER 30, 2011</w:t>
            </w: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SEPTEMBER 30, 2012</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SEPTEMBER 30, 2011</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other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Gross loss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3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COSTS AND</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65"/>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SEPTEMBER 30,</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ACCRUALS</w:t>
            </w:r>
          </w:p>
        </w:tc>
        <w:tc>
          <w:tcPr>
            <w:tcW w:w="180" w:type="dxa"/>
            <w:vAlign w:val="bottom"/>
          </w:tcPr>
          <w:p>
            <w:pPr>
              <w:spacing w:after="0"/>
              <w:rPr>
                <w:sz w:val="14"/>
                <w:szCs w:val="14"/>
                <w:color w:val="auto"/>
              </w:rPr>
            </w:pPr>
          </w:p>
        </w:tc>
        <w:tc>
          <w:tcPr>
            <w:tcW w:w="1420" w:type="dxa"/>
            <w:vAlign w:val="bottom"/>
          </w:tcPr>
          <w:p>
            <w:pPr>
              <w:jc w:val="center"/>
              <w:ind w:right="113"/>
              <w:spacing w:after="0"/>
              <w:rPr>
                <w:sz w:val="20"/>
                <w:szCs w:val="20"/>
                <w:color w:val="auto"/>
              </w:rPr>
            </w:pPr>
            <w:r>
              <w:rPr>
                <w:rFonts w:ascii="Arial" w:cs="Arial" w:eastAsia="Arial" w:hAnsi="Arial"/>
                <w:sz w:val="14"/>
                <w:szCs w:val="14"/>
                <w:b w:val="1"/>
                <w:bCs w:val="1"/>
                <w:color w:val="auto"/>
                <w:w w:val="99"/>
              </w:rPr>
              <w:t>SEPTEMBER 30,</w:t>
            </w:r>
          </w:p>
        </w:tc>
      </w:tr>
      <w:tr>
        <w:trPr>
          <w:trHeight w:val="192"/>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ESTIMATE</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USED</w:t>
            </w:r>
          </w:p>
        </w:tc>
        <w:tc>
          <w:tcPr>
            <w:tcW w:w="180" w:type="dxa"/>
            <w:vAlign w:val="bottom"/>
          </w:tcPr>
          <w:p>
            <w:pPr>
              <w:spacing w:after="0"/>
              <w:rPr>
                <w:sz w:val="16"/>
                <w:szCs w:val="16"/>
                <w:color w:val="auto"/>
              </w:rPr>
            </w:pPr>
          </w:p>
        </w:tc>
        <w:tc>
          <w:tcPr>
            <w:tcW w:w="142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 of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general and administrative costs</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accrued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 CHARGES</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August 8, 2011, the Company announced a restructuring plan (the “2011 restructuring plan”) designed to streamline management decision making and continue the regionalization of the Company’s operating structure, with the objective of reinvesting the savings generated in innovation and growth initiatives. During fiscal 2011, the Company incurred $23.7 million in restructuring costs related to termination benefits provided to employees who were involuntarily terminated and special termination benefits provided to certain employees upon future separation, as well as $2.3 million related to curtailment charges for its U.S. defined benefit pension and U.S. retiree medical plans. A majority of these costs that were incurred were in relation to the Global Consumer segment and Corporate &amp; Other. In continuation of the 2011 restructuring plan, during the nine months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212" w:name="page213"/>
    <w:bookmarkEnd w:id="212"/>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ended September 30, 2012, the Company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 A significant portion of the amounts reserved as of September 30, 2012, will be paid out over the course of fiscal 2012. Included in the restructuring reserves is $4.5 million that is classified as long-term. Payments against the long-term reserves will start once the employees covered by the 2011 restructuring plan retire.</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2011</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June 30, 2012</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nine months ended September 30, 2012, the Company recognized a $5.3 million asset impairment charge as a result of issues with commercialization of products including the active ingredient MAT 28 for the Global Consumer segment. Also included is a $0.5 million impairment charge related to the investment in Turf-Seed (Europe)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34.3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387.0</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Adjustments to reflect inventories at net realizeable values were $26.3 million at September 30, 2012, $31.4 million at September 30, 2011 and $31.4 million at September 30,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annual contribution payment is defined in the Marketing Agreement as $20 million.</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P20Y years, with a remaining amortization period of less than P6Y years as of September 30, 2012.</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3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commission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27.7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45.4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102.2</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8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3"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MARP Agreement</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r>
      <w:tr>
        <w:trPr>
          <w:trHeight w:val="237"/>
        </w:trPr>
        <w:tc>
          <w:tcPr>
            <w:tcW w:w="5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795.0</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791.8</w:t>
            </w: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2012, there was $1.4 billion of availability under the Company’s senior secured credit facility, including availability under letters of credit. Under the credit facility, the Company has the ability to issue letter of credit commitment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up to $75 million. At September 30, 2012, the Company had letters of credit in the aggregate face amount of $25.4 million outstanding.</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was in compliance with the terms of all debt covenants at September 30, 2012. The credit facility contains, among other obligations, an affirmative covenant regarding the Company’s leverage ratio, calculated as average total indebtedness, as described in the Company’s credit facility, relative to the Company’s earnings before interest, taxes, deprecation and amortization ("EBITDA"), as adjusted pursuant to the terms of the credit facility (“Adjusted EBITDA”). Under the terms of the credit facility, the maximum leverage ratio was 3.50 as of September 30, 2012. The Company’s leverage ratio was 0 at September 30, 2012. The Company’s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twelve months ended September 30, 2012. The Company’s interest coverage ratio was 4.89 for the twelve months ended September 30, 2012.</w:t>
      </w:r>
    </w:p>
    <w:p>
      <w:pPr>
        <w:spacing w:after="0" w:line="9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There were $87.5 million in borrowings under the MARP Agreement as of September 30, 2012.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which are the prevailing market rates, and thus the carrying value is a reasonable estimate of fair value. The fair value measurement for the credit facility was classified in Level 2 of the fair value hierarchy.</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7.25% Senior Notes due 2018 (the “7.25% Senior Notes”) can be determined based on the trading of the 7.25% Senior Notes in the open market. The difference between the carrying value and the fair value of the 7.25% Senior Notes represents the premium or discount on that date. Based on the trading value on or around September 30, 2012, September 30, 2011 and September 30, 2012, the fair value of the 7.25% Senior Notes was approximately $216.8 million, $218.0 million and $206.0 million, respectively. The fair value measurement for the 7.25%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September 30, 2012, September 30, 2011 and September 30, 2012, the fair value of the 6.625% Senior Notes was approximately $215.0 million, $204.0 million and $198.1 million, respectively. The fair value measurement for the 6.625%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which are the prevailing market rates, and thus the carrying value is a reasonable estimate of fair value. The fair value measurement for the MARP agreement was classified 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COMPREHENSIVE INCOME (LOSS)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other comprehensive income (loss) (“OCI”)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4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right"/>
              <w:ind w:right="5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6"/>
                <w:szCs w:val="16"/>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221.3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 gain on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change in pension and other postretirement related items</w:t>
            </w:r>
          </w:p>
        </w:tc>
        <w:tc>
          <w:tcPr>
            <w:tcW w:w="1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105.9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221.3</w:t>
            </w: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summarizes the components of net periodic benefit cost for the retirement and retiree medical plans sponsored by the Company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7"/>
              </w:rPr>
              <w:t>SEPTEMBER 30, 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SEPTEMBER 30, 2011</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152"/>
        </w:trPr>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79"/>
              <w:spacing w:after="0" w:line="153"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5"/>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460"/>
              <w:spacing w:after="0" w:line="153"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left="337"/>
              <w:spacing w:after="0" w:line="153" w:lineRule="exact"/>
              <w:rPr>
                <w:sz w:val="20"/>
                <w:szCs w:val="20"/>
                <w:color w:val="auto"/>
              </w:rPr>
            </w:pPr>
            <w:r>
              <w:rPr>
                <w:rFonts w:ascii="Arial" w:cs="Arial" w:eastAsia="Arial" w:hAnsi="Arial"/>
                <w:sz w:val="14"/>
                <w:szCs w:val="14"/>
                <w:b w:val="1"/>
                <w:bCs w:val="1"/>
                <w:color w:val="auto"/>
                <w:w w:val="95"/>
              </w:rPr>
              <w:t>U.S.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1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w w:val="95"/>
              </w:rPr>
              <w:t>Pension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13"/>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Medical</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left="357"/>
              <w:spacing w:after="0"/>
              <w:rPr>
                <w:sz w:val="20"/>
                <w:szCs w:val="20"/>
                <w:color w:val="auto"/>
              </w:rPr>
            </w:pPr>
            <w:r>
              <w:rPr>
                <w:rFonts w:ascii="Arial" w:cs="Arial" w:eastAsia="Arial" w:hAnsi="Arial"/>
                <w:sz w:val="14"/>
                <w:szCs w:val="14"/>
                <w:b w:val="1"/>
                <w:bCs w:val="1"/>
                <w:color w:val="auto"/>
                <w:w w:val="88"/>
              </w:rPr>
              <w:t>Pension</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88"/>
              </w:rPr>
              <w:t>Pension</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Net amortization</w:t>
            </w:r>
          </w:p>
        </w:tc>
        <w:tc>
          <w:tcPr>
            <w:tcW w:w="40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CCEEFF"/>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8"/>
          </w:tcPr>
          <w:p>
            <w:pPr>
              <w:jc w:val="center"/>
              <w:ind w:left="8"/>
              <w:spacing w:after="0"/>
              <w:rPr>
                <w:sz w:val="20"/>
                <w:szCs w:val="20"/>
                <w:color w:val="auto"/>
              </w:rPr>
            </w:pPr>
            <w:r>
              <w:rPr>
                <w:rFonts w:ascii="Arial" w:cs="Arial" w:eastAsia="Arial" w:hAnsi="Arial"/>
                <w:sz w:val="14"/>
                <w:szCs w:val="14"/>
                <w:b w:val="1"/>
                <w:bCs w:val="1"/>
                <w:color w:val="auto"/>
                <w:w w:val="98"/>
              </w:rPr>
              <w:t>SEPTEMBER 30, 2012</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7"/>
          </w:tcPr>
          <w:p>
            <w:pPr>
              <w:jc w:val="center"/>
              <w:ind w:left="477"/>
              <w:spacing w:after="0"/>
              <w:rPr>
                <w:sz w:val="20"/>
                <w:szCs w:val="20"/>
                <w:color w:val="auto"/>
              </w:rPr>
            </w:pPr>
            <w:r>
              <w:rPr>
                <w:rFonts w:ascii="Arial" w:cs="Arial" w:eastAsia="Arial" w:hAnsi="Arial"/>
                <w:sz w:val="14"/>
                <w:szCs w:val="14"/>
                <w:b w:val="1"/>
                <w:bCs w:val="1"/>
                <w:color w:val="auto"/>
                <w:w w:val="97"/>
              </w:rPr>
              <w:t>SEPTEMBER 30, 2011</w:t>
            </w:r>
          </w:p>
        </w:tc>
        <w:tc>
          <w:tcPr>
            <w:tcW w:w="4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r>
      <w:tr>
        <w:trPr>
          <w:trHeight w:val="152"/>
        </w:trPr>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520"/>
              <w:spacing w:after="0" w:line="153"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U.S.</w:t>
            </w:r>
          </w:p>
        </w:tc>
        <w:tc>
          <w:tcPr>
            <w:tcW w:w="120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60" w:type="dxa"/>
            <w:vAlign w:val="bottom"/>
          </w:tcPr>
          <w:p>
            <w:pPr>
              <w:spacing w:after="0"/>
              <w:rPr>
                <w:sz w:val="13"/>
                <w:szCs w:val="13"/>
                <w:color w:val="auto"/>
              </w:rPr>
            </w:pPr>
          </w:p>
        </w:tc>
        <w:tc>
          <w:tcPr>
            <w:tcW w:w="5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2"/>
        </w:trPr>
        <w:tc>
          <w:tcPr>
            <w:tcW w:w="1160" w:type="dxa"/>
            <w:vAlign w:val="bottom"/>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Pension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Pension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Medical</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1"/>
              </w:rPr>
              <w:t>Pension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3"/>
              </w:rPr>
              <w:t>Medical</w:t>
            </w:r>
          </w:p>
        </w:tc>
        <w:tc>
          <w:tcPr>
            <w:tcW w:w="1140" w:type="dxa"/>
            <w:vAlign w:val="bottom"/>
          </w:tcPr>
          <w:p>
            <w:pPr>
              <w:spacing w:after="0"/>
              <w:rPr>
                <w:sz w:val="16"/>
                <w:szCs w:val="16"/>
                <w:color w:val="auto"/>
              </w:rPr>
            </w:pPr>
          </w:p>
        </w:tc>
      </w:tr>
      <w:tr>
        <w:trPr>
          <w:trHeight w:val="250"/>
        </w:trPr>
        <w:tc>
          <w:tcPr>
            <w:tcW w:w="116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0.3</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2"/>
          </w:tcPr>
          <w:p>
            <w:pPr>
              <w:jc w:val="right"/>
              <w:ind w:right="2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1.2</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Expected return on plan</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Net amortization</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2"/>
          </w:tcPr>
          <w:p>
            <w:pPr>
              <w:jc w:val="right"/>
              <w:ind w:right="2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Curtailment loss</w:t>
            </w:r>
          </w:p>
        </w:tc>
        <w:tc>
          <w:tcPr>
            <w:tcW w:w="4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3"/>
                <w:szCs w:val="23"/>
                <w:color w:val="auto"/>
              </w:rPr>
            </w:pPr>
          </w:p>
        </w:tc>
      </w:tr>
      <w:tr>
        <w:trPr>
          <w:trHeight w:val="237"/>
        </w:trPr>
        <w:tc>
          <w:tcPr>
            <w:tcW w:w="116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5"/>
              </w:rPr>
              <w:t>Net periodic benefit cost</w:t>
            </w:r>
          </w:p>
        </w:tc>
        <w:tc>
          <w:tcPr>
            <w:tcW w:w="340" w:type="dxa"/>
            <w:vAlign w:val="bottom"/>
          </w:tcPr>
          <w:p>
            <w:pPr>
              <w:spacing w:after="0"/>
              <w:rPr>
                <w:sz w:val="20"/>
                <w:szCs w:val="20"/>
                <w:color w:val="auto"/>
              </w:rPr>
            </w:pP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1.5</w:t>
            </w:r>
          </w:p>
        </w:tc>
        <w:tc>
          <w:tcPr>
            <w:tcW w:w="11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September 30, 2012, Scotts Miracle-Gro repurchased 0.4 million of its common shares (the “Common Shares”) for $17.5 million. These repurchases were made pursuant to the $700 million share repurchase program approved by the Scotts Miracle-Gro Board of Directors. Since the inception of the program in the fourth quarter of fiscal 2010 through September 30, 2012, Scotts Miracle-Gro has repurchased approximately 7.9 million Common Shares for $401.2 million to be held in treasury.</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6" w:right="239" w:bottom="1440" w:gutter="0" w:footer="0" w:header="0"/>
          <w:type w:val="continuous"/>
        </w:sectPr>
      </w:pPr>
    </w:p>
    <w:bookmarkStart w:id="216" w:name="page217"/>
    <w:bookmarkEnd w:id="216"/>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 2012</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Options</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59"/>
        </w:trPr>
        <w:tc>
          <w:tcPr>
            <w:tcW w:w="8360" w:type="dxa"/>
            <w:vAlign w:val="bottom"/>
            <w:gridSpan w:val="7"/>
          </w:tcPr>
          <w:p>
            <w:pPr>
              <w:spacing w:after="0"/>
              <w:rPr>
                <w:sz w:val="20"/>
                <w:szCs w:val="20"/>
                <w:color w:val="auto"/>
              </w:rPr>
            </w:pPr>
            <w:r>
              <w:rPr>
                <w:rFonts w:ascii="Arial" w:cs="Arial" w:eastAsia="Arial" w:hAnsi="Arial"/>
                <w:sz w:val="18"/>
                <w:szCs w:val="18"/>
                <w:color w:val="auto"/>
              </w:rPr>
              <w:t>Total share-based compensation recognized was as follows for the periods indicated (in millions):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20" w:type="dxa"/>
            <w:vAlign w:val="bottom"/>
            <w:gridSpan w:val="5"/>
          </w:tcPr>
          <w:p>
            <w:pPr>
              <w:jc w:val="right"/>
              <w:ind w:right="320"/>
              <w:spacing w:after="0" w:line="153"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jc w:val="center"/>
              <w:ind w:right="5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4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nine months ended September 30, 2012, was 37.2%, compared to 36.5% for the nine months ended September 30, 2011.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0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which are discussed below, the Company is no longer subject to examinations by these tax authorities for fiscal years prior to 2009. The Company is currently under examination by certain foreign and U.S. state and local tax authorities. In regard to the local German audit, the tax periods under examination are limited to fiscal years 2004 through 2008. In regard to the local Canadian audit, the tax periods under examination are limited to fiscal years 2009 through 2010. In regard to the U.S. state and local audits, the tax periods under examinations are limited to fiscal years 1997 through 2009. In addition to these aforementioned audits, certain other tax deficiency notices and refund claims for previous years remain unresolved.</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 The Company's identified contingencies include the matters set out below.</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FIFRA Compliance, Corresponding Governmental Investigations and Related Litigation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a description of the Company’s ongoing FIFRA compliance efforts, the corresponding governmental investigations and related matters,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 3. PRODUCT REGISTRATION AND RECALL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Regulatory Matters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2012, $4.9 million was accrued in the “Other liabilities” line in the Condensed Consolidated Balance Sheet for non-FIFRA compliance-related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At September 30, 2012, the notional amount of outstanding foreign currency swap contracts was $146.7 million, with a negative fair value of $1.6 million. At September 30, 2011, the notional amount of outstanding foreign currency swap contracts was $382.4 million, with a fair value of $0.8 million. The fair value of foreign currency swap contracts is determined based on changes in spot rates. The contracts will mature over the next fiscal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September 30, 2012 and September 30, 2011, the Company had outstanding interest rate swap agreements with major financial institutions that effectively converted a portion of the Company’s variable-rate debt to a fixed rate. The swap agreements had a total U.S. dollar equivalent notional amount of $700 million and $900 million at September 30, 2012 and September 30, 2011, respectively. Included in the AOCI balance at September 30, 2012 was a loss of $4.4 million related to interest rate swap agreements that is expected to be reclassified to earnings during the next 12 months, consistent with the timing of the underlying hedged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September 30, 2012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September 30, 2012 was a gain of $0.3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September 30, 2012 was a gain of $0.1 million related to fuel derivatives that is expected to be reclassified to earnings during the next 12 months, consistent with the timing of the underlying hedged transactions.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3600" w:type="dxa"/>
            <w:vAlign w:val="bottom"/>
          </w:tcPr>
          <w:p>
            <w:pPr>
              <w:spacing w:after="0"/>
              <w:rPr>
                <w:sz w:val="14"/>
                <w:szCs w:val="14"/>
                <w:color w:val="auto"/>
              </w:rPr>
            </w:pPr>
          </w:p>
        </w:tc>
        <w:tc>
          <w:tcPr>
            <w:tcW w:w="2360" w:type="dxa"/>
            <w:vAlign w:val="bottom"/>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3260" w:type="dxa"/>
            <w:vAlign w:val="bottom"/>
            <w:gridSpan w:val="3"/>
            <w:vMerge w:val="continue"/>
          </w:tcPr>
          <w:p>
            <w:pPr>
              <w:spacing w:after="0"/>
              <w:rPr>
                <w:sz w:val="13"/>
                <w:szCs w:val="13"/>
                <w:color w:val="auto"/>
              </w:rPr>
            </w:pPr>
          </w:p>
        </w:tc>
        <w:tc>
          <w:tcPr>
            <w:tcW w:w="5820" w:type="dxa"/>
            <w:vAlign w:val="bottom"/>
            <w:gridSpan w:val="2"/>
          </w:tcPr>
          <w:p>
            <w:pPr>
              <w:jc w:val="right"/>
              <w:ind w:right="874"/>
              <w:spacing w:after="0" w:line="158"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3"/>
                <w:szCs w:val="13"/>
                <w:color w:val="auto"/>
              </w:rPr>
            </w:pPr>
          </w:p>
        </w:tc>
        <w:tc>
          <w:tcPr>
            <w:tcW w:w="2200" w:type="dxa"/>
            <w:vAlign w:val="bottom"/>
          </w:tcPr>
          <w:p>
            <w:pPr>
              <w:jc w:val="right"/>
              <w:ind w:right="876"/>
              <w:spacing w:after="0" w:line="158"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36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13,500 tons</w:t>
            </w:r>
          </w:p>
        </w:tc>
        <w:tc>
          <w:tcPr>
            <w:tcW w:w="22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7,500 tons</w:t>
            </w:r>
          </w:p>
        </w:tc>
        <w:tc>
          <w:tcPr>
            <w:tcW w:w="0" w:type="dxa"/>
            <w:vAlign w:val="bottom"/>
          </w:tcPr>
          <w:p>
            <w:pPr>
              <w:spacing w:after="0"/>
              <w:rPr>
                <w:sz w:val="1"/>
                <w:szCs w:val="1"/>
                <w:color w:val="auto"/>
              </w:rPr>
            </w:pPr>
          </w:p>
        </w:tc>
      </w:tr>
      <w:tr>
        <w:trPr>
          <w:trHeight w:val="243"/>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3600" w:type="dxa"/>
            <w:vAlign w:val="bottom"/>
          </w:tcPr>
          <w:p>
            <w:pPr>
              <w:spacing w:after="0"/>
              <w:rPr>
                <w:sz w:val="21"/>
                <w:szCs w:val="21"/>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2,016,000 gallons</w:t>
            </w:r>
          </w:p>
        </w:tc>
        <w:tc>
          <w:tcPr>
            <w:tcW w:w="2200" w:type="dxa"/>
            <w:vAlign w:val="bottom"/>
          </w:tcPr>
          <w:p>
            <w:pPr>
              <w:jc w:val="center"/>
              <w:ind w:left="776"/>
              <w:spacing w:after="0"/>
              <w:rPr>
                <w:sz w:val="20"/>
                <w:szCs w:val="20"/>
                <w:color w:val="auto"/>
              </w:rPr>
            </w:pPr>
            <w:r>
              <w:rPr>
                <w:rFonts w:ascii="Arial" w:cs="Arial" w:eastAsia="Arial" w:hAnsi="Arial"/>
                <w:sz w:val="18"/>
                <w:szCs w:val="18"/>
                <w:color w:val="auto"/>
                <w:w w:val="91"/>
              </w:rPr>
              <w:t>1,344,000 gallons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36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336,000 gallons</w:t>
            </w:r>
          </w:p>
        </w:tc>
        <w:tc>
          <w:tcPr>
            <w:tcW w:w="2200" w:type="dxa"/>
            <w:vAlign w:val="bottom"/>
            <w:tcBorders>
              <w:bottom w:val="single" w:sz="8" w:color="CCEEFF"/>
            </w:tcBorders>
            <w:shd w:val="clear" w:color="auto" w:fill="CCEEFF"/>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3600" w:type="dxa"/>
            <w:vAlign w:val="bottom"/>
          </w:tcPr>
          <w:p>
            <w:pPr>
              <w:spacing w:after="0"/>
              <w:rPr>
                <w:sz w:val="21"/>
                <w:szCs w:val="21"/>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210,000 gallons</w:t>
            </w:r>
          </w:p>
        </w:tc>
        <w:tc>
          <w:tcPr>
            <w:tcW w:w="2200" w:type="dxa"/>
            <w:vAlign w:val="bottom"/>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0" w:type="dxa"/>
            <w:vAlign w:val="bottom"/>
          </w:tcPr>
          <w:p>
            <w:pPr>
              <w:jc w:val="right"/>
              <w:ind w:right="979"/>
              <w:spacing w:after="0"/>
              <w:rPr>
                <w:sz w:val="20"/>
                <w:szCs w:val="20"/>
                <w:color w:val="auto"/>
              </w:rPr>
            </w:pPr>
            <w:r>
              <w:rPr>
                <w:rFonts w:ascii="Arial" w:cs="Arial" w:eastAsia="Arial" w:hAnsi="Arial"/>
                <w:sz w:val="18"/>
                <w:szCs w:val="18"/>
                <w:color w:val="auto"/>
              </w:rPr>
              <w:t>16</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rPr>
              <w:t>ASSETS / (LIABILITIES)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6"/>
          </w:tcPr>
          <w:p>
            <w:pPr>
              <w:jc w:val="right"/>
              <w:ind w:right="115"/>
              <w:spacing w:after="0" w:line="153"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6"/>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right"/>
              <w:ind w:right="11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gridSpan w:val="5"/>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(17.4)</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5"/>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330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vMerge w:val="restart"/>
          </w:tcPr>
          <w:p>
            <w:pPr>
              <w:spacing w:after="0"/>
              <w:rPr>
                <w:sz w:val="18"/>
                <w:szCs w:val="18"/>
                <w:color w:val="auto"/>
              </w:rPr>
            </w:pPr>
          </w:p>
        </w:tc>
        <w:tc>
          <w:tcPr>
            <w:tcW w:w="2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8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(28.3)</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gridSpan w:val="2"/>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78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derivatives not designated as hedging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vMerge w:val="restart"/>
            <w:shd w:val="clear" w:color="auto" w:fill="CCEEFF"/>
          </w:tcPr>
          <w:p>
            <w:pPr>
              <w:spacing w:after="0"/>
              <w:rPr>
                <w:sz w:val="18"/>
                <w:szCs w:val="18"/>
                <w:color w:val="auto"/>
              </w:rPr>
            </w:pP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gridSpan w:val="2"/>
            <w:vMerge w:val="continue"/>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0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(26.1)</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60" w:type="dxa"/>
            <w:vAlign w:val="bottom"/>
            <w:gridSpan w:val="26"/>
          </w:tcPr>
          <w:p>
            <w:pPr>
              <w:ind w:left="440"/>
              <w:spacing w:after="0"/>
              <w:rPr>
                <w:sz w:val="20"/>
                <w:szCs w:val="20"/>
                <w:color w:val="auto"/>
              </w:rPr>
            </w:pPr>
            <w:r>
              <w:rPr>
                <w:rFonts w:ascii="Arial" w:cs="Arial" w:eastAsia="Arial" w:hAnsi="Arial"/>
                <w:sz w:val="18"/>
                <w:szCs w:val="18"/>
                <w:color w:val="auto"/>
                <w:w w:val="90"/>
              </w:rPr>
              <w:t>The effect of derivative instruments on OCI and the Condensed Consolidated Statements of Operations was as follows (in millions):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11"/>
          </w:tcPr>
          <w:p>
            <w:pPr>
              <w:jc w:val="center"/>
              <w:ind w:right="260"/>
              <w:spacing w:after="0"/>
              <w:rPr>
                <w:sz w:val="20"/>
                <w:szCs w:val="20"/>
                <w:color w:val="auto"/>
              </w:rPr>
            </w:pPr>
            <w:r>
              <w:rPr>
                <w:rFonts w:ascii="Arial" w:cs="Arial" w:eastAsia="Arial" w:hAnsi="Arial"/>
                <w:sz w:val="14"/>
                <w:szCs w:val="14"/>
                <w:b w:val="1"/>
                <w:bCs w:val="1"/>
                <w:color w:val="auto"/>
              </w:rPr>
              <w:t>AMOUNT OF GAIN / (LOSS)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1"/>
          </w:tcPr>
          <w:p>
            <w:pPr>
              <w:jc w:val="center"/>
              <w:ind w:right="260"/>
              <w:spacing w:after="0"/>
              <w:rPr>
                <w:sz w:val="20"/>
                <w:szCs w:val="20"/>
                <w:color w:val="auto"/>
              </w:rPr>
            </w:pPr>
            <w:r>
              <w:rPr>
                <w:rFonts w:ascii="Arial" w:cs="Arial" w:eastAsia="Arial" w:hAnsi="Arial"/>
                <w:sz w:val="14"/>
                <w:szCs w:val="14"/>
                <w:b w:val="1"/>
                <w:bCs w:val="1"/>
                <w:color w:val="auto"/>
              </w:rPr>
              <w:t>RECOGNIZED IN OCI</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8"/>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6"/>
          </w:tcPr>
          <w:p>
            <w:pPr>
              <w:jc w:val="center"/>
              <w:ind w:left="154"/>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6"/>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00" w:type="dxa"/>
            <w:vAlign w:val="bottom"/>
          </w:tcPr>
          <w:p>
            <w:pPr>
              <w:spacing w:after="0"/>
              <w:rPr>
                <w:sz w:val="13"/>
                <w:szCs w:val="13"/>
                <w:color w:val="auto"/>
              </w:rPr>
            </w:pPr>
          </w:p>
        </w:tc>
        <w:tc>
          <w:tcPr>
            <w:tcW w:w="1320" w:type="dxa"/>
            <w:vAlign w:val="bottom"/>
            <w:gridSpan w:val="7"/>
          </w:tcPr>
          <w:p>
            <w:pPr>
              <w:jc w:val="right"/>
              <w:ind w:right="220"/>
              <w:spacing w:after="0" w:line="153" w:lineRule="exact"/>
              <w:rPr>
                <w:sz w:val="20"/>
                <w:szCs w:val="20"/>
                <w:color w:val="auto"/>
              </w:rPr>
            </w:pPr>
            <w:r>
              <w:rPr>
                <w:rFonts w:ascii="Arial" w:cs="Arial" w:eastAsia="Arial" w:hAnsi="Arial"/>
                <w:sz w:val="14"/>
                <w:szCs w:val="14"/>
                <w:b w:val="1"/>
                <w:bCs w:val="1"/>
                <w:color w:val="auto"/>
                <w:w w:val="97"/>
              </w:rPr>
              <w:t>SEPTEMBER 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89"/>
              </w:rPr>
              <w:t>2011</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center"/>
              <w:ind w:right="2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4"/>
          </w:tcPr>
          <w:p>
            <w:pPr>
              <w:jc w:val="right"/>
              <w:ind w:right="3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center"/>
              <w:ind w:right="2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0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auto"/>
              </w:rPr>
              <w:t>AMOUNT OF GAIN / (LOSS)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11"/>
          </w:tcPr>
          <w:p>
            <w:pPr>
              <w:jc w:val="center"/>
              <w:ind w:right="120"/>
              <w:spacing w:after="0" w:line="149" w:lineRule="exact"/>
              <w:rPr>
                <w:sz w:val="20"/>
                <w:szCs w:val="20"/>
                <w:color w:val="auto"/>
              </w:rPr>
            </w:pPr>
            <w:r>
              <w:rPr>
                <w:rFonts w:ascii="Arial" w:cs="Arial" w:eastAsia="Arial" w:hAnsi="Arial"/>
                <w:sz w:val="14"/>
                <w:szCs w:val="14"/>
                <w:b w:val="1"/>
                <w:bCs w:val="1"/>
                <w:color w:val="auto"/>
              </w:rPr>
              <w:t>RECLASSIFIED FROM AOCI INTO</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9"/>
          </w:tcPr>
          <w:p>
            <w:pPr>
              <w:jc w:val="center"/>
              <w:ind w:right="90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40" w:type="dxa"/>
            <w:vAlign w:val="bottom"/>
            <w:gridSpan w:val="2"/>
          </w:tcPr>
          <w:p>
            <w:pPr>
              <w:jc w:val="center"/>
              <w:ind w:right="133"/>
              <w:spacing w:after="0" w:line="139" w:lineRule="exact"/>
              <w:rPr>
                <w:sz w:val="20"/>
                <w:szCs w:val="20"/>
                <w:color w:val="auto"/>
              </w:rPr>
            </w:pPr>
            <w:r>
              <w:rPr>
                <w:rFonts w:ascii="Arial" w:cs="Arial" w:eastAsia="Arial" w:hAnsi="Arial"/>
                <w:sz w:val="14"/>
                <w:szCs w:val="14"/>
                <w:b w:val="1"/>
                <w:bCs w:val="1"/>
                <w:color w:val="auto"/>
              </w:rPr>
              <w:t>LOCATION OF GAIN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8"/>
            <w:vMerge w:val="restart"/>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gridSpan w:val="2"/>
          </w:tcPr>
          <w:p>
            <w:pPr>
              <w:jc w:val="center"/>
              <w:ind w:right="153"/>
              <w:spacing w:after="0" w:line="125" w:lineRule="exact"/>
              <w:rPr>
                <w:sz w:val="20"/>
                <w:szCs w:val="20"/>
                <w:color w:val="auto"/>
              </w:rPr>
            </w:pPr>
            <w:r>
              <w:rPr>
                <w:rFonts w:ascii="Arial" w:cs="Arial" w:eastAsia="Arial" w:hAnsi="Arial"/>
                <w:sz w:val="14"/>
                <w:szCs w:val="14"/>
                <w:b w:val="1"/>
                <w:bCs w:val="1"/>
                <w:color w:val="auto"/>
              </w:rPr>
              <w:t>(LOSS) RECLASSIFIED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8"/>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6"/>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273"/>
              <w:spacing w:after="0" w:line="153"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5"/>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6"/>
          </w:tcPr>
          <w:p>
            <w:pPr>
              <w:jc w:val="right"/>
              <w:ind w:right="60"/>
              <w:spacing w:after="0" w:line="153"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4"/>
                <w:szCs w:val="14"/>
                <w:b w:val="1"/>
                <w:bCs w:val="1"/>
                <w:color w:val="auto"/>
              </w:rPr>
              <w:t>AOCI INTO EARNINGS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89"/>
              </w:rPr>
              <w:t>2011</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(10.1)</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320" w:type="dxa"/>
            <w:vAlign w:val="bottom"/>
            <w:gridSpan w:val="3"/>
          </w:tcPr>
          <w:p>
            <w:pPr>
              <w:ind w:left="16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w w:val="87"/>
              </w:rPr>
              <w:t>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color w:val="auto"/>
                <w:w w:val="79"/>
              </w:rPr>
              <w:t>17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20" w:name="page221"/>
    <w:bookmarkEnd w:id="220"/>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AMOUNT OF GAIN / (LOSS)</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92"/>
        </w:trPr>
        <w:tc>
          <w:tcPr>
            <w:tcW w:w="3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RECOGNIZED IN EARNINGS</w:t>
            </w: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r>
      <w:tr>
        <w:trPr>
          <w:trHeight w:val="263"/>
        </w:trPr>
        <w:tc>
          <w:tcPr>
            <w:tcW w:w="31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Borders>
              <w:bottom w:val="single" w:sz="8" w:color="auto"/>
            </w:tcBorders>
          </w:tcPr>
          <w:p>
            <w:pPr>
              <w:spacing w:after="0"/>
              <w:rPr>
                <w:sz w:val="22"/>
                <w:szCs w:val="22"/>
                <w:color w:val="auto"/>
              </w:rPr>
            </w:pPr>
          </w:p>
        </w:tc>
      </w:tr>
      <w:tr>
        <w:trPr>
          <w:trHeight w:val="153"/>
        </w:trPr>
        <w:tc>
          <w:tcPr>
            <w:tcW w:w="31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2920" w:type="dxa"/>
            <w:vAlign w:val="bottom"/>
            <w:gridSpan w:val="2"/>
          </w:tcPr>
          <w:p>
            <w:pPr>
              <w:ind w:left="600"/>
              <w:spacing w:after="0" w:line="153" w:lineRule="exact"/>
              <w:rPr>
                <w:sz w:val="20"/>
                <w:szCs w:val="20"/>
                <w:color w:val="auto"/>
              </w:rPr>
            </w:pPr>
            <w:r>
              <w:rPr>
                <w:rFonts w:ascii="Arial" w:cs="Arial" w:eastAsia="Arial" w:hAnsi="Arial"/>
                <w:sz w:val="14"/>
                <w:szCs w:val="14"/>
                <w:b w:val="1"/>
                <w:bCs w:val="1"/>
                <w:color w:val="auto"/>
              </w:rPr>
              <w:t>LOCATION OF GAIN / (LOSS)</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right"/>
              <w:ind w:right="1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28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6"/>
                <w:szCs w:val="16"/>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1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2012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2011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2012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Quoted Prices in Active</w:t>
            </w: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Markets for Identical Assets</w:t>
            </w: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30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6" w:right="239" w:bottom="1440" w:gutter="0" w:footer="0" w:header="0"/>
          <w:type w:val="continuous"/>
        </w:sectPr>
      </w:pPr>
    </w:p>
    <w:bookmarkStart w:id="222" w:name="page223"/>
    <w:bookmarkEnd w:id="222"/>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0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the Company’s professional seed business, revenues and expenses associated with the Company’s supply agreements with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present summarized financial information concerning the Company’s reportable segments for the periods indicated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7"/>
          </w:tcPr>
          <w:p>
            <w:pPr>
              <w:jc w:val="right"/>
              <w:ind w:right="792"/>
              <w:spacing w:after="0"/>
              <w:rPr>
                <w:sz w:val="20"/>
                <w:szCs w:val="20"/>
                <w:color w:val="auto"/>
              </w:rPr>
            </w:pPr>
            <w:r>
              <w:rPr>
                <w:rFonts w:ascii="Arial" w:cs="Arial" w:eastAsia="Arial" w:hAnsi="Arial"/>
                <w:sz w:val="14"/>
                <w:szCs w:val="14"/>
                <w:b w:val="1"/>
                <w:bCs w:val="1"/>
                <w:color w:val="auto"/>
              </w:rPr>
              <w:t>NINE MONTHS</w:t>
            </w:r>
          </w:p>
        </w:tc>
      </w:tr>
      <w:tr>
        <w:trPr>
          <w:trHeight w:val="192"/>
        </w:trPr>
        <w:tc>
          <w:tcPr>
            <w:tcW w:w="56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4"/>
                <w:szCs w:val="14"/>
                <w:b w:val="1"/>
                <w:bCs w:val="1"/>
                <w:color w:val="auto"/>
              </w:rPr>
              <w:t>ENDED</w:t>
            </w:r>
          </w:p>
        </w:tc>
        <w:tc>
          <w:tcPr>
            <w:tcW w:w="104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13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20" w:type="dxa"/>
            <w:vAlign w:val="bottom"/>
          </w:tcPr>
          <w:p>
            <w:pPr>
              <w:spacing w:after="0"/>
              <w:rPr>
                <w:sz w:val="13"/>
                <w:szCs w:val="13"/>
                <w:color w:val="auto"/>
              </w:rPr>
            </w:pPr>
          </w:p>
        </w:tc>
        <w:tc>
          <w:tcPr>
            <w:tcW w:w="13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260" w:type="dxa"/>
            <w:vAlign w:val="bottom"/>
            <w:gridSpan w:val="4"/>
          </w:tcPr>
          <w:p>
            <w:pPr>
              <w:jc w:val="right"/>
              <w:ind w:right="40"/>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52"/>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5620" w:type="dxa"/>
            <w:vAlign w:val="bottom"/>
          </w:tcPr>
          <w:p>
            <w:pPr>
              <w:spacing w:after="0"/>
              <w:rPr>
                <w:sz w:val="16"/>
                <w:szCs w:val="16"/>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579"/>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2,649.7</w:t>
            </w:r>
          </w:p>
        </w:tc>
        <w:tc>
          <w:tcPr>
            <w:tcW w:w="100" w:type="dxa"/>
            <w:vAlign w:val="bottom"/>
          </w:tcPr>
          <w:p>
            <w:pPr>
              <w:spacing w:after="0"/>
              <w:rPr>
                <w:sz w:val="21"/>
                <w:szCs w:val="21"/>
                <w:color w:val="auto"/>
              </w:rPr>
            </w:pPr>
          </w:p>
        </w:tc>
        <w:tc>
          <w:tcPr>
            <w:tcW w:w="4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2,225.2</w:t>
            </w: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7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2,873.8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2,377.4</w:t>
            </w: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78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ind w:right="69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2,873.0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2,418.5</w:t>
            </w:r>
          </w:p>
        </w:tc>
      </w:tr>
      <w:tr>
        <w:trPr>
          <w:trHeight w:val="67"/>
        </w:trPr>
        <w:tc>
          <w:tcPr>
            <w:tcW w:w="562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579"/>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21"/>
                <w:szCs w:val="21"/>
                <w:color w:val="auto"/>
              </w:rPr>
            </w:pPr>
          </w:p>
        </w:tc>
        <w:tc>
          <w:tcPr>
            <w:tcW w:w="4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453.8</w:t>
            </w: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7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456.5</w:t>
            </w: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56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78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center"/>
              <w:ind w:right="57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r>
      <w:tr>
        <w:trPr>
          <w:trHeight w:val="484"/>
        </w:trPr>
        <w:tc>
          <w:tcPr>
            <w:tcW w:w="5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9"/>
              </w:rPr>
              <w:t>SEPTEMBER 30,</w:t>
            </w:r>
          </w:p>
        </w:tc>
        <w:tc>
          <w:tcPr>
            <w:tcW w:w="172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4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51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8"/>
                <w:szCs w:val="18"/>
                <w:color w:val="auto"/>
              </w:rPr>
              <w:t>1,676.4</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1,552.4</w:t>
            </w: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315.5</w:t>
            </w:r>
          </w:p>
        </w:tc>
      </w:tr>
      <w:tr>
        <w:trPr>
          <w:trHeight w:val="27"/>
        </w:trPr>
        <w:tc>
          <w:tcPr>
            <w:tcW w:w="56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2,074.4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8"/>
          <w:szCs w:val="18"/>
          <w:i w:val="1"/>
          <w:iCs w:val="1"/>
          <w:color w:val="auto"/>
        </w:rPr>
        <w:t>Financial Statements</w:t>
      </w:r>
    </w:p>
    <w:p>
      <w:pPr>
        <w:sectPr>
          <w:pgSz w:w="11900" w:h="16838" w:orient="portrait"/>
          <w:cols w:equalWidth="0" w:num="1">
            <w:col w:w="11420"/>
          </w:cols>
          <w:pgMar w:left="240" w:top="12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6" w:right="239" w:bottom="1440" w:gutter="0" w:footer="0" w:header="0"/>
          <w:type w:val="continuous"/>
        </w:sectPr>
      </w:pPr>
    </w:p>
    <w:bookmarkStart w:id="223" w:name="page224"/>
    <w:bookmarkEnd w:id="223"/>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of Guarantors and Issuers of Guaranteed Securities Registered or Being Registered</w:t>
      </w:r>
      <w:r>
        <w:rPr>
          <w:rFonts w:ascii="Arial" w:cs="Arial" w:eastAsia="Arial" w:hAnsi="Arial"/>
          <w:sz w:val="17"/>
          <w:szCs w:val="17"/>
          <w:color w:val="auto"/>
        </w:rPr>
        <w:t>. The following 100% directly or indirectly owned subsidiaries fully and</w:t>
      </w:r>
      <w:r>
        <w:rPr>
          <w:rFonts w:ascii="Arial" w:cs="Arial" w:eastAsia="Arial" w:hAnsi="Arial"/>
          <w:sz w:val="17"/>
          <w:szCs w:val="17"/>
          <w:i w:val="1"/>
          <w:iCs w:val="1"/>
          <w:color w:val="auto"/>
        </w:rPr>
        <w:t xml:space="preserve"> </w:t>
      </w:r>
      <w:r>
        <w:rPr>
          <w:rFonts w:ascii="Arial" w:cs="Arial" w:eastAsia="Arial" w:hAnsi="Arial"/>
          <w:sz w:val="17"/>
          <w:szCs w:val="17"/>
          <w:color w:val="auto"/>
        </w:rPr>
        <w:t>unconditionally guarantee the Senior Notes on a joint and several basis: EG Systems, Inc., dba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 SMG Brands, Inc. was added as a Guarantor of the Senior Notes on September 28, 2011. Accordingly, SMG Brands, Inc. has been classified as a Guarantor for all periods presented in the condensed consolidating financial information accompanying this Note 16.</w:t>
      </w:r>
    </w:p>
    <w:p>
      <w:pPr>
        <w:spacing w:after="0" w:line="11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twelve months ended September 30, 2012 and September 30, 2011, Condensed Consolidating Statements of Cash Flows for the nine months ended September 30, 2012 and September 30, 2011, and Condensed Consolidating Balance Sheets as of September 30, 2012, September 30, 2011 and September 30, 2012.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months ended September 30, 2012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5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6" w:right="399" w:bottom="1440" w:gutter="0" w:footer="0" w:header="0"/>
        </w:sectPr>
      </w:pPr>
    </w:p>
    <w:bookmarkStart w:id="225" w:name="page226"/>
    <w:bookmarkEnd w:id="225"/>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26" w:name="page227"/>
    <w:bookmarkEnd w:id="226"/>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1,769.0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Proceeds from sale of business, net of transaction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contingent consideration and related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issuance of Senior Notes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31" w:name="page232"/>
    <w:bookmarkEnd w:id="231"/>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1,758.9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4000" w:type="dxa"/>
            <w:vAlign w:val="bottom"/>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87"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undertook a number of important initiatives in fiscal 2012 to stimulate growth in the lawn and garden category and increase our market share. The most significant of those initiatives were: (1) increased support of our brands through increased advertising, and (2) a decision to hold prices to our customers flat, despite increased commodity costs. While we have seen some response to our initiatives, the resulting growth in consumer demand, and sales in our Global Consumer segment, have fallen materially short of expectations. At the beginning of the year, income from operations in fiscal 2012 was expected to remain relatively flat to prior year, with expected growth in sales offsetting the impact of our initiatives. As category growth has fallen short of expectations in fiscal 2012, we now expect income from operations to decline relative to fiscal 2011. Management has moderated expectations for near-term growth and is planning actions, including price increases, to recover a portion of the decline in operating income from fiscal 2011.</w:t>
      </w:r>
    </w:p>
    <w:p>
      <w:pPr>
        <w:spacing w:after="0" w:line="8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February 28, 2011, we completed the sale of a significant majority of the assets of our Global Professional business (excluding our non-European professional seed business, “Global Pro”) to Israel Chemicals Ltd. (“ICL”) for $270 million in an all-cash transaction, subject to certain adjustments, resulting in $270.9 million net proceeds. Effective in our first quarter of fiscal 2011, we classified Global Pro as discontinued operations. Prior to being reported as discontinued operations, Global Pro was included as part of our former Global Professional business segment. Results for our professional seed business have been classified to Corporate &amp; Other.</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8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13335</wp:posOffset>
            </wp:positionV>
            <wp:extent cx="2855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500"/>
              <w:spacing w:after="0"/>
              <w:rPr>
                <w:sz w:val="20"/>
                <w:szCs w:val="20"/>
                <w:color w:val="auto"/>
              </w:rPr>
            </w:pPr>
            <w:r>
              <w:rPr>
                <w:rFonts w:ascii="Arial" w:cs="Arial" w:eastAsia="Arial" w:hAnsi="Arial"/>
                <w:sz w:val="14"/>
                <w:szCs w:val="14"/>
                <w:b w:val="1"/>
                <w:bCs w:val="1"/>
                <w:color w:val="auto"/>
                <w:w w:val="89"/>
              </w:rPr>
              <w:t>2011</w:t>
            </w: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2009</w:t>
            </w:r>
          </w:p>
        </w:tc>
      </w:tr>
      <w:tr>
        <w:trPr>
          <w:trHeight w:val="250"/>
        </w:trPr>
        <w:tc>
          <w:tcPr>
            <w:tcW w:w="6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39.9%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36.2%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6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86"/>
        </w:trPr>
        <w:tc>
          <w:tcPr>
            <w:tcW w:w="6920" w:type="dxa"/>
            <w:vAlign w:val="bottom"/>
          </w:tcPr>
          <w:p>
            <w:pPr>
              <w:ind w:left="5620"/>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Scotts Miracle-Gro Board of Directors has authorized the repurchase of up to $700 million of our Common Shares through September 30, 2014. Further, on August 9, 2012, we announced that the Scotts Miracle-Gro Board of Directors had increased our quarterly dividend from $0.30 to $0.325 per Common Share. The decision to increase the amount of cash we intend to return to our shareholders reflects our continued confidence in the business and our desire to maintain a consistent capital structure. From the inception of the share repurchase program in the fourth quarter of fiscal 2010 through the third quarter of fiscal 2012, we have repurchased approximately 7.8 million of our Common Shares in open market transactions for $401.2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Registration and Recall Matters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DOJ in related civil and criminal investigations into the pesticide product registration issues as well as a state civil investigation into related allegations arising under state pesticide registration laws and regulations.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In late April of 2008, in connection with the U.S. EPA’s investigation, we conducted a consumer-level recall of certain consumer lawn and garden products and 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2009, fiscal 2010 or fiscal 2011 sales and are not expected to materially affect our fiscal 2012 sales.</w:t>
      </w:r>
    </w:p>
    <w:p>
      <w:pPr>
        <w:spacing w:after="0" w:line="1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wild bird food recall did not materially affect our fiscal 2009, fiscal 2010 or fiscal 2011 financial condition, results of operations or cash flows and are not expected to affect the Company's fiscal 2012 financial condition, result of operations or cash flows.</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Settlement discussions relating to potential fines and/or penalties are a frequent outgrowth of governmental investigations. In that regard, on or about June 30, 2011, we received a Notice of Intent to File Administrative Complaint from the U.S. EPA Region 5 with respect to the alleged FIFRA violations. The Notice, which did not set forth a proposed penalty amount, offered us an opportunity to present any information that we believed the U.S. EPA should consider prior to filing the complaint and indicated that the U.S. EPA was prepared to meet with us to discuss the alleged violations. We made a timely response to the Notice and settlement discussions between us and the U.S. EPA are ongoing.</w:t>
      </w:r>
    </w:p>
    <w:p>
      <w:pPr>
        <w:spacing w:after="0" w:line="10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previously disclosed, we have also been engaged in settlement discussions with the U.S. DOJ regarding its criminal investigation. On January 25, 2012, a Plea Agreement, executed by us and the U.S. DOJ, was filed with the United States District Court for the Southern District of Ohio. Under the terms of the Plea Agreement, we agreed to plead guilty to 11 counts of violating FIFRA and the regulations promulgated thereunder, to pay a $4 million penalty to the United States and to provide $0.1 million to each of the following programs designed to enhance and protect the natural environment, particularly habitats for the bird populations that the U.S. EPA’s regulation of pesticides is designed to protect: (1) Ohio Audubon’s Important Bird Area Program; (2) Ohio Department of Natural Resources’ Urban Forestry Program; (3) Columbus Metro-Parks Bird Habitat Enhancement Program; (4) Cornell University Ornithology Laboratory; and (5) The Nature Conservancy of Ohio. In exchange for our guilty plea and the other promises contained in the Plea Agreement, the U.S. DOJ agreed not to criminally prosecute us for any other federal crimes relating to any potential FIFRA violations known to the government as of the date of the Plea Agreement. On March 13, 2012, the court accepted our guilty plea, but delayed sentencing thereon to an unspecified later date. Our previously established accrual includes the full amount of the proposed criminal penalty and other amounts payable under the Plea Agreement.</w:t>
      </w:r>
    </w:p>
    <w:p>
      <w:pPr>
        <w:spacing w:after="0" w:line="8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U.S. EPA and related state investigations continue and the court has not yet issued its sentence with respect to the Plea Agreement between us and the U.S. DOJ. In addition, we may be subject to additional judgments, settlements, fines and/or penalties as a result of federal, state or private actions with respect to known or potential additional product registration issues. Accordingly, we cannot reasonably estimate the total scope or magnitude of all possible liabilities that could result from known or potential product registration issues. Based on the facts and circumstances known to us at this time (including settlement discussions that have taken place to date and the Plea Agreement), we have established what we believe to be an appropriate accrual. It is possible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235" w:name="page236"/>
    <w:bookmarkEnd w:id="235"/>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any fines and/or penalties with respect to the investigations, as well as any judgments, litigation costs or other liabilities relating to such known or potential product registration issues, could exceed the amount of the accrual and could have an adverse effect on our financial condition, results of operations or cash flows.</w:t>
      </w:r>
    </w:p>
    <w:p>
      <w:pPr>
        <w:spacing w:after="0" w:line="10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of these registration and recall matters, we have recorded charges for affected inventory and other registration and recall-related costs. The effects of these adjustments, including the accruals noted above, were pre-tax charges of $4.0 million and $6.8 million for the three month periods, and $7.8 million and $11.0 million for the twelve month periods, ended September 30, 2012 and September 30, 2011, respectively. We expect that future charges will include costs associated with the rework of certain finished goods inventories, the potential disposal of certain products and ongoing third-party professional services related to the U.S. EPA, U.S. DOJ and state investigations. It may also be appropriate to establish additional accruals as settlement discussions continue or in connection with other actions or potential liabilities arising in connection with the product registration and recall issues.</w:t>
      </w:r>
    </w:p>
    <w:p>
      <w:pPr>
        <w:spacing w:after="0" w:line="3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Global Pro as discontinued operations, for all periods presented, beginning in our first quarter of fiscal 2011. As a result, and unless specifically stated, all discussions regarding results for the three and twelve months ended September 30, 2012 and September 30, 2011,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80" w:type="dxa"/>
            <w:vAlign w:val="bottom"/>
          </w:tcPr>
          <w:p>
            <w:pPr>
              <w:spacing w:after="0"/>
              <w:rPr>
                <w:sz w:val="13"/>
                <w:szCs w:val="13"/>
                <w:color w:val="auto"/>
              </w:rPr>
            </w:pPr>
          </w:p>
        </w:tc>
        <w:tc>
          <w:tcPr>
            <w:tcW w:w="15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30,</w:t>
            </w:r>
          </w:p>
        </w:tc>
        <w:tc>
          <w:tcPr>
            <w:tcW w:w="15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Pr>
          <w:p>
            <w:pPr>
              <w:jc w:val="right"/>
              <w:ind w:right="32"/>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51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2011</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73"/>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63.2</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1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37"/>
        </w:trPr>
        <w:tc>
          <w:tcPr>
            <w:tcW w:w="518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44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36.0</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jc w:val="right"/>
              <w:ind w:right="17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24.5</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1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0.4</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4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9.8</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1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440" w:type="dxa"/>
            <w:vAlign w:val="bottom"/>
          </w:tcPr>
          <w:p>
            <w:pPr>
              <w:jc w:val="right"/>
              <w:ind w:right="17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1.8</w:t>
            </w:r>
          </w:p>
        </w:tc>
      </w:tr>
      <w:tr>
        <w:trPr>
          <w:trHeight w:val="27"/>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8.0</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3.0</w:t>
            </w:r>
          </w:p>
        </w:tc>
      </w:tr>
      <w:tr>
        <w:trPr>
          <w:trHeight w:val="27"/>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w:t>
            </w:r>
          </w:p>
        </w:tc>
      </w:tr>
      <w:tr>
        <w:trPr>
          <w:trHeight w:val="27"/>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September 30, 2012, were $0.401 billion, an decrease of (0.5)% from net sales of $0.403 billion for the three months ended September 30, 2011. Net sales for the nine months ended September 30, 2012, were $2.826 billion, an increase of 0.9% from net sales of $2.800 billion for the nine months ended September 30, 2011. The change in net sales was attributable to the following: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6" w:right="23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440" w:type="dxa"/>
            <w:vAlign w:val="bottom"/>
          </w:tcPr>
          <w:p>
            <w:pPr>
              <w:jc w:val="center"/>
              <w:ind w:left="52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jc w:val="right"/>
              <w:ind w:right="43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6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97"/>
              </w:rPr>
              <w:t>SEPTEMBER 30, 2012</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SEPTEMBER 30, 2012</w:t>
            </w: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Pricing</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0" w:type="dxa"/>
            <w:vAlign w:val="bottom"/>
          </w:tcPr>
          <w:p>
            <w:pPr>
              <w:jc w:val="right"/>
              <w:ind w:right="155"/>
              <w:spacing w:after="0"/>
              <w:rPr>
                <w:sz w:val="20"/>
                <w:szCs w:val="20"/>
                <w:color w:val="auto"/>
              </w:rPr>
            </w:pPr>
            <w:r>
              <w:rPr>
                <w:rFonts w:ascii="Arial" w:cs="Arial" w:eastAsia="Arial" w:hAnsi="Arial"/>
                <w:sz w:val="18"/>
                <w:szCs w:val="18"/>
                <w:color w:val="auto"/>
              </w:rPr>
              <w:t>0.7</w:t>
            </w:r>
          </w:p>
        </w:tc>
      </w:tr>
      <w:tr>
        <w:trPr>
          <w:trHeight w:val="27"/>
        </w:trPr>
        <w:tc>
          <w:tcPr>
            <w:tcW w:w="5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(0.7)</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0" w:type="dxa"/>
            <w:vAlign w:val="bottom"/>
          </w:tcPr>
          <w:p>
            <w:pPr>
              <w:jc w:val="right"/>
              <w:ind w:right="155"/>
              <w:spacing w:after="0"/>
              <w:rPr>
                <w:sz w:val="20"/>
                <w:szCs w:val="20"/>
                <w:color w:val="auto"/>
              </w:rPr>
            </w:pPr>
            <w:r>
              <w:rPr>
                <w:rFonts w:ascii="Arial" w:cs="Arial" w:eastAsia="Arial" w:hAnsi="Arial"/>
                <w:sz w:val="18"/>
                <w:szCs w:val="18"/>
                <w:color w:val="auto"/>
              </w:rPr>
              <w:t>0.2</w:t>
            </w:r>
          </w:p>
        </w:tc>
      </w:tr>
      <w:tr>
        <w:trPr>
          <w:trHeight w:val="27"/>
        </w:trPr>
        <w:tc>
          <w:tcPr>
            <w:tcW w:w="566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increase</w:t>
            </w:r>
          </w:p>
        </w:tc>
        <w:tc>
          <w:tcPr>
            <w:tcW w:w="24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and twelve months ended September 30, 2012,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increased volume in our Global Consumer segment, driven by an increase in U.S. Consumer sales of mulch and controls products, partially offset by a decline in Europe and grass seed products;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increases in sales within Corporate &amp; Other for the nine months ended June 30, 2012, related to ICL supply agreements, which were entered into in connection with the sale of Global Pro in February 2011;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partially offset by the unfavorable impact of foreign exchange rates as a results of the strengthening of the U.S. dollar relative to other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1,079.5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4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Roundup reimbursements</w:t>
            </w:r>
          </w:p>
        </w:tc>
        <w:tc>
          <w:tcPr>
            <w:tcW w:w="4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1,864.4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1,769.0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1,864.8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1,790.5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tcPr>
          <w:p>
            <w:pPr>
              <w:jc w:val="right"/>
              <w:ind w:right="15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9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SEPTEMBER 30, 2012</w:t>
            </w: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2012</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25.4</w:t>
            </w:r>
          </w:p>
        </w:tc>
      </w:tr>
      <w:tr>
        <w:trPr>
          <w:trHeight w:val="27"/>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shd w:val="clear" w:color="auto" w:fill="CCEEFF"/>
          </w:tcPr>
          <w:p>
            <w:pPr>
              <w:spacing w:after="0"/>
              <w:rPr>
                <w:sz w:val="23"/>
                <w:szCs w:val="23"/>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15.9</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6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cost of sales, excluding product registration and recall matters, for the three and twelve months ended September 30, 2012, was primarily driven by:</w:t>
      </w:r>
    </w:p>
    <w:p>
      <w:pPr>
        <w:spacing w:after="0" w:line="76"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increase in material costs primarily related to packaging for products and fertilizer inputs;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impact of higher sales volume, including increased costs for distribution and warehousing as a result of an early season surge in consumer activity and continued and unplanned surge in mulch volume;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higher reimbursements attributable to our marketing agreement with Monsanto;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partially offset by the favorable impact of foreign exchange rates as a result of the strengthening of the U.S. dollar relative to other currencies.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6" w:right="239" w:bottom="1440" w:gutter="0" w:footer="0" w:header="0"/>
          <w:type w:val="continuous"/>
        </w:sectPr>
      </w:pPr>
    </w:p>
    <w:bookmarkStart w:id="237" w:name="page238"/>
    <w:bookmarkEnd w:id="237"/>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26.2% and 23.7% for the three months ended September 30, 2012 and September 30, 2011 respectively. As a percentage of net sales, our gross profit rate was 34.0% and 36.0% for the nine months ended September 30, 2012 and September 30, 2011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tcPr>
          <w:p>
            <w:pPr>
              <w:jc w:val="right"/>
              <w:ind w:right="25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66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SEPTEMBER 30, 2012</w:t>
            </w:r>
          </w:p>
        </w:tc>
        <w:tc>
          <w:tcPr>
            <w:tcW w:w="2260" w:type="dxa"/>
            <w:vAlign w:val="bottom"/>
          </w:tcPr>
          <w:p>
            <w:pPr>
              <w:jc w:val="right"/>
              <w:ind w:right="334"/>
              <w:spacing w:after="0"/>
              <w:rPr>
                <w:sz w:val="20"/>
                <w:szCs w:val="20"/>
                <w:color w:val="auto"/>
              </w:rPr>
            </w:pPr>
            <w:r>
              <w:rPr>
                <w:rFonts w:ascii="Arial" w:cs="Arial" w:eastAsia="Arial" w:hAnsi="Arial"/>
                <w:sz w:val="14"/>
                <w:szCs w:val="14"/>
                <w:b w:val="1"/>
                <w:bCs w:val="1"/>
                <w:color w:val="auto"/>
              </w:rPr>
              <w:t>SEPTEMBER 30, 2012</w:t>
            </w: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Pr>
          <w:p>
            <w:pPr>
              <w:jc w:val="right"/>
              <w:ind w:right="7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60" w:type="dxa"/>
            <w:vAlign w:val="bottom"/>
          </w:tcPr>
          <w:p>
            <w:pPr>
              <w:jc w:val="right"/>
              <w:ind w:right="114"/>
              <w:spacing w:after="0"/>
              <w:rPr>
                <w:sz w:val="20"/>
                <w:szCs w:val="20"/>
                <w:color w:val="auto"/>
              </w:rPr>
            </w:pPr>
            <w:r>
              <w:rPr>
                <w:rFonts w:ascii="Arial" w:cs="Arial" w:eastAsia="Arial" w:hAnsi="Arial"/>
                <w:sz w:val="18"/>
                <w:szCs w:val="18"/>
                <w:color w:val="auto"/>
              </w:rPr>
              <w:t>(2.5)</w:t>
            </w:r>
          </w:p>
        </w:tc>
      </w:tr>
      <w:tr>
        <w:trPr>
          <w:trHeight w:val="27"/>
        </w:trPr>
        <w:tc>
          <w:tcPr>
            <w:tcW w:w="6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70"/>
        </w:trPr>
        <w:tc>
          <w:tcPr>
            <w:tcW w:w="666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tcPr>
          <w:p>
            <w:pPr>
              <w:jc w:val="right"/>
              <w:ind w:right="7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2260" w:type="dxa"/>
            <w:vAlign w:val="bottom"/>
          </w:tcPr>
          <w:p>
            <w:pPr>
              <w:jc w:val="right"/>
              <w:ind w:right="114"/>
              <w:spacing w:after="0"/>
              <w:rPr>
                <w:sz w:val="20"/>
                <w:szCs w:val="20"/>
                <w:color w:val="auto"/>
              </w:rPr>
            </w:pPr>
            <w:r>
              <w:rPr>
                <w:rFonts w:ascii="Arial" w:cs="Arial" w:eastAsia="Arial" w:hAnsi="Arial"/>
                <w:sz w:val="18"/>
                <w:szCs w:val="18"/>
                <w:color w:val="auto"/>
              </w:rPr>
              <w:t>(0.1)</w:t>
            </w: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36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60" w:type="dxa"/>
            <w:vAlign w:val="bottom"/>
          </w:tcPr>
          <w:p>
            <w:pPr>
              <w:jc w:val="right"/>
              <w:ind w:right="114"/>
              <w:spacing w:after="0"/>
              <w:rPr>
                <w:sz w:val="20"/>
                <w:szCs w:val="20"/>
                <w:color w:val="auto"/>
              </w:rPr>
            </w:pPr>
            <w:r>
              <w:rPr>
                <w:rFonts w:ascii="Arial" w:cs="Arial" w:eastAsia="Arial" w:hAnsi="Arial"/>
                <w:sz w:val="18"/>
                <w:szCs w:val="18"/>
                <w:color w:val="auto"/>
              </w:rPr>
              <w:t>(0.5)</w:t>
            </w:r>
          </w:p>
        </w:tc>
      </w:tr>
      <w:tr>
        <w:trPr>
          <w:trHeight w:val="27"/>
        </w:trPr>
        <w:tc>
          <w:tcPr>
            <w:tcW w:w="66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54"/>
              <w:spacing w:after="0"/>
              <w:rPr>
                <w:sz w:val="20"/>
                <w:szCs w:val="20"/>
                <w:color w:val="auto"/>
              </w:rPr>
            </w:pPr>
            <w:r>
              <w:rPr>
                <w:rFonts w:ascii="Arial" w:cs="Arial" w:eastAsia="Arial" w:hAnsi="Arial"/>
                <w:sz w:val="18"/>
                <w:szCs w:val="18"/>
                <w:color w:val="auto"/>
              </w:rPr>
              <w:t>0.1</w:t>
            </w:r>
          </w:p>
        </w:tc>
      </w:tr>
      <w:tr>
        <w:trPr>
          <w:trHeight w:val="27"/>
        </w:trPr>
        <w:tc>
          <w:tcPr>
            <w:tcW w:w="66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the gross profit rate, excluding product registration and recall matters, for the three and twelve months ended September 30, 2012, was primarily driven by:</w:t>
      </w:r>
    </w:p>
    <w:p>
      <w:pPr>
        <w:spacing w:after="0" w:line="76"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material costs attributable primarily to packaging for products and fertilizer inputs;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negative product mix within the U.S., driven by increased sales of mulch products, and international;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costs for distribution and warehousing as a result of an early season surge in consumer activity and continued and unplanned surge in mulch volume;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sales for the nine-month period associated with our supply agreements with ICL, which commenced with the sale of Global Pro in February 2011 and do not generate profit.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30, 2012</w:t>
            </w:r>
          </w:p>
        </w:tc>
        <w:tc>
          <w:tcPr>
            <w:tcW w:w="120" w:type="dxa"/>
            <w:vAlign w:val="bottom"/>
          </w:tcPr>
          <w:p>
            <w:pPr>
              <w:spacing w:after="0"/>
              <w:rPr>
                <w:sz w:val="13"/>
                <w:szCs w:val="13"/>
                <w:color w:val="auto"/>
              </w:rPr>
            </w:pPr>
          </w:p>
        </w:tc>
        <w:tc>
          <w:tcPr>
            <w:tcW w:w="13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Pr>
          <w:p>
            <w:pPr>
              <w:spacing w:after="0"/>
              <w:rPr>
                <w:sz w:val="13"/>
                <w:szCs w:val="13"/>
                <w:color w:val="auto"/>
              </w:rPr>
            </w:pPr>
          </w:p>
        </w:tc>
        <w:tc>
          <w:tcPr>
            <w:tcW w:w="124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97"/>
              </w:rPr>
              <w:t>SEPTEMBER 30,</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(“SG&amp;A”) expenses increased $12.2 million, or 8.9%, to $148.6 million for the third quarter and $19.4 million, or 2.8%, to $705.7 million for the first twelve months of fiscal 2012 compared to the same periods of fiscal 2011. Our planned increase in media and marketing initiatives resulted in higher advertising expenses of $7.7 million and $25.4 million for the three and twelve months ended September 30, 2012, respectively. The decrease in other SG&amp;A for the first twelve months of fiscal 2012 was driven by a $6.7 million decrease in severance expenses and a $6.5 million decrease in bad debt expense associated with a customer bankruptcy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Registration and Recall Matters</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recorded $0.4 million and $7.8 million of SG&amp;A-related product registration and recall costs during the three and twelve months ended September 30, 2012, respectively. These costs primarily related to additional accruals made within fiscal 2012 for potential fines and penalties in connection with the U.S. EPA investigation, as well as legal and consulting fees. For the three and twelve months ended September 30, 2011, we recorded $3.6 million and $11.4 million of SG&amp;A-related product registration and recall costs, respectively, primarily related to accruals established in the third quarter of fiscal 2011 in connection with the U.S. EPA and U.S. DOJ investigations, as well as third-party compliance review, legal and consultant fees.</w:t>
      </w:r>
    </w:p>
    <w:p>
      <w:pPr>
        <w:sectPr>
          <w:pgSz w:w="11900" w:h="16838" w:orient="portrait"/>
          <w:cols w:equalWidth="0" w:num="1">
            <w:col w:w="11420"/>
          </w:cols>
          <w:pgMar w:left="240" w:top="126"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type w:val="continuous"/>
        </w:sectPr>
      </w:pPr>
    </w:p>
    <w:bookmarkStart w:id="238" w:name="page239"/>
    <w:bookmarkEnd w:id="238"/>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Charges</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For the three months ended September 30, 2012, we recognized income of $0.0 million associated with the resolution of certain international restructuring activities. For the nine months ended September 30, 2012, we incurred $7.1 million of impairment, restructuring and other charges. In continuation of the restructuring plan we initiated in fiscal 2011, we incurred $1.8 million in restructuring costs in the first nine months of fiscal 2012. These costs consisted primarily of $1.3 million of termination benefits provided to employees who accepted voluntary retirement, $0.5 million of special termination benefits to be provided to certain employees upon future separation and $0.2 million related to curtailment charges for our U.S. defined benefit pension and U.S retiree medical plans. Further, for the nine months ended September 30, 2012, we recognized a $5.3 million asset impairment charge as a result of issues with commercialization of products including the active ingredient MAT28 for the Global Consumer segment. Also included is a $0.5 million impairment charge related to our investment in Turf-Seed (Europe) Limited.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6"/>
          <w:szCs w:val="16"/>
          <w:color w:val="auto"/>
        </w:rPr>
        <w:t>Other income was $0.7 million and $2.9 million for the three and twelve months ended September 30, 2012, respectively, compared to $3.0 million and $0.9 million for the three and twelve months ended September 30, 2011, respectively. Other income is comprised of activities outside our normal business operations, such as royalty income from the licensing of certain of our brand names, franchise fee income from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foreign exchange gains/losses and gains/losses from the sale of non-inventory assets. The respective changes from fiscal 2011 were not significant.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Interest expense was $12.0 million and $61.8 million for the three and twelve months ended September 30, 2012, respectively, compared to $13.7 million and $51.0 million for the three and twelve months ended September 30, 2011, respectively. Excluding the impact of foreign exchange rates, average borrowings increased by approximately $143.9 million and $146.8 million during the three and twelve months ended September 30, 2012, respectively, as compared to the same prior year periods. The increase in interest expense for the three months ended September 30, 2012 was attributable to an increase in average borrowings, partially offset by a decline in our weighted average interest rates of 22 basis points associated with the expiration of a 5.20% interest rate swap agreement in the second quarter of fiscal 2012. The increase in interest expense for the nine months ended September 30, 2012 was primarily attributable to an increase in average borrowings and the impact of higher rates associated with our new financing structure. During the nine months ended September 30, 2012, our weighted average interest rate increased by 42 basis points. The year-to-date increase was driven by the higher margin rates in our new credit facility and the full year-to-date impact of the 6.625% Senior Notes issued on December 16, 2010, partially offset by a decline in our weighted average interest rates primarily associated with the expiration of a 5.20% interest rate swap agreement in the second quarter of fiscal 2012.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tax rate related to continuing operations for the nine months ended September 30, 2012 was 37.2% compared to 36.5% for the nine months ended September 30, 2011. The effective tax rate used for interim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Income from continuing operations was $36.6 million, or $0.60 per diluted share, for the third quarter of fiscal 2012 compared to $62.0 million, or $1.00 per diluted share, for the third quarter of fiscal 2011. Income from continuing operations for the first twelve months of fiscal 2012 was $113.2 million, or $1.82 per diluted share, versus $139.9 million, or $2.11 per diluted share, for the same period of fiscal 2011. The decrease in income from continuing operations for the first three and twelve months of fiscal 2012 was driven primarily by higher material and distribution costs, planned incremental investment in media, marketing and selling expense, and interest expense, partially offset by reduced income tax expense. Diluted average common shares used in the diluted net income per common share calculation were 61.2 million for the third quarter of fiscal 2012 compared to 62.0 million for the same period a year ago. Diluted average common shares used in the diluted net income per common share calculation were 62.1 million for the nine months ended September 30, 2012 versus 66.2 million for the nine months ended September 30, 2011. Diluted average common shares included 1.1 million and 1.0 million equivalent shares for the third quarter and first twelve months of fiscal 2012, respectively. These dilutive shares represented the effect of the assumed conversion of dilutive stock options, restricted stock and restricted stock unit awards. For the third quarter and first twelve months of fiscal 2011, diluted average common shares included 1.7 million and 1.5 million equivalent shares, respectively. The decrease in diluted average common shares was primarily driven by common share repurchases, partially offset by common shares issued as a result of stock option exercises.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recognized a loss from discontinued operations of $2.9 million for the three and twelve months ended September 30, 2012, compared to a loss of $8.7 million and income of $28.0 million for the three and twelve months ended September 30, 2011, respectively, primarily due to the net gain on the sale of Global Pro during the second quarter of fiscal 2011. In addition, during the third quarter of fiscal 2012, we recorded an adjustment of $2.9 million as a change in estimate associated with taxes on the sale of Global Pro.</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8"/>
          <w:szCs w:val="18"/>
          <w:color w:val="auto"/>
        </w:rPr>
        <w:t>Our continuing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Corporate &amp; Other consists of our professional seed business, revenues and expenses associated with our supply agreements with ICL and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measure recognized under GAAP. Senior management uses this measure of operating profit to gauge segment performance because we believe this measure is the most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5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2,225.2</w:t>
            </w:r>
          </w:p>
        </w:tc>
      </w:tr>
      <w:tr>
        <w:trPr>
          <w:trHeight w:val="270"/>
        </w:trPr>
        <w:tc>
          <w:tcPr>
            <w:tcW w:w="5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224.1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152.2</w:t>
            </w:r>
          </w:p>
        </w:tc>
      </w:tr>
      <w:tr>
        <w:trPr>
          <w:trHeight w:val="244"/>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2,377.4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16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41.1</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2,418.5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from continuing operations before income taxes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5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453.8</w:t>
            </w:r>
          </w:p>
        </w:tc>
      </w:tr>
      <w:tr>
        <w:trPr>
          <w:trHeight w:val="270"/>
        </w:trPr>
        <w:tc>
          <w:tcPr>
            <w:tcW w:w="5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r>
      <w:tr>
        <w:trPr>
          <w:trHeight w:val="244"/>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16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16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16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7"/>
        </w:trPr>
        <w:tc>
          <w:tcPr>
            <w:tcW w:w="560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305.0</w:t>
            </w:r>
          </w:p>
        </w:tc>
      </w:tr>
      <w:tr>
        <w:trPr>
          <w:trHeight w:val="27"/>
        </w:trPr>
        <w:tc>
          <w:tcPr>
            <w:tcW w:w="5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Global Consumer segment net sales were $0.0 million in the third quarter of fiscal 2012, an decreased of (27.0)% from the third quarter of fiscal 2011, and were $2.65 billion for the first twelve months of fiscal 2012, which is roughly flat as compared to the same period of fiscal 2011. For the three months ended September 30, 2012, increases in volume impacted net sales by 2.3%, offset by unfavorable foreign exchange rates and pricing of 1.2% and 0.1%, respectively. For the nine months ended September 30, 2012, volume and pricing favorably impacted net sales by 0.4% and 0.6%, respectively, offset by unfavorable foreign exchange rates of 0.8%.</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sales in the United States increased $43.1 million, or 5.7%, and $33.0 million, or 1.8%, for the third quarter and first nine months of fiscal 2012, respectively, as compared to the same periods in fiscal 2011. The increase in United States net sales for the third quarter and first twelve months in fiscal 2012 was driven by an increase in pricing on a year-to-date basis, higher sales of our controls and mulch products, and the national launch of our new Scotts Snap® spreader system, partially offset by decline</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6" w:right="239" w:bottom="1440" w:gutter="0" w:footer="0" w:header="0"/>
          <w:type w:val="continuous"/>
        </w:sectPr>
      </w:pPr>
    </w:p>
    <w:bookmarkStart w:id="240" w:name="page241"/>
    <w:bookmarkEnd w:id="240"/>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in sales of grass seed, wild bird food and plant food products.</w:t>
      </w:r>
    </w:p>
    <w:p>
      <w:pPr>
        <w:spacing w:after="0" w:line="144"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Excluding the impact of changes in foreign exchange rates, net sales internationally decreased by $22.7 million, or 11.6%, and $11.3 million, or 2.6%, for the third quarter and first twelve months of fiscal 2012, respectively. The decrease in sales internationally was primarily driven by a decline in year-to-date net sales in Europe, mostly due to declines in volume, partially offset by higher net sales in Canada, primarily due to new product launches.</w:t>
      </w:r>
    </w:p>
    <w:p>
      <w:pPr>
        <w:spacing w:after="0" w:line="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segment operating income decreased by $75.4 million, or 207.7%, and $86.7 million, or 20.4%, in the third quarter and first twelve months of fiscal 2012, respectively, as compared to the same periods of fiscal 2011. Excluding the impact of changes in foreign exchange rates, the decrease was 17.9% and 16.6% for the third quarter and first twelve months of fiscal 2012, respectively. The decrease was primarily driven by increased material costs and our planned incremental investment in media, marketing and selling. The increased advertising expense was $8.1 million and $26.2 million during the third quarter and first twelve months of fiscal 2012, respectively. These increases in costs were partially offset by a reduction in compensation, including benefits realized from the fiscal 2011 restructuring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$12.6 million, or 17.5%, and $10.2 million, or 4.3%, in the third quarter and first twelve months of fiscal 2012, respectively, as compared to the same periods of fiscal 2011. The increase in net sales was driven by a 7% increase in customer count, primarily due to increased consumer demand as well as the impact of prior year acquisitions.</w:t>
      </w:r>
    </w:p>
    <w:p>
      <w:pPr>
        <w:spacing w:after="0" w:line="123"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The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flat and increased by $1.1 million, or 4.2%, in the third quarter and first twelve months of fiscal 2012, respectively, as compared to the same periods of fiscal 2011. For the third quarter of fiscal 2012, the results were comprised of higher net sales and improved gross margin rate, offset by higher SG&amp;A spending. For the first twelve months of fiscal 2012, the increase was driven by higher net sales and lower proportional SG&amp;A spending.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net operating loss for Corporate &amp; Other was $0.0 million and $99.6 million for the three and twelve months ended September 30, 2012 respectively, compared to $0.0 million and $80.1 million for the three and twelve months ended September 30, 2011, respectively. The decrease for the nine months ended September 30, 2012 was primarily related to lower severance and compensation, including benefits realized from the fiscal 2011 restructuring plan. The increase for the three months ended September 30, 2012 was primarily related to the continued wind-down of our professional seed operations within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Cash provided by operating activities totaled $115.1 million for the nine months ended September 30, 2012, compared to cash used in operating activities of $13.5 million for the nine months ended September 30, 2011. Excluding the impact of discontinued operations (which includes the pre-tax gain recorded on the sale of Global Pro of $93.0 million in fiscal 2011), cash provided by operating activities increased approximately $44.4 million. The increase in cash inflows was primarily the result of a decrease in cash used for working capital of $96.1 million, offset by lower net income from continuing operations of $47.0 million. The decrease in working capital was primarily due to lower accounts receivable at the end of the third quarter of fiscal 2012 compared to the third quarter of fiscal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investing activities totaled $45.5 million for the nine months ended September 30, 2012, compared to cash provided by investing activities of $180.0 million for the comparable period in fiscal 2011. The first twelve months of fiscal 2011 included net cash of $253.9 million provided by the sale of Global Pro, partially offset by a payment of $20.0 million for an early settlement of contingent consideration associated with the 2006 Turf-Seed, Inc. acquisition. Cash used for investments in property, plant and equipment during the first twelve months of fiscal 2012 and fiscal 2011was $39.0 million and $53.3 million, respectively, primarily related to increasing efficiencies at existing production facilities and capital spending associated with product innovation projects. Additionally, during the nine months ended September 30, 2012, we completed an acquisition of a controls business within our Global Consumer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Financing activities used cash of $68.9 million and $91.8 million for the nine months ended September 30, 2012 and September 30, 2011, respectively. The decrease in cash used in financing activities was primarily the result of the decrease in repurchases of our common shares of $201.2 million and lower net borrowings under our credit facility of $22.5 million, partially offset by proceeds of $200.0 million received from the issuance of the 6.625% Senior Notes that occurred in the first quarter of fiscal 2011.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241" w:name="page242"/>
    <w:bookmarkEnd w:id="241"/>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$132.3 million as of September 30, 2012, compared to $164.3 million as of September 30, 2011. The cash and cash equivalents balance at September 30, 2012 included $123.1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 which is guaranteed by substantially all of Scotts Miracle-Gro’s domestic subsidiaries. 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our lenders. The credit facility replaced our previous senior secured credit facilities, which were comprised of: (a) a senior secured revolving loan facility in the aggregate principal amount of up to $1.59 billion and (b) a senior secured term loan facility totaling $560 million. The previous credit facilities were scheduled to expire in February 2012.</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Under our credit facility, we have the ability to issue letter of credit commitments up to $75 million. At September 30, 2012, we had letters of credit in the aggregate face amount of $25.4 million outstanding and $1.4 billion of availability under our credit facility.</w:t>
      </w:r>
    </w:p>
    <w:p>
      <w:pPr>
        <w:spacing w:after="0" w:line="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September 21, 2011, we entered into a new Master Accounts Receivable Purchase Agreement (the “MARP Agreement”), with an initial stated termination date of September 21, 2012, or such later date as may be mutually agreed by us and the banks party thereto. The MARP Agreement, which is uncommitted, provides for the discretionary sale by us, and the discretionary purchase by the banks, on a revolving basis, of accounts receivable generated by sales to two specified account debtors in an aggregate amount not to exceed $325 million, with debtor sublimits ranging from $120 million to $250 million. Under the terms of the MARP Agreement, the banks have the opportunity to purchase those accounts receivable offered by us at a discount (from the agreed base value thereof) effectively equal to the greater of 7-day or 3-month LIBOR plus 1.05%. The MARP Agreement replaced our previous Master Accounts Receivable Purchase Agreement, which provided for the discounted sale, on an uncommitted, revolving basis, of accounts receivable generated by a single specified account debtor, with aggregate limits not to exceed $80 million and an interest rate that approximated the 7-day LIBOR rate plus 1.25%.</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the sale of receivables under the MARP Agreement as short-term debt and continue to carry the receivables on our Consolidated Balance Sheet, primarily as a result of our right to repurchase receivables sold. There were $87.5 million in borrowings under the MARP Agreement as of September 30, 2012.</w:t>
      </w:r>
    </w:p>
    <w:p>
      <w:pPr>
        <w:spacing w:after="0" w:line="10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September 30, 2012,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3.50 as of September 30, 2012. Our leverage ratio was 0.00 at September 30, 2012. Our credit facility also includes an affirmative covenant regarding our interest coverage. Under the terms of the credit facility, the minimum interest coverage ratio was 3.50 for the twelve months ended September 30, 2012. Our interest coverage ratio was 4.89 for the twelve months ended September 30, 2012.</w:t>
      </w:r>
    </w:p>
    <w:p>
      <w:pPr>
        <w:spacing w:after="0" w:line="7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2012.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2012, and thereafter for the foreseeable future. However, we cannot ensure that our business will generate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6" w:right="239" w:bottom="1440" w:gutter="0" w:footer="0" w:header="0"/>
        </w:sectPr>
      </w:pPr>
    </w:p>
    <w:bookmarkStart w:id="242" w:name="page243"/>
    <w:bookmarkEnd w:id="242"/>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2012, under “ITEM 1. BUSINESS — Regulatory Considerations” and “ITEM 3. LEGAL PROCEEDINGS.”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2012 includes additional information about us, our operations, our financial condition, our critical accounting policies and accounting estimates, and should be read in conjunction with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6" w:right="239" w:bottom="1440" w:gutter="0" w:footer="0" w:header="0"/>
        </w:sectPr>
      </w:pPr>
    </w:p>
    <w:bookmarkStart w:id="243" w:name="page244"/>
    <w:bookmarkEnd w:id="243"/>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September 30, 2012 that have materially affected, or are reasonably likely to materially affect,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Other than as discussed in “NOTE 3. PRODUCT REGISTRATION AND RECALL MATTERS” and “NOTE 12. CONTINGENCIES” of the Notes to Condensed Consolidated Financial Statements, pending material legal proceedings have not changed significantly since those disclosed in Scotts Miracle-Gro's Annual Report on Form 10-K for the fiscal year ended 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Company's risk factors as of September 30, 2012 have not changed materially from those described in “ITEM IA. RISK FACTORS” in Scotts Miracle-Gro's Annual Report on Form 10-K for the fiscal year ended September 30, 2011.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2011. All forward-looking statements attributable to us or persons working on our behalf are expressly qualified in their entirety by such risk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244" w:name="page245"/>
    <w:bookmarkEnd w:id="244"/>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0 at September 30, 2012.</w:t>
      </w:r>
    </w:p>
    <w:p>
      <w:pPr>
        <w:spacing w:after="0" w:line="188"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September 30,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7"/>
              </w:rPr>
              <w:t>per Common Share(2)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Plans or Programs(3)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through April 28, 2012</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April 29 through May 26, 2012</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27 through June 30, 2012</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1,789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440" w:right="2220" w:hanging="405"/>
        <w:spacing w:after="0" w:line="285" w:lineRule="auto"/>
        <w:tabs>
          <w:tab w:leader="none" w:pos="4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440" w:hanging="405"/>
        <w:spacing w:after="0"/>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440" w:right="2220" w:hanging="405"/>
        <w:spacing w:after="0" w:line="276" w:lineRule="auto"/>
        <w:tabs>
          <w:tab w:leader="none" w:pos="4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44 for a list of the exhibits included herewith.</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6" w:right="239" w:bottom="1440" w:gutter="0" w:footer="0" w:header="0"/>
          <w:type w:val="continuous"/>
        </w:sectPr>
      </w:pPr>
    </w:p>
    <w:bookmarkStart w:id="245" w:name="page246"/>
    <w:bookmarkEnd w:id="245"/>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THE SCOTTS MIRACLE-GRO COMPANY</w:t>
            </w:r>
          </w:p>
        </w:tc>
      </w:tr>
      <w:tr>
        <w:trPr>
          <w:trHeight w:val="594"/>
        </w:trPr>
        <w:tc>
          <w:tcPr>
            <w:tcW w:w="3560" w:type="dxa"/>
            <w:vAlign w:val="bottom"/>
          </w:tcPr>
          <w:p>
            <w:pPr>
              <w:spacing w:after="0"/>
              <w:rPr>
                <w:sz w:val="20"/>
                <w:szCs w:val="20"/>
                <w:color w:val="auto"/>
              </w:rPr>
            </w:pPr>
            <w:r>
              <w:rPr>
                <w:rFonts w:ascii="Arial" w:cs="Arial" w:eastAsia="Arial" w:hAnsi="Arial"/>
                <w:sz w:val="18"/>
                <w:szCs w:val="18"/>
                <w:color w:val="auto"/>
              </w:rPr>
              <w:t>Date: August 9, 2012</w:t>
            </w:r>
          </w:p>
        </w:tc>
        <w:tc>
          <w:tcPr>
            <w:tcW w:w="22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DAVID C. EVANS</w:t>
            </w:r>
          </w:p>
        </w:tc>
      </w:tr>
      <w:tr>
        <w:trPr>
          <w:trHeight w:val="27"/>
        </w:trPr>
        <w:tc>
          <w:tcPr>
            <w:tcW w:w="3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David C. Evans</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Strategy and Business Development</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Financial and Principal Accounting Officer)</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(Duly Authorized Officer)</w:t>
            </w:r>
          </w:p>
        </w:tc>
      </w:tr>
      <w:tr>
        <w:trPr>
          <w:trHeight w:val="702"/>
        </w:trPr>
        <w:tc>
          <w:tcPr>
            <w:tcW w:w="35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46" w:name="page247"/>
    <w:bookmarkEnd w:id="246"/>
    <w:p>
      <w:pPr>
        <w:spacing w:after="0"/>
        <w:rPr>
          <w:rFonts w:ascii="Arial" w:cs="Arial" w:eastAsia="Arial" w:hAnsi="Arial"/>
          <w:sz w:val="16"/>
          <w:szCs w:val="16"/>
          <w:b w:val="1"/>
          <w:bCs w:val="1"/>
          <w:u w:val="single" w:color="auto"/>
          <w:color w:val="0000FF"/>
        </w:rPr>
      </w:pPr>
      <w:hyperlink w:anchor="page204">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JUNE 30, 2012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120" w:type="dxa"/>
            <w:vAlign w:val="bottom"/>
            <w:vMerge w:val="restart"/>
          </w:tcPr>
          <w:p>
            <w:pPr>
              <w:ind w:left="35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81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1"/>
                <w:szCs w:val="21"/>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2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720" w:hanging="685"/>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360" w:lineRule="exact"/>
        <w:rPr>
          <w:sz w:val="20"/>
          <w:szCs w:val="20"/>
          <w:color w:val="auto"/>
        </w:rPr>
      </w:pPr>
    </w:p>
    <w:p>
      <w:pPr>
        <w:jc w:val="both"/>
        <w:ind w:left="720" w:hanging="685"/>
        <w:spacing w:after="0" w:line="264"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sectPr>
      <w:pgSz w:w="11900" w:h="16838" w:orient="portrait"/>
      <w:cols w:equalWidth="0" w:num="1">
        <w:col w:w="11380"/>
      </w:cols>
      <w:pgMar w:left="240" w:top="12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lvl w:ilvl="1">
      <w:lvlJc w:val="left"/>
      <w:lvlText w:val="•"/>
      <w:numFmt w:val="bullet"/>
      <w:start w:val="1"/>
    </w:lvl>
  </w:abstractNum>
  <w:abstractNum w:abstractNumId="3">
    <w:nsid w:val="70C6A529"/>
    <w:multiLevelType w:val="hybridMultilevel"/>
    <w:lvl w:ilvl="0">
      <w:lvlJc w:val="left"/>
      <w:lvlText w:val="•"/>
      <w:numFmt w:val="bullet"/>
      <w:start w:val="1"/>
    </w:lvl>
    <w:lvl w:ilvl="1">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1)"/>
      <w:numFmt w:val="decimal"/>
      <w:start w:val="2"/>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1)"/>
      <w:numFmt w:val="decimal"/>
      <w:start w:val="3"/>
    </w:lvl>
  </w:abstractNum>
  <w:abstractNum w:abstractNumId="12">
    <w:nsid w:val="180115BE"/>
    <w:multiLevelType w:val="hybridMultilevel"/>
    <w:lvl w:ilvl="0">
      <w:lvlJc w:val="left"/>
      <w:lvlText w:val="(%1)"/>
      <w:numFmt w:val="decimal"/>
      <w:start w:val="4"/>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1"/>
    </w:lvl>
  </w:abstractNum>
  <w:abstractNum w:abstractNumId="23">
    <w:nsid w:val="77AE35EB"/>
    <w:multiLevelType w:val="hybridMultilevel"/>
    <w:lvl w:ilvl="0">
      <w:lvlJc w:val="left"/>
      <w:lvlText w:val="(%1)"/>
      <w:numFmt w:val="lowerLetter"/>
      <w:start w:val="2"/>
    </w:lvl>
  </w:abstractNum>
  <w:abstractNum w:abstractNumId="24">
    <w:nsid w:val="579BE4F1"/>
    <w:multiLevelType w:val="hybridMultilevel"/>
    <w:lvl w:ilvl="0">
      <w:lvlJc w:val="left"/>
      <w:lvlText w:val="(%1)"/>
      <w:numFmt w:val="lowerLetter"/>
      <w:start w:val="3"/>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1)"/>
      <w:numFmt w:val="lowerRoman"/>
      <w:start w:val="1"/>
    </w:lvl>
  </w:abstractNum>
  <w:abstractNum w:abstractNumId="33">
    <w:nsid w:val="5DB70AE5"/>
    <w:multiLevelType w:val="hybridMultilevel"/>
    <w:lvl w:ilvl="0">
      <w:lvlJc w:val="left"/>
      <w:lvlText w:val="(%1)"/>
      <w:numFmt w:val="lowerRoman"/>
      <w:start w:val="1"/>
    </w:lvl>
  </w:abstractNum>
  <w:abstractNum w:abstractNumId="34">
    <w:nsid w:val="100F8FCA"/>
    <w:multiLevelType w:val="hybridMultilevel"/>
    <w:lvl w:ilvl="0">
      <w:lvlJc w:val="left"/>
      <w:lvlText w:val="(%1)"/>
      <w:numFmt w:val="lowerLetter"/>
      <w:start w:val="1"/>
    </w:lvl>
  </w:abstractNum>
  <w:abstractNum w:abstractNumId="35">
    <w:nsid w:val="6590700B"/>
    <w:multiLevelType w:val="hybridMultilevel"/>
    <w:lvl w:ilvl="0">
      <w:lvlJc w:val="left"/>
      <w:lvlText w:val="(%1)"/>
      <w:numFmt w:val="lowerLetter"/>
      <w:start w:val="2"/>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1)"/>
      <w:numFmt w:val="lowerLetter"/>
      <w:start w:val="3"/>
    </w:lvl>
  </w:abstractNum>
  <w:abstractNum w:abstractNumId="38">
    <w:nsid w:val="98A3148"/>
    <w:multiLevelType w:val="hybridMultilevel"/>
    <w:lvl w:ilvl="0">
      <w:lvlJc w:val="left"/>
      <w:lvlText w:val="(%1)"/>
      <w:numFmt w:val="lowerRoman"/>
      <w:start w:val="1"/>
    </w:lvl>
  </w:abstractNum>
  <w:abstractNum w:abstractNumId="39">
    <w:nsid w:val="799D0247"/>
    <w:multiLevelType w:val="hybridMultilevel"/>
    <w:lvl w:ilvl="0">
      <w:lvlJc w:val="left"/>
      <w:lvlText w:val="(%1)"/>
      <w:numFmt w:val="lowerLetter"/>
      <w:start w:val="2"/>
    </w:lvl>
  </w:abstractNum>
  <w:abstractNum w:abstractNumId="40">
    <w:nsid w:val="6B94764"/>
    <w:multiLevelType w:val="hybridMultilevel"/>
    <w:lvl w:ilvl="0">
      <w:lvlJc w:val="left"/>
      <w:lvlText w:val="(%1)"/>
      <w:numFmt w:val="lowerLetter"/>
      <w:start w:val="2"/>
    </w:lvl>
    <w:lvl w:ilvl="1">
      <w:lvlJc w:val="left"/>
      <w:lvlText w:val="(%2)"/>
      <w:numFmt w:val="lowerRoman"/>
      <w:start w:val="1"/>
    </w:lvl>
  </w:abstractNum>
  <w:abstractNum w:abstractNumId="41">
    <w:nsid w:val="42C296BD"/>
    <w:multiLevelType w:val="hybridMultilevel"/>
    <w:lvl w:ilvl="0">
      <w:lvlJc w:val="left"/>
      <w:lvlText w:val="(%1)"/>
      <w:numFmt w:val="lowerRoman"/>
      <w:start w:val="4"/>
    </w:lvl>
  </w:abstractNum>
  <w:abstractNum w:abstractNumId="42">
    <w:nsid w:val="168E121F"/>
    <w:multiLevelType w:val="hybridMultilevel"/>
    <w:lvl w:ilvl="0">
      <w:lvlJc w:val="left"/>
      <w:lvlText w:val="(%1)"/>
      <w:numFmt w:val="lowerLetter"/>
      <w:start w:val="3"/>
    </w:lvl>
  </w:abstractNum>
  <w:abstractNum w:abstractNumId="43">
    <w:nsid w:val="1EBA5D23"/>
    <w:multiLevelType w:val="hybridMultilevel"/>
    <w:lvl w:ilvl="0">
      <w:lvlJc w:val="left"/>
      <w:lvlText w:val="(%1)"/>
      <w:numFmt w:val="lowerLetter"/>
      <w:start w:val="2"/>
    </w:lvl>
  </w:abstractNum>
  <w:abstractNum w:abstractNumId="44">
    <w:nsid w:val="661E3F1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24"/>
    </w:lvl>
    <w:lvl w:ilvl="3">
      <w:lvlJc w:val="left"/>
      <w:lvlText w:val="(%4)"/>
      <w:numFmt w:val="lowerLetter"/>
      <w:start w:val="25"/>
    </w:lvl>
  </w:abstractNum>
  <w:abstractNum w:abstractNumId="45">
    <w:nsid w:val="5DC79EA8"/>
    <w:multiLevelType w:val="hybridMultilevel"/>
    <w:lvl w:ilvl="0">
      <w:lvlJc w:val="left"/>
      <w:lvlText w:val="(%1)"/>
      <w:numFmt w:val="lowerLetter"/>
      <w:start w:val="5"/>
    </w:lvl>
  </w:abstractNum>
  <w:abstractNum w:abstractNumId="46">
    <w:nsid w:val="540A471C"/>
    <w:multiLevelType w:val="hybridMultilevel"/>
    <w:lvl w:ilvl="0">
      <w:lvlJc w:val="left"/>
      <w:lvlText w:val="(%1)"/>
      <w:numFmt w:val="lowerLetter"/>
      <w:start w:val="2"/>
    </w:lvl>
  </w:abstractNum>
  <w:abstractNum w:abstractNumId="47">
    <w:nsid w:val="7BD3EE7B"/>
    <w:multiLevelType w:val="hybridMultilevel"/>
    <w:lvl w:ilvl="0">
      <w:lvlJc w:val="left"/>
      <w:lvlText w:val="(%1)"/>
      <w:numFmt w:val="lowerLetter"/>
      <w:start w:val="2"/>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3"/>
    </w:lvl>
  </w:abstractNum>
  <w:abstractNum w:abstractNumId="50">
    <w:nsid w:val="BF72B14"/>
    <w:multiLevelType w:val="hybridMultilevel"/>
    <w:lvl w:ilvl="0">
      <w:lvlJc w:val="left"/>
      <w:lvlText w:val="(%1)"/>
      <w:numFmt w:val="lowerRoman"/>
      <w:start w:val="1"/>
    </w:lvl>
  </w:abstractNum>
  <w:abstractNum w:abstractNumId="51">
    <w:nsid w:val="11447B7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2">
    <w:nsid w:val="42963E5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3">
    <w:nsid w:val="A0382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54">
    <w:nsid w:val="8F2B15E"/>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1"/>
    </w:lvl>
  </w:abstractNum>
  <w:abstractNum w:abstractNumId="55">
    <w:nsid w:val="1A32234B"/>
    <w:multiLevelType w:val="hybridMultilevel"/>
    <w:lvl w:ilvl="0">
      <w:lvlJc w:val="left"/>
      <w:lvlText w:val="(%1)"/>
      <w:numFmt w:val="lowerRoman"/>
      <w:start w:val="1"/>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lowerLetter"/>
      <w:start w:val="6"/>
    </w:lvl>
  </w:abstractNum>
  <w:abstractNum w:abstractNumId="58">
    <w:nsid w:val="4962813B"/>
    <w:multiLevelType w:val="hybridMultilevel"/>
    <w:lvl w:ilvl="0">
      <w:lvlJc w:val="left"/>
      <w:lvlText w:val="%1"/>
      <w:numFmt w:val="lowerLetter"/>
      <w:start w:val="1"/>
    </w:lvl>
    <w:lvl w:ilvl="1">
      <w:lvlJc w:val="left"/>
      <w:lvlText w:val="(%2)"/>
      <w:numFmt w:val="lowerLetter"/>
      <w:start w:val="13"/>
    </w:lvl>
  </w:abstractNum>
  <w:abstractNum w:abstractNumId="59">
    <w:nsid w:val="60B6DF70"/>
    <w:multiLevelType w:val="hybridMultilevel"/>
    <w:lvl w:ilvl="0">
      <w:lvlJc w:val="left"/>
      <w:lvlText w:val="(%1)"/>
      <w:numFmt w:val="lowerLetter"/>
      <w:start w:val="35"/>
    </w:lvl>
    <w:lvl w:ilvl="1">
      <w:lvlJc w:val="left"/>
      <w:lvlText w:val="(%2)"/>
      <w:numFmt w:val="lowerLetter"/>
      <w:start w:val="18"/>
    </w:lvl>
  </w:abstractNum>
  <w:abstractNum w:abstractNumId="60">
    <w:nsid w:val="6A5EE64"/>
    <w:multiLevelType w:val="hybridMultilevel"/>
    <w:lvl w:ilvl="0">
      <w:lvlJc w:val="left"/>
      <w:lvlText w:val="(%1)"/>
      <w:numFmt w:val="lowerLetter"/>
      <w:start w:val="19"/>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lowerLetter"/>
      <w:start w:val="3"/>
    </w:lvl>
    <w:lvl w:ilvl="1">
      <w:lvlJc w:val="left"/>
      <w:lvlText w:val="(%2)"/>
      <w:numFmt w:val="lowerRoman"/>
      <w:start w:val="1"/>
    </w:lvl>
  </w:abstractNum>
  <w:abstractNum w:abstractNumId="63">
    <w:nsid w:val="1A27709E"/>
    <w:multiLevelType w:val="hybridMultilevel"/>
    <w:lvl w:ilvl="0">
      <w:lvlJc w:val="left"/>
      <w:lvlText w:val="(%1)"/>
      <w:numFmt w:val="lowerLetter"/>
      <w:start w:val="8"/>
    </w:lvl>
  </w:abstractNum>
  <w:abstractNum w:abstractNumId="64">
    <w:nsid w:val="71EA1109"/>
    <w:multiLevelType w:val="hybridMultilevel"/>
    <w:lvl w:ilvl="0">
      <w:lvlJc w:val="left"/>
      <w:lvlText w:val="(%1)"/>
      <w:numFmt w:val="lowerLetter"/>
      <w:start w:val="12"/>
    </w:lvl>
  </w:abstractNum>
  <w:abstractNum w:abstractNumId="65">
    <w:nsid w:val="100F59DC"/>
    <w:multiLevelType w:val="hybridMultilevel"/>
    <w:lvl w:ilvl="0">
      <w:lvlJc w:val="left"/>
      <w:lvlText w:val="(%1)"/>
      <w:numFmt w:val="lowerLetter"/>
      <w:start w:val="2"/>
    </w:lvl>
  </w:abstractNum>
  <w:abstractNum w:abstractNumId="66">
    <w:nsid w:val="7FB7E0AA"/>
    <w:multiLevelType w:val="hybridMultilevel"/>
    <w:lvl w:ilvl="0">
      <w:lvlJc w:val="left"/>
      <w:lvlText w:val="(%1)"/>
      <w:numFmt w:val="lowerRoman"/>
      <w:start w:val="1"/>
    </w:lvl>
  </w:abstractNum>
  <w:abstractNum w:abstractNumId="67">
    <w:nsid w:val="6EB5BD4"/>
    <w:multiLevelType w:val="hybridMultilevel"/>
    <w:lvl w:ilvl="0">
      <w:lvlJc w:val="left"/>
      <w:lvlText w:val="(%1)"/>
      <w:numFmt w:val="lowerRoman"/>
      <w:start w:val="7"/>
    </w:lvl>
  </w:abstractNum>
  <w:abstractNum w:abstractNumId="68">
    <w:nsid w:val="6F6DD9AC"/>
    <w:multiLevelType w:val="hybridMultilevel"/>
    <w:lvl w:ilvl="0">
      <w:lvlJc w:val="left"/>
      <w:lvlText w:val="%1"/>
      <w:numFmt w:val="decimal"/>
      <w:start w:val="1"/>
    </w:lvl>
    <w:lvl w:ilvl="1">
      <w:lvlJc w:val="left"/>
      <w:lvlText w:val="(%2)"/>
      <w:numFmt w:val="lowerLetter"/>
      <w:start w:val="1"/>
    </w:lvl>
  </w:abstractNum>
  <w:abstractNum w:abstractNumId="69">
    <w:nsid w:val="94211F2"/>
    <w:multiLevelType w:val="hybridMultilevel"/>
    <w:lvl w:ilvl="0">
      <w:lvlJc w:val="left"/>
      <w:lvlText w:val="(%1)"/>
      <w:numFmt w:val="decimal"/>
      <w:start w:val="5"/>
    </w:lvl>
    <w:lvl w:ilvl="1">
      <w:lvlJc w:val="left"/>
      <w:lvlText w:val="(%2)"/>
      <w:numFmt w:val="lowerLetter"/>
      <w:start w:val="2"/>
    </w:lvl>
  </w:abstractNum>
  <w:abstractNum w:abstractNumId="70">
    <w:nsid w:val="885E1B"/>
    <w:multiLevelType w:val="hybridMultilevel"/>
    <w:lvl w:ilvl="0">
      <w:lvlJc w:val="left"/>
      <w:lvlText w:val="(%1)"/>
      <w:numFmt w:val="lowerLetter"/>
      <w:start w:val="6"/>
    </w:lvl>
  </w:abstractNum>
  <w:abstractNum w:abstractNumId="71">
    <w:nsid w:val="76272110"/>
    <w:multiLevelType w:val="hybridMultilevel"/>
    <w:lvl w:ilvl="0">
      <w:lvlJc w:val="left"/>
      <w:lvlText w:val="(%1)"/>
      <w:numFmt w:val="lowerLetter"/>
      <w:start w:val="2"/>
    </w:lvl>
  </w:abstractNum>
  <w:abstractNum w:abstractNumId="72">
    <w:nsid w:val="4C04A8AF"/>
    <w:multiLevelType w:val="hybridMultilevel"/>
    <w:lvl w:ilvl="0">
      <w:lvlJc w:val="left"/>
      <w:lvlText w:val="(%1)"/>
      <w:numFmt w:val="lowerLetter"/>
      <w:start w:val="2"/>
    </w:lvl>
    <w:lvl w:ilvl="1">
      <w:lvlJc w:val="left"/>
      <w:lvlText w:val="(%2)"/>
      <w:numFmt w:val="lowerRoman"/>
      <w:start w:val="1"/>
    </w:lvl>
  </w:abstractNum>
  <w:abstractNum w:abstractNumId="73">
    <w:nsid w:val="1716703B"/>
    <w:multiLevelType w:val="hybridMultilevel"/>
    <w:lvl w:ilvl="0">
      <w:lvlJc w:val="left"/>
      <w:lvlText w:val="%1"/>
      <w:numFmt w:val="lowerLetter"/>
      <w:start w:val="1"/>
    </w:lvl>
    <w:lvl w:ilvl="1">
      <w:lvlJc w:val="left"/>
      <w:lvlText w:val="(%2)"/>
      <w:numFmt w:val="lowerLetter"/>
      <w:start w:val="61"/>
    </w:lvl>
  </w:abstractNum>
  <w:abstractNum w:abstractNumId="74">
    <w:nsid w:val="14E17E33"/>
    <w:multiLevelType w:val="hybridMultilevel"/>
    <w:lvl w:ilvl="0">
      <w:lvlJc w:val="left"/>
      <w:lvlText w:val="(%1)"/>
      <w:numFmt w:val="lowerLetter"/>
      <w:start w:val="3"/>
    </w:lvl>
    <w:lvl w:ilvl="1">
      <w:lvlJc w:val="left"/>
      <w:lvlText w:val="%2"/>
      <w:numFmt w:val="lowerLetter"/>
      <w:start w:val="1"/>
    </w:lvl>
  </w:abstractNum>
  <w:abstractNum w:abstractNumId="75">
    <w:nsid w:val="3222E7CD"/>
    <w:multiLevelType w:val="hybridMultilevel"/>
    <w:lvl w:ilvl="0">
      <w:lvlJc w:val="left"/>
      <w:lvlText w:val="%1"/>
      <w:numFmt w:val="lowerLetter"/>
      <w:start w:val="1"/>
    </w:lvl>
    <w:lvl w:ilvl="1">
      <w:lvlJc w:val="left"/>
      <w:lvlText w:val="(%2)"/>
      <w:numFmt w:val="lowerLetter"/>
      <w:start w:val="1"/>
    </w:lvl>
  </w:abstractNum>
  <w:abstractNum w:abstractNumId="76">
    <w:nsid w:val="74DE0EE3"/>
    <w:multiLevelType w:val="hybridMultilevel"/>
    <w:lvl w:ilvl="0">
      <w:lvlJc w:val="left"/>
      <w:lvlText w:val="(%1)"/>
      <w:numFmt w:val="lowerLetter"/>
      <w:start w:val="35"/>
    </w:lvl>
    <w:lvl w:ilvl="1">
      <w:lvlJc w:val="left"/>
      <w:lvlText w:val="%2"/>
      <w:numFmt w:val="lowerLetter"/>
      <w:start w:val="1"/>
    </w:lvl>
  </w:abstractNum>
  <w:abstractNum w:abstractNumId="77">
    <w:nsid w:val="68EBC550"/>
    <w:multiLevelType w:val="hybridMultilevel"/>
    <w:lvl w:ilvl="0">
      <w:lvlJc w:val="left"/>
      <w:lvlText w:val="(%1)"/>
      <w:numFmt w:val="lowerLetter"/>
      <w:start w:val="1"/>
    </w:lvl>
  </w:abstractNum>
  <w:abstractNum w:abstractNumId="78">
    <w:nsid w:val="2DF6D648"/>
    <w:multiLevelType w:val="hybridMultilevel"/>
    <w:lvl w:ilvl="0">
      <w:lvlJc w:val="left"/>
      <w:lvlText w:val="(%1)"/>
      <w:numFmt w:val="lowerLetter"/>
      <w:start w:val="2"/>
    </w:lvl>
    <w:lvl w:ilvl="1">
      <w:lvlJc w:val="left"/>
      <w:lvlText w:val="(%2)"/>
      <w:numFmt w:val="lowerRoman"/>
      <w:start w:val="1"/>
    </w:lvl>
  </w:abstractNum>
  <w:abstractNum w:abstractNumId="79">
    <w:nsid w:val="46B7D447"/>
    <w:multiLevelType w:val="hybridMultilevel"/>
    <w:lvl w:ilvl="0">
      <w:lvlJc w:val="left"/>
      <w:lvlText w:val="(%1)"/>
      <w:numFmt w:val="lowerLetter"/>
      <w:start w:val="1"/>
    </w:lvl>
    <w:lvl w:ilvl="1">
      <w:lvlJc w:val="left"/>
      <w:lvlText w:val="(%2)"/>
      <w:numFmt w:val="lowerLetter"/>
      <w:start w:val="9"/>
    </w:lvl>
  </w:abstractNum>
  <w:abstractNum w:abstractNumId="80">
    <w:nsid w:val="4A2AC315"/>
    <w:multiLevelType w:val="hybridMultilevel"/>
    <w:lvl w:ilvl="0">
      <w:lvlJc w:val="left"/>
      <w:lvlText w:val="%1"/>
      <w:numFmt w:val="lowerLetter"/>
      <w:start w:val="1"/>
    </w:lvl>
    <w:lvl w:ilvl="1">
      <w:lvlJc w:val="left"/>
      <w:lvlText w:val="(%2)"/>
      <w:numFmt w:val="lowerRoman"/>
      <w:start w:val="2"/>
    </w:lvl>
  </w:abstractNum>
  <w:abstractNum w:abstractNumId="81">
    <w:nsid w:val="39EE015C"/>
    <w:multiLevelType w:val="hybridMultilevel"/>
    <w:lvl w:ilvl="0">
      <w:lvlJc w:val="left"/>
      <w:lvlText w:val="(%1)"/>
      <w:numFmt w:val="lowerLetter"/>
      <w:start w:val="2"/>
    </w:lvl>
    <w:lvl w:ilvl="1">
      <w:lvlJc w:val="left"/>
      <w:lvlText w:val="%2"/>
      <w:numFmt w:val="lowerRoman"/>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3"/>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Letter"/>
      <w:start w:val="1"/>
    </w:lvl>
  </w:abstractNum>
  <w:abstractNum w:abstractNumId="86">
    <w:nsid w:val="26F324BA"/>
    <w:multiLevelType w:val="hybridMultilevel"/>
    <w:lvl w:ilvl="0">
      <w:lvlJc w:val="left"/>
      <w:lvlText w:val="(%1)"/>
      <w:numFmt w:val="lowerLetter"/>
      <w:start w:val="3"/>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1"/>
    </w:lvl>
    <w:lvl w:ilvl="1">
      <w:lvlJc w:val="left"/>
      <w:lvlText w:val="(%2)"/>
      <w:numFmt w:val="lowerLetter"/>
      <w:start w:val="1"/>
    </w:lvl>
  </w:abstractNum>
  <w:abstractNum w:abstractNumId="89">
    <w:nsid w:val="7055A5F5"/>
    <w:multiLevelType w:val="hybridMultilevel"/>
    <w:lvl w:ilvl="0">
      <w:lvlJc w:val="left"/>
      <w:lvlText w:val="%1."/>
      <w:numFmt w:val="decimal"/>
      <w:start w:val="1"/>
    </w:lvl>
    <w:lvl w:ilvl="1">
      <w:lvlJc w:val="left"/>
      <w:lvlText w:val="(%2)"/>
      <w:numFmt w:val="lowerLetter"/>
      <w:start w:val="1"/>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lowerLetter"/>
      <w:start w:val="1"/>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2019-12-09T09:53:07Z</dcterms:created>
  <dcterms:modified xsi:type="dcterms:W3CDTF">2019-12-09T09:53:07Z</dcterms:modified>
</cp:coreProperties>
</file>