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FORM 10-Q/A</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NUMBER 1</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 C. 20549</w:t>
      </w:r>
    </w:p>
    <w:p>
      <w:pPr>
        <w:spacing w:after="0" w:line="169" w:lineRule="exact"/>
        <w:rPr>
          <w:sz w:val="24"/>
          <w:szCs w:val="24"/>
          <w:color w:val="auto"/>
        </w:rPr>
      </w:pPr>
    </w:p>
    <w:p>
      <w:pPr>
        <w:ind w:left="1800" w:hanging="423"/>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 the quarterly period ended December 31, 1994</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1580" w:hanging="203"/>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2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SCOTTS COMPANY</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1028" w:right="1440" w:bottom="0" w:gutter="0" w:footer="0" w:header="0"/>
        </w:sectPr>
      </w:pP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31-1199481</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No.)</w:t>
      </w:r>
    </w:p>
    <w:p>
      <w:pPr>
        <w:spacing w:after="0" w:line="394" w:lineRule="exact"/>
        <w:rPr>
          <w:sz w:val="24"/>
          <w:szCs w:val="24"/>
          <w:color w:val="auto"/>
        </w:rPr>
      </w:pPr>
    </w:p>
    <w:p>
      <w:pPr>
        <w:sectPr>
          <w:pgSz w:w="11900" w:h="16838" w:orient="portrait"/>
          <w:cols w:equalWidth="0" w:num="2">
            <w:col w:w="3820" w:space="720"/>
            <w:col w:w="5679"/>
          </w:cols>
          <w:pgMar w:left="240" w:top="1028" w:right="1440" w:bottom="0" w:gutter="0" w:footer="0" w:header="0"/>
          <w:type w:val="continuous"/>
        </w:sectPr>
      </w:pPr>
    </w:p>
    <w:p>
      <w:pPr>
        <w:ind w:left="3060"/>
        <w:spacing w:after="0"/>
        <w:rPr>
          <w:sz w:val="20"/>
          <w:szCs w:val="20"/>
          <w:color w:val="auto"/>
        </w:rPr>
      </w:pPr>
      <w:r>
        <w:rPr>
          <w:rFonts w:ascii="Courier New" w:cs="Courier New" w:eastAsia="Courier New" w:hAnsi="Courier New"/>
          <w:sz w:val="18"/>
          <w:szCs w:val="18"/>
          <w:color w:val="auto"/>
        </w:rPr>
        <w:t>14111 Scottslawn Road</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Marysville, Ohio 43041</w:t>
      </w:r>
    </w:p>
    <w:p>
      <w:pPr>
        <w:ind w:left="200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ind w:left="3580"/>
        <w:spacing w:after="0"/>
        <w:rPr>
          <w:sz w:val="20"/>
          <w:szCs w:val="20"/>
          <w:color w:val="auto"/>
        </w:rPr>
      </w:pPr>
      <w:r>
        <w:rPr>
          <w:rFonts w:ascii="Courier New" w:cs="Courier New" w:eastAsia="Courier New" w:hAnsi="Courier New"/>
          <w:sz w:val="18"/>
          <w:szCs w:val="18"/>
          <w:color w:val="auto"/>
        </w:rPr>
        <w:t>(Zip Code)</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(513) 644-0011</w:t>
      </w:r>
    </w:p>
    <w:p>
      <w:pPr>
        <w:spacing w:after="0" w:line="3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 change</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(Former name, former address and former fiscal year, if changed</w:t>
      </w:r>
    </w:p>
    <w:p>
      <w:pPr>
        <w:jc w:val="center"/>
        <w:ind w:right="1879"/>
        <w:spacing w:after="0"/>
        <w:rPr>
          <w:sz w:val="20"/>
          <w:szCs w:val="20"/>
          <w:color w:val="auto"/>
        </w:rPr>
      </w:pPr>
      <w:r>
        <w:rPr>
          <w:rFonts w:ascii="Courier New" w:cs="Courier New" w:eastAsia="Courier New" w:hAnsi="Courier New"/>
          <w:sz w:val="18"/>
          <w:szCs w:val="18"/>
          <w:color w:val="auto"/>
        </w:rPr>
        <w:t>since last report.)</w:t>
      </w:r>
    </w:p>
    <w:p>
      <w:pPr>
        <w:spacing w:after="0" w:line="169" w:lineRule="exact"/>
        <w:rPr>
          <w:sz w:val="24"/>
          <w:szCs w:val="24"/>
          <w:color w:val="auto"/>
        </w:rPr>
      </w:pPr>
    </w:p>
    <w:p>
      <w:pPr>
        <w:jc w:val="both"/>
        <w:ind w:right="1999"/>
        <w:spacing w:after="0" w:line="265"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0" w:lineRule="exact"/>
        <w:rPr>
          <w:sz w:val="24"/>
          <w:szCs w:val="24"/>
          <w:color w:val="auto"/>
        </w:rPr>
      </w:pPr>
    </w:p>
    <w:p>
      <w:pPr>
        <w:ind w:left="3380"/>
        <w:spacing w:after="0"/>
        <w:tabs>
          <w:tab w:leader="none" w:pos="46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1" w:lineRule="exact"/>
        <w:rPr>
          <w:sz w:val="24"/>
          <w:szCs w:val="24"/>
          <w:color w:val="auto"/>
        </w:rPr>
      </w:pPr>
    </w:p>
    <w:p>
      <w:pPr>
        <w:jc w:val="both"/>
        <w:ind w:right="1999"/>
        <w:spacing w:after="0" w:line="347"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1028" w:right="1440"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18,667,064</w:t>
      </w:r>
    </w:p>
    <w:p>
      <w:pPr>
        <w:spacing w:after="0" w:line="3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21" w:lineRule="exact"/>
        <w:rPr>
          <w:sz w:val="24"/>
          <w:szCs w:val="24"/>
          <w:color w:val="auto"/>
        </w:rPr>
      </w:pPr>
    </w:p>
    <w:p>
      <w:pPr>
        <w:jc w:val="center"/>
        <w:ind w:right="120"/>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jc w:val="both"/>
        <w:ind w:right="2419"/>
        <w:spacing w:after="0" w:line="420" w:lineRule="auto"/>
        <w:rPr>
          <w:sz w:val="20"/>
          <w:szCs w:val="20"/>
          <w:color w:val="auto"/>
        </w:rPr>
      </w:pPr>
      <w:r>
        <w:rPr>
          <w:rFonts w:ascii="Courier New" w:cs="Courier New" w:eastAsia="Courier New" w:hAnsi="Courier New"/>
          <w:sz w:val="16"/>
          <w:szCs w:val="16"/>
          <w:color w:val="auto"/>
        </w:rPr>
        <w:t>Outstanding at January 15, 1995 _______________________________</w:t>
      </w:r>
    </w:p>
    <w:p>
      <w:pPr>
        <w:spacing w:after="0" w:line="200" w:lineRule="exact"/>
        <w:rPr>
          <w:sz w:val="24"/>
          <w:szCs w:val="24"/>
          <w:color w:val="auto"/>
        </w:rPr>
      </w:pPr>
    </w:p>
    <w:p>
      <w:pPr>
        <w:sectPr>
          <w:pgSz w:w="11900" w:h="16838" w:orient="portrait"/>
          <w:cols w:equalWidth="0" w:num="2">
            <w:col w:w="3820" w:space="720"/>
            <w:col w:w="5679"/>
          </w:cols>
          <w:pgMar w:left="240" w:top="1028" w:right="1440" w:bottom="0" w:gutter="0" w:footer="0" w:header="0"/>
          <w:type w:val="continuous"/>
        </w:sectPr>
      </w:pPr>
    </w:p>
    <w:p>
      <w:pPr>
        <w:spacing w:after="0" w:line="17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Exhibit Index at page 11</w:t>
      </w:r>
    </w:p>
    <w:p>
      <w:pPr>
        <w:spacing w:after="0" w:line="200" w:lineRule="exact"/>
        <w:rPr>
          <w:sz w:val="24"/>
          <w:szCs w:val="24"/>
          <w:color w:val="auto"/>
        </w:rPr>
      </w:pPr>
    </w:p>
    <w:p>
      <w:pPr>
        <w:spacing w:after="0" w:line="37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Financial Information: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Item 1.</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Financial</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8"/>
              </w:rPr>
              <w:t>Consolidated</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Statements of Income - Three month periods</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6960" w:type="dxa"/>
            <w:vAlign w:val="bottom"/>
            <w:gridSpan w:val="3"/>
          </w:tcPr>
          <w:p>
            <w:pPr>
              <w:ind w:left="860"/>
              <w:spacing w:after="0"/>
              <w:rPr>
                <w:sz w:val="20"/>
                <w:szCs w:val="20"/>
                <w:color w:val="auto"/>
              </w:rPr>
            </w:pPr>
            <w:r>
              <w:rPr>
                <w:rFonts w:ascii="Courier New" w:cs="Courier New" w:eastAsia="Courier New" w:hAnsi="Courier New"/>
                <w:sz w:val="18"/>
                <w:szCs w:val="18"/>
                <w:color w:val="auto"/>
              </w:rPr>
              <w:t>ended January 1, 1994 and December 31, 1994</w:t>
            </w: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2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Consolidated Statements of Cash Flows - Three month periods</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ended January 1, 1994 and December 31, 1994</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Consolidated Balance Sheets -</w:t>
            </w:r>
          </w:p>
        </w:tc>
        <w:tc>
          <w:tcPr>
            <w:tcW w:w="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96"/>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January 1, 1994, December 31, 1994 and September 30, 1994</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c>
          <w:tcPr>
            <w:tcW w:w="0" w:type="dxa"/>
            <w:vAlign w:val="bottom"/>
          </w:tcPr>
          <w:p>
            <w:pPr>
              <w:spacing w:after="0"/>
              <w:rPr>
                <w:sz w:val="1"/>
                <w:szCs w:val="1"/>
                <w:color w:val="auto"/>
              </w:rPr>
            </w:pPr>
          </w:p>
        </w:tc>
      </w:tr>
      <w:tr>
        <w:trPr>
          <w:trHeight w:val="311"/>
        </w:trPr>
        <w:tc>
          <w:tcPr>
            <w:tcW w:w="7280" w:type="dxa"/>
            <w:vAlign w:val="bottom"/>
          </w:tcPr>
          <w:p>
            <w:pPr>
              <w:ind w:left="220"/>
              <w:spacing w:after="0"/>
              <w:rPr>
                <w:sz w:val="20"/>
                <w:szCs w:val="20"/>
                <w:color w:val="auto"/>
              </w:rPr>
            </w:pPr>
            <w:r>
              <w:rPr>
                <w:rFonts w:ascii="Courier New" w:cs="Courier New" w:eastAsia="Courier New" w:hAnsi="Courier New"/>
                <w:sz w:val="18"/>
                <w:szCs w:val="18"/>
                <w:color w:val="auto"/>
              </w:rPr>
              <w:t>Item 2.  Management's Discussion and Analysis of</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8-9</w:t>
            </w:r>
          </w:p>
        </w:tc>
        <w:tc>
          <w:tcPr>
            <w:tcW w:w="0" w:type="dxa"/>
            <w:vAlign w:val="bottom"/>
          </w:tcPr>
          <w:p>
            <w:pPr>
              <w:spacing w:after="0"/>
              <w:rPr>
                <w:sz w:val="1"/>
                <w:szCs w:val="1"/>
                <w:color w:val="auto"/>
              </w:rPr>
            </w:pPr>
          </w:p>
        </w:tc>
      </w:tr>
      <w:tr>
        <w:trPr>
          <w:trHeight w:val="296"/>
        </w:trPr>
        <w:tc>
          <w:tcPr>
            <w:tcW w:w="7280" w:type="dxa"/>
            <w:vAlign w:val="bottom"/>
          </w:tcPr>
          <w:p>
            <w:pPr>
              <w:ind w:left="860"/>
              <w:spacing w:after="0"/>
              <w:rPr>
                <w:sz w:val="20"/>
                <w:szCs w:val="20"/>
                <w:color w:val="auto"/>
              </w:rPr>
            </w:pPr>
            <w:r>
              <w:rPr>
                <w:rFonts w:ascii="Courier New" w:cs="Courier New" w:eastAsia="Courier New" w:hAnsi="Courier New"/>
                <w:sz w:val="18"/>
                <w:szCs w:val="18"/>
                <w:color w:val="auto"/>
              </w:rPr>
              <w:t>Financial Condition and Results of Operations</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280" w:type="dxa"/>
            <w:vAlign w:val="bottom"/>
          </w:tcPr>
          <w:p>
            <w:pPr>
              <w:spacing w:after="0"/>
              <w:rPr>
                <w:sz w:val="20"/>
                <w:szCs w:val="20"/>
                <w:color w:val="auto"/>
              </w:rPr>
            </w:pPr>
            <w:r>
              <w:rPr>
                <w:rFonts w:ascii="Courier New" w:cs="Courier New" w:eastAsia="Courier New" w:hAnsi="Courier New"/>
                <w:sz w:val="18"/>
                <w:szCs w:val="18"/>
                <w:color w:val="auto"/>
              </w:rPr>
              <w:t>Signatures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608"/>
        </w:trPr>
        <w:tc>
          <w:tcPr>
            <w:tcW w:w="728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405"/>
        </w:trPr>
        <w:tc>
          <w:tcPr>
            <w:tcW w:w="7280" w:type="dxa"/>
            <w:vAlign w:val="bottom"/>
          </w:tcPr>
          <w:p>
            <w:pPr>
              <w:ind w:left="3800"/>
              <w:spacing w:after="0"/>
              <w:rPr>
                <w:sz w:val="20"/>
                <w:szCs w:val="20"/>
                <w:color w:val="auto"/>
              </w:rPr>
            </w:pPr>
            <w:r>
              <w:rPr>
                <w:rFonts w:ascii="Courier New" w:cs="Courier New" w:eastAsia="Courier New" w:hAnsi="Courier New"/>
                <w:sz w:val="18"/>
                <w:szCs w:val="18"/>
                <w:color w:val="auto"/>
              </w:rPr>
              <w:t>Page 2</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8"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8"/>
          <w:szCs w:val="18"/>
          <w:color w:val="auto"/>
        </w:rPr>
        <w:t>PART I - FINANCIAL INFORMATION</w:t>
      </w:r>
    </w:p>
    <w:p>
      <w:pPr>
        <w:spacing w:after="0" w:line="3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ITEM 1. FINANCIAL STATEMENTS</w:t>
      </w:r>
    </w:p>
    <w:p>
      <w:pPr>
        <w:spacing w:after="0" w:line="37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ind w:left="3380"/>
        <w:spacing w:after="0"/>
        <w:rPr>
          <w:sz w:val="20"/>
          <w:szCs w:val="20"/>
          <w:color w:val="auto"/>
        </w:rPr>
      </w:pPr>
      <w:r>
        <w:rPr>
          <w:rFonts w:ascii="Courier New" w:cs="Courier New" w:eastAsia="Courier New" w:hAnsi="Courier New"/>
          <w:sz w:val="18"/>
          <w:szCs w:val="18"/>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31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January 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680" w:type="dxa"/>
            <w:vAlign w:val="bottom"/>
          </w:tcPr>
          <w:p>
            <w:pPr>
              <w:ind w:left="740"/>
              <w:spacing w:after="0"/>
              <w:rPr>
                <w:sz w:val="20"/>
                <w:szCs w:val="20"/>
                <w:color w:val="auto"/>
              </w:rPr>
            </w:pPr>
            <w:r>
              <w:rPr>
                <w:rFonts w:ascii="Courier New" w:cs="Courier New" w:eastAsia="Courier New" w:hAnsi="Courier New"/>
                <w:sz w:val="18"/>
                <w:szCs w:val="18"/>
                <w:color w:val="auto"/>
              </w:rPr>
              <w:t>1994</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sales ....................................</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$ 68,326</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$ 98,019</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37,364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53,520</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Gross profit .................................</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30,962</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44,499</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Marketing ....................................</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12,921</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22,397</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10,976</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14,540</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5,010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5,967</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2,765</w:t>
            </w:r>
          </w:p>
        </w:tc>
        <w:tc>
          <w:tcPr>
            <w:tcW w:w="0" w:type="dxa"/>
            <w:vAlign w:val="bottom"/>
          </w:tcPr>
          <w:p>
            <w:pPr>
              <w:spacing w:after="0"/>
              <w:rPr>
                <w:sz w:val="1"/>
                <w:szCs w:val="1"/>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expenses, net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995</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from operations</w:t>
            </w: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r>
              <w:rPr>
                <w:rFonts w:ascii="Courier New" w:cs="Courier New" w:eastAsia="Courier New" w:hAnsi="Courier New"/>
                <w:sz w:val="35"/>
                <w:szCs w:val="35"/>
                <w:color w:val="auto"/>
                <w:vertAlign w:val="subscript"/>
              </w:rPr>
              <w:t>23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5280" w:type="dxa"/>
            <w:vAlign w:val="bottom"/>
            <w:vMerge w:val="continue"/>
          </w:tcPr>
          <w:p>
            <w:pPr>
              <w:jc w:val="right"/>
              <w:ind w:right="332"/>
              <w:spacing w:after="0" w:line="178" w:lineRule="exact"/>
              <w:rPr>
                <w:sz w:val="20"/>
                <w:szCs w:val="20"/>
                <w:color w:val="auto"/>
              </w:rPr>
            </w:pPr>
            <w:r>
              <w:rPr>
                <w:rFonts w:ascii="Courier New" w:cs="Courier New" w:eastAsia="Courier New" w:hAnsi="Courier New"/>
                <w:sz w:val="18"/>
                <w:szCs w:val="18"/>
                <w:color w:val="auto"/>
              </w:rPr>
              <w:t>................</w:t>
            </w:r>
          </w:p>
        </w:tc>
        <w:tc>
          <w:tcPr>
            <w:tcW w:w="1680" w:type="dxa"/>
            <w:vAlign w:val="bottom"/>
            <w:vMerge w:val="continue"/>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(2,165)</w:t>
            </w:r>
          </w:p>
        </w:tc>
        <w:tc>
          <w:tcPr>
            <w:tcW w:w="0" w:type="dxa"/>
            <w:vAlign w:val="bottom"/>
          </w:tcPr>
          <w:p>
            <w:pPr>
              <w:spacing w:after="0"/>
              <w:rPr>
                <w:sz w:val="1"/>
                <w:szCs w:val="1"/>
                <w:color w:val="auto"/>
              </w:rPr>
            </w:pPr>
          </w:p>
        </w:tc>
      </w:tr>
      <w:tr>
        <w:trPr>
          <w:trHeight w:val="388"/>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Interest expense .............................</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2,640</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5,694</w:t>
            </w:r>
          </w:p>
        </w:tc>
        <w:tc>
          <w:tcPr>
            <w:tcW w:w="0" w:type="dxa"/>
            <w:vAlign w:val="bottom"/>
          </w:tcPr>
          <w:p>
            <w:pPr>
              <w:spacing w:after="0"/>
              <w:rPr>
                <w:sz w:val="1"/>
                <w:szCs w:val="1"/>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Loss before income tax benefit ...............</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(2,617)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(7,859)</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Income tax benefit ...........................</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(3,261)</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loss .....................................</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(1,557)</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(4,598)</w:t>
            </w:r>
          </w:p>
        </w:tc>
        <w:tc>
          <w:tcPr>
            <w:tcW w:w="0" w:type="dxa"/>
            <w:vAlign w:val="bottom"/>
          </w:tcPr>
          <w:p>
            <w:pPr>
              <w:spacing w:after="0"/>
              <w:rPr>
                <w:sz w:val="1"/>
                <w:szCs w:val="1"/>
                <w:color w:val="auto"/>
              </w:rPr>
            </w:pPr>
          </w:p>
        </w:tc>
      </w:tr>
      <w:tr>
        <w:trPr>
          <w:trHeight w:val="203"/>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per common share ....................</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(.08)</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w:t>
            </w:r>
          </w:p>
        </w:tc>
        <w:tc>
          <w:tcPr>
            <w:tcW w:w="0" w:type="dxa"/>
            <w:vAlign w:val="bottom"/>
          </w:tcPr>
          <w:p>
            <w:pPr>
              <w:spacing w:after="0"/>
              <w:rPr>
                <w:sz w:val="1"/>
                <w:szCs w:val="1"/>
                <w:color w:val="auto"/>
              </w:rPr>
            </w:pPr>
          </w:p>
        </w:tc>
      </w:tr>
      <w:tr>
        <w:trPr>
          <w:trHeight w:val="296"/>
        </w:trPr>
        <w:tc>
          <w:tcPr>
            <w:tcW w:w="52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 of</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vMerge w:val="continue"/>
          </w:tcPr>
          <w:p>
            <w:pPr>
              <w:spacing w:after="0"/>
              <w:rPr>
                <w:sz w:val="9"/>
                <w:szCs w:val="9"/>
                <w:color w:val="auto"/>
              </w:rPr>
            </w:pPr>
          </w:p>
        </w:tc>
        <w:tc>
          <w:tcPr>
            <w:tcW w:w="16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18,659</w:t>
            </w:r>
          </w:p>
        </w:tc>
        <w:tc>
          <w:tcPr>
            <w:tcW w:w="14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18,667</w:t>
            </w:r>
          </w:p>
        </w:tc>
        <w:tc>
          <w:tcPr>
            <w:tcW w:w="0" w:type="dxa"/>
            <w:vAlign w:val="bottom"/>
          </w:tcPr>
          <w:p>
            <w:pPr>
              <w:spacing w:after="0"/>
              <w:rPr>
                <w:sz w:val="1"/>
                <w:szCs w:val="1"/>
                <w:color w:val="auto"/>
              </w:rPr>
            </w:pPr>
          </w:p>
        </w:tc>
      </w:tr>
      <w:tr>
        <w:trPr>
          <w:trHeight w:val="203"/>
        </w:trPr>
        <w:tc>
          <w:tcPr>
            <w:tcW w:w="5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common shares outstanding .................</w:t>
            </w:r>
          </w:p>
        </w:tc>
        <w:tc>
          <w:tcPr>
            <w:tcW w:w="16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096"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56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(in thousands)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5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4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January 1</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8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1994</w:t>
            </w:r>
          </w:p>
        </w:tc>
        <w:tc>
          <w:tcPr>
            <w:tcW w:w="13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3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(1,557)</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(4,598)</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loss ........................................</w:t>
            </w: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2072"/>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380" w:type="dxa"/>
            <w:vAlign w:val="bottom"/>
          </w:tcPr>
          <w:p>
            <w:pPr>
              <w:spacing w:after="0"/>
              <w:rPr>
                <w:sz w:val="17"/>
                <w:szCs w:val="17"/>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4,603</w:t>
            </w:r>
          </w:p>
        </w:tc>
        <w:tc>
          <w:tcPr>
            <w:tcW w:w="48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5,801</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Postretirement benefits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c>
          <w:tcPr>
            <w:tcW w:w="0" w:type="dxa"/>
            <w:vAlign w:val="bottom"/>
          </w:tcPr>
          <w:p>
            <w:pPr>
              <w:spacing w:after="0"/>
              <w:rPr>
                <w:sz w:val="1"/>
                <w:szCs w:val="1"/>
                <w:color w:val="auto"/>
              </w:rPr>
            </w:pPr>
          </w:p>
        </w:tc>
      </w:tr>
      <w:tr>
        <w:trPr>
          <w:trHeight w:val="203"/>
        </w:trPr>
        <w:tc>
          <w:tcPr>
            <w:tcW w:w="5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3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(53,377)</w:t>
            </w:r>
          </w:p>
        </w:tc>
        <w:tc>
          <w:tcPr>
            <w:tcW w:w="4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(45,543)</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working capital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increase (decrease) in other assets and</w:t>
            </w:r>
          </w:p>
        </w:tc>
        <w:tc>
          <w:tcPr>
            <w:tcW w:w="3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(147)</w:t>
            </w:r>
          </w:p>
        </w:tc>
        <w:tc>
          <w:tcPr>
            <w:tcW w:w="48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354</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liabilities and other adjustments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used in operating activities..</w:t>
            </w:r>
          </w:p>
        </w:tc>
        <w:tc>
          <w:tcPr>
            <w:tcW w:w="3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(50,446)</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(43,820)</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80" w:type="dxa"/>
            <w:vAlign w:val="bottom"/>
          </w:tcPr>
          <w:p>
            <w:pPr>
              <w:spacing w:after="0"/>
              <w:rPr>
                <w:sz w:val="24"/>
                <w:szCs w:val="24"/>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(4,985)</w:t>
            </w:r>
          </w:p>
        </w:tc>
        <w:tc>
          <w:tcPr>
            <w:tcW w:w="4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(5,012)</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plant and equipment, net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 Affiliate .........................</w:t>
            </w:r>
          </w:p>
        </w:tc>
        <w:tc>
          <w:tcPr>
            <w:tcW w:w="3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Acquisition of Sierra, net of cash acquired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(118,986)</w:t>
            </w:r>
          </w:p>
        </w:tc>
        <w:tc>
          <w:tcPr>
            <w:tcW w:w="4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used in investing activities..</w:t>
            </w:r>
          </w:p>
        </w:tc>
        <w:tc>
          <w:tcPr>
            <w:tcW w:w="3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(123,971)</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(5,262)</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80" w:type="dxa"/>
            <w:vAlign w:val="bottom"/>
          </w:tcPr>
          <w:p>
            <w:pPr>
              <w:spacing w:after="0"/>
              <w:rPr>
                <w:sz w:val="24"/>
                <w:szCs w:val="24"/>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125,000</w:t>
            </w:r>
          </w:p>
        </w:tc>
        <w:tc>
          <w:tcPr>
            <w:tcW w:w="480" w:type="dxa"/>
            <w:vAlign w:val="bottom"/>
          </w:tcPr>
          <w:p>
            <w:pPr>
              <w:spacing w:after="0"/>
              <w:rPr>
                <w:sz w:val="24"/>
                <w:szCs w:val="24"/>
                <w:color w:val="auto"/>
              </w:rPr>
            </w:pPr>
          </w:p>
        </w:tc>
        <w:tc>
          <w:tcPr>
            <w:tcW w:w="8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Borrowings under term debt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Payments on term and other debt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Revolving lines of credit and bank line of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53,598</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44,646</w:t>
            </w:r>
          </w:p>
        </w:tc>
        <w:tc>
          <w:tcPr>
            <w:tcW w:w="0" w:type="dxa"/>
            <w:vAlign w:val="bottom"/>
          </w:tcPr>
          <w:p>
            <w:pPr>
              <w:spacing w:after="0"/>
              <w:rPr>
                <w:sz w:val="1"/>
                <w:szCs w:val="1"/>
                <w:color w:val="auto"/>
              </w:rPr>
            </w:pPr>
          </w:p>
        </w:tc>
      </w:tr>
      <w:tr>
        <w:trPr>
          <w:trHeight w:val="296"/>
        </w:trPr>
        <w:tc>
          <w:tcPr>
            <w:tcW w:w="5640" w:type="dxa"/>
            <w:vAlign w:val="bottom"/>
          </w:tcPr>
          <w:p>
            <w:pPr>
              <w:jc w:val="right"/>
              <w:ind w:right="3852"/>
              <w:spacing w:after="0"/>
              <w:rPr>
                <w:sz w:val="20"/>
                <w:szCs w:val="20"/>
                <w:color w:val="auto"/>
              </w:rPr>
            </w:pPr>
            <w:r>
              <w:rPr>
                <w:rFonts w:ascii="Courier New" w:cs="Courier New" w:eastAsia="Courier New" w:hAnsi="Courier New"/>
                <w:sz w:val="18"/>
                <w:szCs w:val="18"/>
                <w:color w:val="auto"/>
              </w:rPr>
              <w:t>credit, net</w:t>
            </w: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provided by financing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178,457</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43,919</w:t>
            </w:r>
          </w:p>
        </w:tc>
        <w:tc>
          <w:tcPr>
            <w:tcW w:w="0" w:type="dxa"/>
            <w:vAlign w:val="bottom"/>
          </w:tcPr>
          <w:p>
            <w:pPr>
              <w:spacing w:after="0"/>
              <w:rPr>
                <w:sz w:val="1"/>
                <w:szCs w:val="1"/>
                <w:color w:val="auto"/>
              </w:rPr>
            </w:pPr>
          </w:p>
        </w:tc>
      </w:tr>
      <w:tr>
        <w:trPr>
          <w:trHeight w:val="296"/>
        </w:trPr>
        <w:tc>
          <w:tcPr>
            <w:tcW w:w="5640" w:type="dxa"/>
            <w:vAlign w:val="bottom"/>
          </w:tcPr>
          <w:p>
            <w:pPr>
              <w:jc w:val="right"/>
              <w:ind w:right="2912"/>
              <w:spacing w:after="0"/>
              <w:rPr>
                <w:sz w:val="20"/>
                <w:szCs w:val="20"/>
                <w:color w:val="auto"/>
              </w:rPr>
            </w:pPr>
            <w:r>
              <w:rPr>
                <w:rFonts w:ascii="Courier New" w:cs="Courier New" w:eastAsia="Courier New" w:hAnsi="Courier New"/>
                <w:sz w:val="18"/>
                <w:szCs w:val="18"/>
                <w:color w:val="auto"/>
              </w:rPr>
              <w:t>activities</w:t>
            </w: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Effect of exchange rate changes on cash ...........</w:t>
            </w:r>
          </w:p>
        </w:tc>
        <w:tc>
          <w:tcPr>
            <w:tcW w:w="38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(122)</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increase (decrease) in cash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3,924</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(5,285)</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beginning of period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2,323</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10,695</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Cash at end of period .............................</w:t>
            </w:r>
          </w:p>
        </w:tc>
        <w:tc>
          <w:tcPr>
            <w:tcW w:w="380" w:type="dxa"/>
            <w:vAlign w:val="bottom"/>
          </w:tcPr>
          <w:p>
            <w:pPr>
              <w:ind w:left="2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6,247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5,410</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1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3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1,958</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2,082</w:t>
            </w: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paid, net of amount capitalized ........</w:t>
            </w: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Income taxes paid ...............................</w:t>
            </w:r>
          </w:p>
        </w:tc>
        <w:tc>
          <w:tcPr>
            <w:tcW w:w="3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2,261</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Detail of entities acquired:</w:t>
            </w:r>
          </w:p>
        </w:tc>
        <w:tc>
          <w:tcPr>
            <w:tcW w:w="380" w:type="dxa"/>
            <w:vAlign w:val="bottom"/>
          </w:tcPr>
          <w:p>
            <w:pPr>
              <w:spacing w:after="0"/>
              <w:rPr>
                <w:sz w:val="17"/>
                <w:szCs w:val="17"/>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138,933</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Fair value of assets acquired ..................</w:t>
            </w:r>
          </w:p>
        </w:tc>
        <w:tc>
          <w:tcPr>
            <w:tcW w:w="3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Liabilities assumed ............................</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(19,947)</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Net cash paid for acquisition ..................</w:t>
            </w:r>
          </w:p>
        </w:tc>
        <w:tc>
          <w:tcPr>
            <w:tcW w:w="3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118,986</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1096"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96"/>
        </w:trPr>
        <w:tc>
          <w:tcPr>
            <w:tcW w:w="4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9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January 1</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December 31</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September 30</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1994</w:t>
            </w:r>
          </w:p>
        </w:tc>
        <w:tc>
          <w:tcPr>
            <w:tcW w:w="38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_________</w:t>
            </w:r>
          </w:p>
        </w:tc>
        <w:tc>
          <w:tcPr>
            <w:tcW w:w="13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___________</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____________</w:t>
            </w: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6,247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5,410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10,695</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Cash and cash equivalents .................</w:t>
            </w: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Accounts receivable, less allowances</w:t>
            </w:r>
          </w:p>
        </w:tc>
        <w:tc>
          <w:tcPr>
            <w:tcW w:w="320" w:type="dxa"/>
            <w:vAlign w:val="bottom"/>
          </w:tcPr>
          <w:p>
            <w:pPr>
              <w:spacing w:after="0"/>
              <w:rPr>
                <w:sz w:val="17"/>
                <w:szCs w:val="17"/>
                <w:color w:val="auto"/>
              </w:rPr>
            </w:pP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93,964</w:t>
            </w:r>
          </w:p>
        </w:tc>
        <w:tc>
          <w:tcPr>
            <w:tcW w:w="380" w:type="dxa"/>
            <w:vAlign w:val="bottom"/>
          </w:tcPr>
          <w:p>
            <w:pPr>
              <w:spacing w:after="0"/>
              <w:rPr>
                <w:sz w:val="17"/>
                <w:szCs w:val="17"/>
                <w:color w:val="auto"/>
              </w:rPr>
            </w:pP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128,454</w:t>
            </w:r>
          </w:p>
        </w:tc>
        <w:tc>
          <w:tcPr>
            <w:tcW w:w="36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115,772</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$3,056, $3,213 and $2,933, respectively</w:t>
            </w: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Inventories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129,421</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145,095</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106,636</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Prepaid and other assets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16,152</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17,240</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17,151</w:t>
            </w:r>
          </w:p>
        </w:tc>
        <w:tc>
          <w:tcPr>
            <w:tcW w:w="0" w:type="dxa"/>
            <w:vAlign w:val="bottom"/>
          </w:tcPr>
          <w:p>
            <w:pPr>
              <w:spacing w:after="0"/>
              <w:rPr>
                <w:sz w:val="1"/>
                <w:szCs w:val="1"/>
                <w:color w:val="auto"/>
              </w:rPr>
            </w:pPr>
          </w:p>
        </w:tc>
      </w:tr>
      <w:tr>
        <w:trPr>
          <w:trHeight w:val="203"/>
        </w:trPr>
        <w:tc>
          <w:tcPr>
            <w:tcW w:w="4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Total current assets .....................</w:t>
            </w:r>
          </w:p>
        </w:tc>
        <w:tc>
          <w:tcPr>
            <w:tcW w:w="320" w:type="dxa"/>
            <w:vAlign w:val="bottom"/>
          </w:tcPr>
          <w:p>
            <w:pPr>
              <w:ind w:left="100"/>
              <w:spacing w:after="0"/>
              <w:rPr>
                <w:sz w:val="20"/>
                <w:szCs w:val="20"/>
                <w:color w:val="auto"/>
              </w:rPr>
            </w:pPr>
            <w:r>
              <w:rPr>
                <w:rFonts w:ascii="Courier New" w:cs="Courier New" w:eastAsia="Courier New" w:hAnsi="Courier New"/>
                <w:sz w:val="5"/>
                <w:szCs w:val="5"/>
                <w:color w:val="auto"/>
                <w:w w:val="73"/>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245,784</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296,199</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250,254</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Property, plant and equipment, net ..........</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122,320</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141,556</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140,105</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Patents and other intangibles, net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31,592</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27,485</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28,880</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Goodwill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103,488</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103,926</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104,578</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assets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5,558</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4,957</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4,767</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Assets .............................</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$ 508,742</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$ 574,123</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$ 528,584</w:t>
            </w:r>
          </w:p>
        </w:tc>
        <w:tc>
          <w:tcPr>
            <w:tcW w:w="0" w:type="dxa"/>
            <w:vAlign w:val="bottom"/>
          </w:tcPr>
          <w:p>
            <w:pPr>
              <w:spacing w:after="0"/>
              <w:rPr>
                <w:sz w:val="1"/>
                <w:szCs w:val="1"/>
                <w:color w:val="auto"/>
              </w:rPr>
            </w:pPr>
          </w:p>
        </w:tc>
      </w:tr>
      <w:tr>
        <w:trPr>
          <w:trHeight w:val="203"/>
        </w:trPr>
        <w:tc>
          <w:tcPr>
            <w:tcW w:w="4960" w:type="dxa"/>
            <w:vAlign w:val="bottom"/>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gridSpan w:val="2"/>
          </w:tcPr>
          <w:p>
            <w:pPr>
              <w:ind w:left="2220"/>
              <w:spacing w:after="0" w:line="203" w:lineRule="exact"/>
              <w:rPr>
                <w:sz w:val="20"/>
                <w:szCs w:val="20"/>
                <w:color w:val="auto"/>
              </w:rPr>
            </w:pPr>
            <w:r>
              <w:rPr>
                <w:rFonts w:ascii="Courier New" w:cs="Courier New" w:eastAsia="Courier New" w:hAnsi="Courier New"/>
                <w:sz w:val="18"/>
                <w:szCs w:val="18"/>
                <w:color w:val="auto"/>
                <w:w w:val="97"/>
              </w:rPr>
              <w:t>LIABILITIES AND SHAREHOLDERS'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EQUITY</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45,303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68,062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23,416</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Revolving credit line .....................</w:t>
            </w:r>
          </w:p>
        </w:tc>
        <w:tc>
          <w:tcPr>
            <w:tcW w:w="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Current portion of term debt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20,444</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5,540</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3,755</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41,388</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53,565</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46,967</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current liabilities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25,932</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35,065</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35,550</w:t>
            </w:r>
          </w:p>
        </w:tc>
        <w:tc>
          <w:tcPr>
            <w:tcW w:w="0" w:type="dxa"/>
            <w:vAlign w:val="bottom"/>
          </w:tcPr>
          <w:p>
            <w:pPr>
              <w:spacing w:after="0"/>
              <w:rPr>
                <w:sz w:val="1"/>
                <w:szCs w:val="1"/>
                <w:color w:val="auto"/>
              </w:rPr>
            </w:pPr>
          </w:p>
        </w:tc>
      </w:tr>
      <w:tr>
        <w:trPr>
          <w:trHeight w:val="203"/>
        </w:trPr>
        <w:tc>
          <w:tcPr>
            <w:tcW w:w="4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Total current liabilities ................</w:t>
            </w:r>
          </w:p>
        </w:tc>
        <w:tc>
          <w:tcPr>
            <w:tcW w:w="320" w:type="dxa"/>
            <w:vAlign w:val="bottom"/>
          </w:tcPr>
          <w:p>
            <w:pPr>
              <w:ind w:left="100"/>
              <w:spacing w:after="0"/>
              <w:rPr>
                <w:sz w:val="20"/>
                <w:szCs w:val="20"/>
                <w:color w:val="auto"/>
              </w:rPr>
            </w:pPr>
            <w:r>
              <w:rPr>
                <w:rFonts w:ascii="Courier New" w:cs="Courier New" w:eastAsia="Courier New" w:hAnsi="Courier New"/>
                <w:sz w:val="5"/>
                <w:szCs w:val="5"/>
                <w:color w:val="auto"/>
                <w:w w:val="73"/>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133,067</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162,232</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109,688</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Long-term debt, less current portion ........</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205,640</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217,618</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220,130</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Postretirement benefits other than pensions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26,678</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27,180</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27,014</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Other liabilities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1,986</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3,492</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3,592</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Liabilities ........................</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367,371</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410,522</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360,424</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9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 Stock, $.01 par value in 1993 ...</w:t>
            </w: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211</w:t>
            </w:r>
          </w:p>
        </w:tc>
        <w:tc>
          <w:tcPr>
            <w:tcW w:w="360" w:type="dxa"/>
            <w:vAlign w:val="bottom"/>
          </w:tcPr>
          <w:p>
            <w:pPr>
              <w:spacing w:after="0"/>
              <w:rPr>
                <w:sz w:val="17"/>
                <w:szCs w:val="17"/>
                <w:color w:val="auto"/>
              </w:rPr>
            </w:pPr>
          </w:p>
        </w:tc>
        <w:tc>
          <w:tcPr>
            <w:tcW w:w="10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211</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Common Shares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211</w:t>
            </w:r>
          </w:p>
        </w:tc>
        <w:tc>
          <w:tcPr>
            <w:tcW w:w="3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Capital in excess of par value ............</w:t>
            </w:r>
          </w:p>
        </w:tc>
        <w:tc>
          <w:tcPr>
            <w:tcW w:w="3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193,353</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193,418</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193,450</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Retained earnings (deficit) ...............</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(10,565)</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9,277</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13,875</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Cumulative translation gain (loss) ........</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w:t>
            </w: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2,136</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2,065</w:t>
            </w:r>
          </w:p>
        </w:tc>
        <w:tc>
          <w:tcPr>
            <w:tcW w:w="0" w:type="dxa"/>
            <w:vAlign w:val="bottom"/>
          </w:tcPr>
          <w:p>
            <w:pPr>
              <w:spacing w:after="0"/>
              <w:rPr>
                <w:sz w:val="1"/>
                <w:szCs w:val="1"/>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Treasury stock, 2,415 shares at cost ......</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(41,441)</w:t>
            </w:r>
          </w:p>
        </w:tc>
        <w:tc>
          <w:tcPr>
            <w:tcW w:w="38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(41,441)</w:t>
            </w:r>
          </w:p>
        </w:tc>
        <w:tc>
          <w:tcPr>
            <w:tcW w:w="3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(41,441)</w:t>
            </w:r>
          </w:p>
        </w:tc>
        <w:tc>
          <w:tcPr>
            <w:tcW w:w="0" w:type="dxa"/>
            <w:vAlign w:val="bottom"/>
          </w:tcPr>
          <w:p>
            <w:pPr>
              <w:spacing w:after="0"/>
              <w:rPr>
                <w:sz w:val="1"/>
                <w:szCs w:val="1"/>
                <w:color w:val="auto"/>
              </w:rPr>
            </w:pPr>
          </w:p>
        </w:tc>
      </w:tr>
      <w:tr>
        <w:trPr>
          <w:trHeight w:val="203"/>
        </w:trPr>
        <w:tc>
          <w:tcPr>
            <w:tcW w:w="49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Total Shareholders' Equity ...............</w:t>
            </w:r>
          </w:p>
        </w:tc>
        <w:tc>
          <w:tcPr>
            <w:tcW w:w="320" w:type="dxa"/>
            <w:vAlign w:val="bottom"/>
          </w:tcPr>
          <w:p>
            <w:pPr>
              <w:ind w:left="100"/>
              <w:spacing w:after="0"/>
              <w:rPr>
                <w:sz w:val="20"/>
                <w:szCs w:val="20"/>
                <w:color w:val="auto"/>
              </w:rPr>
            </w:pPr>
            <w:r>
              <w:rPr>
                <w:rFonts w:ascii="Courier New" w:cs="Courier New" w:eastAsia="Courier New" w:hAnsi="Courier New"/>
                <w:sz w:val="5"/>
                <w:szCs w:val="5"/>
                <w:color w:val="auto"/>
                <w:w w:val="73"/>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141,371</w:t>
            </w: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163,601</w:t>
            </w:r>
          </w:p>
        </w:tc>
        <w:tc>
          <w:tcPr>
            <w:tcW w:w="360" w:type="dxa"/>
            <w:vAlign w:val="bottom"/>
          </w:tcPr>
          <w:p>
            <w:pPr>
              <w:spacing w:after="0"/>
              <w:rPr>
                <w:sz w:val="17"/>
                <w:szCs w:val="17"/>
                <w:color w:val="auto"/>
              </w:rPr>
            </w:pP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168,160</w:t>
            </w:r>
          </w:p>
        </w:tc>
        <w:tc>
          <w:tcPr>
            <w:tcW w:w="0" w:type="dxa"/>
            <w:vAlign w:val="bottom"/>
          </w:tcPr>
          <w:p>
            <w:pPr>
              <w:spacing w:after="0"/>
              <w:rPr>
                <w:sz w:val="1"/>
                <w:szCs w:val="1"/>
                <w:color w:val="auto"/>
              </w:rPr>
            </w:pPr>
          </w:p>
        </w:tc>
      </w:tr>
      <w:tr>
        <w:trPr>
          <w:trHeight w:val="296"/>
        </w:trPr>
        <w:tc>
          <w:tcPr>
            <w:tcW w:w="4960" w:type="dxa"/>
            <w:vAlign w:val="bottom"/>
          </w:tcPr>
          <w:p>
            <w:pPr>
              <w:spacing w:after="0"/>
              <w:rPr>
                <w:sz w:val="24"/>
                <w:szCs w:val="24"/>
                <w:color w:val="auto"/>
              </w:rPr>
            </w:pP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 Liabilities and Shareholders' ......</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$ 508,742</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$ 574,123</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$ 528,584</w:t>
            </w:r>
          </w:p>
        </w:tc>
        <w:tc>
          <w:tcPr>
            <w:tcW w:w="0" w:type="dxa"/>
            <w:vAlign w:val="bottom"/>
          </w:tcPr>
          <w:p>
            <w:pPr>
              <w:spacing w:after="0"/>
              <w:rPr>
                <w:sz w:val="1"/>
                <w:szCs w:val="1"/>
                <w:color w:val="auto"/>
              </w:rPr>
            </w:pPr>
          </w:p>
        </w:tc>
      </w:tr>
      <w:tr>
        <w:trPr>
          <w:trHeight w:val="296"/>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Equity ................................</w:t>
            </w:r>
          </w:p>
        </w:tc>
        <w:tc>
          <w:tcPr>
            <w:tcW w:w="32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w:t>
            </w:r>
          </w:p>
        </w:tc>
        <w:tc>
          <w:tcPr>
            <w:tcW w:w="38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691" w:right="1440" w:bottom="1440" w:gutter="0" w:footer="0" w:header="0"/>
        </w:sectPr>
      </w:pPr>
    </w:p>
    <w:bookmarkStart w:id="5" w:name="page6"/>
    <w:bookmarkEnd w:id="5"/>
    <w:p>
      <w:pPr>
        <w:spacing w:after="0" w:line="61" w:lineRule="exact"/>
        <w:rPr>
          <w:sz w:val="20"/>
          <w:szCs w:val="20"/>
          <w:color w:val="auto"/>
        </w:rPr>
      </w:pPr>
    </w:p>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374" w:lineRule="exact"/>
        <w:rPr>
          <w:sz w:val="20"/>
          <w:szCs w:val="20"/>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1" w:lineRule="exact"/>
        <w:rPr>
          <w:sz w:val="20"/>
          <w:szCs w:val="20"/>
          <w:color w:val="auto"/>
        </w:rPr>
      </w:pPr>
    </w:p>
    <w:p>
      <w:pPr>
        <w:jc w:val="both"/>
        <w:ind w:left="532" w:right="1999" w:firstLine="527"/>
        <w:spacing w:after="0" w:line="256" w:lineRule="auto"/>
        <w:rPr>
          <w:sz w:val="20"/>
          <w:szCs w:val="20"/>
          <w:color w:val="auto"/>
        </w:rPr>
      </w:pPr>
      <w:r>
        <w:rPr>
          <w:rFonts w:ascii="Courier New" w:cs="Courier New" w:eastAsia="Courier New" w:hAnsi="Courier New"/>
          <w:sz w:val="18"/>
          <w:szCs w:val="18"/>
          <w:color w:val="auto"/>
        </w:rPr>
        <w:t>The Scotts Company ("Scotts") and its wholly owned subsidiaries, Hyponex Corporation ("Hyponex"), Republic Tool and Manufacturing Corp. ("Republic") and Scott-Sierra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98" w:lineRule="exact"/>
        <w:rPr>
          <w:sz w:val="20"/>
          <w:szCs w:val="20"/>
          <w:color w:val="auto"/>
        </w:rPr>
      </w:pPr>
    </w:p>
    <w:p>
      <w:pPr>
        <w:jc w:val="both"/>
        <w:ind w:left="532" w:right="1999" w:firstLine="527"/>
        <w:spacing w:after="0" w:line="246" w:lineRule="auto"/>
        <w:rPr>
          <w:sz w:val="20"/>
          <w:szCs w:val="20"/>
          <w:color w:val="auto"/>
        </w:rPr>
      </w:pPr>
      <w:r>
        <w:rPr>
          <w:rFonts w:ascii="Courier New" w:cs="Courier New" w:eastAsia="Courier New" w:hAnsi="Courier New"/>
          <w:sz w:val="18"/>
          <w:szCs w:val="18"/>
          <w:color w:val="auto"/>
        </w:rPr>
        <w:t>The consolidated balance sheets as of January 1, 1994 and December 31, 1994, the related consolidated statements of income for the three month periods ended January 1, 1994 and December 31, 1994 and the related consolidated statements of cash flows for the three month periods ended January 1, 1994 and December 31,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113" w:lineRule="exact"/>
        <w:rPr>
          <w:sz w:val="20"/>
          <w:szCs w:val="20"/>
          <w:color w:val="auto"/>
        </w:rPr>
      </w:pPr>
    </w:p>
    <w:p>
      <w:pPr>
        <w:jc w:val="both"/>
        <w:ind w:left="532" w:right="1999" w:firstLine="527"/>
        <w:spacing w:after="0" w:line="256" w:lineRule="auto"/>
        <w:rPr>
          <w:sz w:val="20"/>
          <w:szCs w:val="20"/>
          <w:color w:val="auto"/>
        </w:rPr>
      </w:pPr>
      <w:r>
        <w:rPr>
          <w:rFonts w:ascii="Courier New" w:cs="Courier New" w:eastAsia="Courier New" w:hAnsi="Courier New"/>
          <w:sz w:val="18"/>
          <w:szCs w:val="18"/>
          <w:color w:val="auto"/>
        </w:rPr>
        <w:t>The financial statements included in this Form 10-Q/A, Amendment No. 1 have been revised to reflect a change in the timing of expense recognition related to a promotional allowance offered to retail customers introduced for the first time in fiscal 1995. The impact of this revision is on timing of marketing promotional expense recognition in the first three quarters of the Company's fiscal year and did not impact the full fiscal year results of operations.</w:t>
      </w:r>
    </w:p>
    <w:p>
      <w:pPr>
        <w:spacing w:after="0" w:line="98" w:lineRule="exact"/>
        <w:rPr>
          <w:sz w:val="20"/>
          <w:szCs w:val="20"/>
          <w:color w:val="auto"/>
        </w:rPr>
      </w:pPr>
    </w:p>
    <w:p>
      <w:pPr>
        <w:ind w:left="532" w:right="8219" w:hanging="532"/>
        <w:spacing w:after="0" w:line="402" w:lineRule="auto"/>
        <w:tabs>
          <w:tab w:leader="none" w:pos="5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 consisted of the following:</w:t>
      </w:r>
    </w:p>
    <w:p>
      <w:pPr>
        <w:spacing w:after="0" w:line="200"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January 1</w:t>
            </w:r>
          </w:p>
        </w:tc>
        <w:tc>
          <w:tcPr>
            <w:tcW w:w="480" w:type="dxa"/>
            <w:vAlign w:val="bottom"/>
          </w:tcPr>
          <w:p>
            <w:pPr>
              <w:spacing w:after="0"/>
              <w:rPr>
                <w:sz w:val="17"/>
                <w:szCs w:val="17"/>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December 31</w:t>
            </w:r>
          </w:p>
        </w:tc>
        <w:tc>
          <w:tcPr>
            <w:tcW w:w="1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1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96"/>
        </w:trPr>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311"/>
        </w:trPr>
        <w:tc>
          <w:tcPr>
            <w:tcW w:w="174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80,174</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85,314</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54,980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Raw Materials</w:t>
            </w:r>
          </w:p>
        </w:tc>
        <w:tc>
          <w:tcPr>
            <w:tcW w:w="460" w:type="dxa"/>
            <w:vAlign w:val="bottom"/>
          </w:tcPr>
          <w:p>
            <w:pPr>
              <w:spacing w:after="0"/>
              <w:rPr>
                <w:sz w:val="17"/>
                <w:szCs w:val="17"/>
                <w:color w:val="auto"/>
              </w:rPr>
            </w:pP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49,247</w:t>
            </w:r>
          </w:p>
        </w:tc>
        <w:tc>
          <w:tcPr>
            <w:tcW w:w="48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59,781</w:t>
            </w:r>
          </w:p>
        </w:tc>
        <w:tc>
          <w:tcPr>
            <w:tcW w:w="4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51,656</w:t>
            </w:r>
          </w:p>
        </w:tc>
      </w:tr>
      <w:tr>
        <w:trPr>
          <w:trHeight w:val="296"/>
        </w:trPr>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w:t>
            </w:r>
          </w:p>
        </w:tc>
      </w:tr>
      <w:tr>
        <w:trPr>
          <w:trHeight w:val="311"/>
        </w:trPr>
        <w:tc>
          <w:tcPr>
            <w:tcW w:w="17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129,421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145,095</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106,636</w:t>
            </w:r>
          </w:p>
        </w:tc>
      </w:tr>
      <w:tr>
        <w:trPr>
          <w:trHeight w:val="296"/>
        </w:trPr>
        <w:tc>
          <w:tcPr>
            <w:tcW w:w="1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4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left="532" w:hanging="532"/>
        <w:spacing w:after="0"/>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left="532" w:right="1999" w:firstLine="527"/>
        <w:spacing w:after="0" w:line="347" w:lineRule="auto"/>
        <w:rPr>
          <w:sz w:val="20"/>
          <w:szCs w:val="20"/>
          <w:color w:val="auto"/>
        </w:rPr>
      </w:pPr>
      <w:r>
        <w:rPr>
          <w:rFonts w:ascii="Courier New" w:cs="Courier New" w:eastAsia="Courier New" w:hAnsi="Courier New"/>
          <w:sz w:val="18"/>
          <w:szCs w:val="18"/>
          <w:color w:val="auto"/>
        </w:rPr>
        <w:t>Certain reclassifications have been made to the prior periods' financial statements to conform to December 31, 1994 presentation.</w:t>
      </w:r>
    </w:p>
    <w:p>
      <w:pPr>
        <w:spacing w:after="0" w:line="221"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1"/>
          </w:cols>
          <w:pgMar w:left="248" w:top="1440" w:right="1440" w:bottom="1440" w:gutter="0" w:footer="0" w:header="0"/>
        </w:sectPr>
      </w:pPr>
    </w:p>
    <w:bookmarkStart w:id="6" w:name="page7"/>
    <w:bookmarkEnd w:id="6"/>
    <w:p>
      <w:pPr>
        <w:ind w:left="2312"/>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3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169"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1" w:lineRule="exact"/>
        <w:rPr>
          <w:sz w:val="20"/>
          <w:szCs w:val="20"/>
          <w:color w:val="auto"/>
        </w:rPr>
      </w:pPr>
    </w:p>
    <w:p>
      <w:pPr>
        <w:jc w:val="both"/>
        <w:ind w:left="532" w:right="1999" w:firstLine="527"/>
        <w:spacing w:after="0" w:line="249" w:lineRule="auto"/>
        <w:rPr>
          <w:sz w:val="20"/>
          <w:szCs w:val="20"/>
          <w:color w:val="auto"/>
        </w:rPr>
      </w:pPr>
      <w:r>
        <w:rPr>
          <w:rFonts w:ascii="Courier New" w:cs="Courier New" w:eastAsia="Courier New" w:hAnsi="Courier New"/>
          <w:sz w:val="18"/>
          <w:szCs w:val="18"/>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104" w:lineRule="exact"/>
        <w:rPr>
          <w:sz w:val="20"/>
          <w:szCs w:val="20"/>
          <w:color w:val="auto"/>
        </w:rPr>
      </w:pPr>
    </w:p>
    <w:p>
      <w:pPr>
        <w:jc w:val="both"/>
        <w:ind w:left="532" w:right="1999" w:firstLine="527"/>
        <w:spacing w:after="0" w:line="265" w:lineRule="auto"/>
        <w:rPr>
          <w:sz w:val="20"/>
          <w:szCs w:val="20"/>
          <w:color w:val="auto"/>
        </w:rPr>
      </w:pPr>
      <w:r>
        <w:rPr>
          <w:rFonts w:ascii="Courier New" w:cs="Courier New" w:eastAsia="Courier New" w:hAnsi="Courier New"/>
          <w:sz w:val="18"/>
          <w:szCs w:val="18"/>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88" w:lineRule="exact"/>
        <w:rPr>
          <w:sz w:val="20"/>
          <w:szCs w:val="20"/>
          <w:color w:val="auto"/>
        </w:rPr>
      </w:pPr>
    </w:p>
    <w:tbl>
      <w:tblPr>
        <w:tblLayout w:type="fixed"/>
        <w:tblInd w:w="532"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274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Three Months</w:t>
            </w:r>
          </w:p>
        </w:tc>
        <w:tc>
          <w:tcPr>
            <w:tcW w:w="17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Ended</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45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6"/>
              </w:rPr>
              <w:t>(in thousands, except per share amounts)</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2740" w:type="dxa"/>
            <w:vAlign w:val="bottom"/>
            <w:gridSpan w:val="2"/>
          </w:tcPr>
          <w:p>
            <w:pPr>
              <w:ind w:left="1900"/>
              <w:spacing w:after="0" w:line="203" w:lineRule="exact"/>
              <w:rPr>
                <w:sz w:val="20"/>
                <w:szCs w:val="20"/>
                <w:color w:val="auto"/>
              </w:rPr>
            </w:pPr>
            <w:r>
              <w:rPr>
                <w:rFonts w:ascii="Courier New" w:cs="Courier New" w:eastAsia="Courier New" w:hAnsi="Courier New"/>
                <w:sz w:val="18"/>
                <w:szCs w:val="18"/>
                <w:color w:val="auto"/>
              </w:rPr>
              <w:t>January</w:t>
            </w:r>
          </w:p>
        </w:tc>
        <w:tc>
          <w:tcPr>
            <w:tcW w:w="178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73"/>
              </w:rPr>
              <w:t>1</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1994</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100" w:type="dxa"/>
            <w:vAlign w:val="bottom"/>
          </w:tcPr>
          <w:p>
            <w:pPr>
              <w:ind w:left="1900"/>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8"/>
              </w:rPr>
              <w:t>89,152</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(loss)</w:t>
            </w:r>
          </w:p>
        </w:tc>
        <w:tc>
          <w:tcPr>
            <w:tcW w:w="2100" w:type="dxa"/>
            <w:vAlign w:val="bottom"/>
            <w:vMerge w:val="restart"/>
          </w:tcPr>
          <w:p>
            <w:pPr>
              <w:ind w:left="1900"/>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242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w w:val="95"/>
              </w:rPr>
              <w:t>(4,101)</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common share</w:t>
            </w:r>
          </w:p>
        </w:tc>
        <w:tc>
          <w:tcPr>
            <w:tcW w:w="2100" w:type="dxa"/>
            <w:vAlign w:val="bottom"/>
            <w:vMerge w:val="restart"/>
          </w:tcPr>
          <w:p>
            <w:pPr>
              <w:ind w:left="200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100" w:type="dxa"/>
            <w:vAlign w:val="bottom"/>
            <w:vMerge w:val="continue"/>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532" w:right="1999" w:firstLine="527"/>
        <w:spacing w:after="0" w:line="274" w:lineRule="auto"/>
        <w:rPr>
          <w:sz w:val="20"/>
          <w:szCs w:val="20"/>
          <w:color w:val="auto"/>
        </w:rPr>
      </w:pPr>
      <w:r>
        <w:rPr>
          <w:rFonts w:ascii="Courier New" w:cs="Courier New" w:eastAsia="Courier New" w:hAnsi="Courier New"/>
          <w:sz w:val="18"/>
          <w:szCs w:val="18"/>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82" w:lineRule="exact"/>
        <w:rPr>
          <w:sz w:val="20"/>
          <w:szCs w:val="20"/>
          <w:color w:val="auto"/>
        </w:rPr>
      </w:pPr>
    </w:p>
    <w:p>
      <w:pPr>
        <w:ind w:left="532" w:hanging="532"/>
        <w:spacing w:after="0"/>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1" w:lineRule="exact"/>
        <w:rPr>
          <w:sz w:val="20"/>
          <w:szCs w:val="20"/>
          <w:color w:val="auto"/>
        </w:rPr>
      </w:pPr>
    </w:p>
    <w:p>
      <w:pPr>
        <w:jc w:val="both"/>
        <w:ind w:left="532" w:right="1999" w:firstLine="527"/>
        <w:spacing w:after="0" w:line="256" w:lineRule="auto"/>
        <w:rPr>
          <w:sz w:val="20"/>
          <w:szCs w:val="20"/>
          <w:color w:val="auto"/>
        </w:rPr>
      </w:pPr>
      <w:r>
        <w:rPr>
          <w:rFonts w:ascii="Courier New" w:cs="Courier New" w:eastAsia="Courier New" w:hAnsi="Courier New"/>
          <w:sz w:val="18"/>
          <w:szCs w:val="18"/>
          <w:color w:val="auto"/>
        </w:rPr>
        <w:t>In November 1992, the Financial Accounting Standard Board issued SFAS No. 112, "Employers' Accounting for Postemployment Benefits," which changed the prevalent method of accounting for benefits provided after employment but before retirement. The Company adopted SFAS No. 112 in the first quarter of fiscal 1995. Since most of these benefits were already accounted for by the Company on the accrual method, the impact of adoption was not significant.</w:t>
      </w:r>
    </w:p>
    <w:p>
      <w:pPr>
        <w:spacing w:after="0" w:line="98" w:lineRule="exact"/>
        <w:rPr>
          <w:sz w:val="20"/>
          <w:szCs w:val="20"/>
          <w:color w:val="auto"/>
        </w:rPr>
      </w:pPr>
    </w:p>
    <w:p>
      <w:pPr>
        <w:ind w:left="532" w:hanging="532"/>
        <w:spacing w:after="0"/>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1" w:lineRule="exact"/>
        <w:rPr>
          <w:sz w:val="20"/>
          <w:szCs w:val="20"/>
          <w:color w:val="auto"/>
        </w:rPr>
      </w:pPr>
    </w:p>
    <w:p>
      <w:pPr>
        <w:jc w:val="both"/>
        <w:ind w:left="532" w:right="1999" w:firstLine="527"/>
        <w:spacing w:after="0" w:line="248" w:lineRule="auto"/>
        <w:rPr>
          <w:sz w:val="20"/>
          <w:szCs w:val="20"/>
          <w:color w:val="auto"/>
        </w:rPr>
      </w:pPr>
      <w:r>
        <w:rPr>
          <w:rFonts w:ascii="Courier New" w:cs="Courier New" w:eastAsia="Courier New" w:hAnsi="Courier New"/>
          <w:sz w:val="18"/>
          <w:szCs w:val="18"/>
          <w:color w:val="auto"/>
        </w:rPr>
        <w:t>On January 26, 1995, the Company and the shareholders of Stern's Miracle-Gro Products, Inc. and affiliated companies (Miracle-Gro) entered into a merger agreement. The Company will issue $195 million face value convertible preferred stock convertible at $19 per share plus warrants exercisable over 8 1/2 years, to purchase three million shares at prices ranging from $21 to $29 per share. The preferred stock will pay quarterly dividends at an annual rate of 5.0%, will be non-callable for five years and will be subject to certain restrictions on transfer. The total purchase price is based on the fair value of the convertible preferred stock and warrants as of closing and is estimated to be approximately $200 million. The transaction requires approval of the Scotts shareholders.</w:t>
      </w:r>
    </w:p>
    <w:p>
      <w:pPr>
        <w:spacing w:after="0" w:line="105" w:lineRule="exact"/>
        <w:rPr>
          <w:sz w:val="20"/>
          <w:szCs w:val="20"/>
          <w:color w:val="auto"/>
        </w:rPr>
      </w:pPr>
    </w:p>
    <w:p>
      <w:pPr>
        <w:ind w:left="3792"/>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1"/>
          </w:cols>
          <w:pgMar w:left="248" w:top="488" w:right="1440" w:bottom="1440" w:gutter="0" w:footer="0" w:header="0"/>
        </w:sectPr>
      </w:pPr>
    </w:p>
    <w:bookmarkStart w:id="7" w:name="page8"/>
    <w:bookmarkEnd w:id="7"/>
    <w:p>
      <w:pPr>
        <w:ind w:left="1580"/>
        <w:spacing w:after="0"/>
        <w:rPr>
          <w:sz w:val="20"/>
          <w:szCs w:val="20"/>
          <w:color w:val="auto"/>
        </w:rPr>
      </w:pPr>
      <w:r>
        <w:rPr>
          <w:rFonts w:ascii="Courier New" w:cs="Courier New" w:eastAsia="Courier New" w:hAnsi="Courier New"/>
          <w:sz w:val="18"/>
          <w:szCs w:val="18"/>
          <w:color w:val="auto"/>
        </w:rPr>
        <w:t>ITEM II. MANAGEMENT'S DISCUSSION AND ANALYSIS OF</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December 31, 1994, versus Three Months Ended January 1, 1994</w:t>
      </w:r>
    </w:p>
    <w:p>
      <w:pPr>
        <w:spacing w:after="0" w:line="224" w:lineRule="exact"/>
        <w:rPr>
          <w:sz w:val="20"/>
          <w:szCs w:val="20"/>
          <w:color w:val="auto"/>
        </w:rPr>
      </w:pPr>
    </w:p>
    <w:p>
      <w:pPr>
        <w:jc w:val="both"/>
        <w:ind w:right="1999" w:firstLine="527"/>
        <w:spacing w:after="0" w:line="277" w:lineRule="auto"/>
        <w:rPr>
          <w:sz w:val="20"/>
          <w:szCs w:val="20"/>
          <w:color w:val="auto"/>
        </w:rPr>
      </w:pPr>
      <w:r>
        <w:rPr>
          <w:rFonts w:ascii="Courier New" w:cs="Courier New" w:eastAsia="Courier New" w:hAnsi="Courier New"/>
          <w:sz w:val="16"/>
          <w:szCs w:val="16"/>
          <w:color w:val="auto"/>
        </w:rPr>
        <w:t>Net sales of $98,019,000 increased by $29,693,000 or approximately 43.5%. Net sales included net sales for Sierra, which was acquired by Scotts on December 16, 1993. On a pro forma basis, assuming the acquisition had taken place on October 1, 1992, net sales for the three months ended December 31, 1994 would have increased by $8,867,000 or approximately 9.9%. Consumer Business Group sales of $55,748,000 increased by approximately 26%. On a pro forma basis, Consumer Business Group sales were up approximately 19.5%, resulting primarily from increased sales volume. Commercial Business Group (previously referred to as the Professional Business Group) sales of $27,906,000 increased by 46.1% but decreased, on a pro forma basis, by approximately 10.2%. Scotts management feels that this decrease reflects a continuing trend by golf course customers to order products closer to Spring usage and, therefore, management believes that sales expectations for the Commercial Business Group will be met by the end of the fiscal year. International sales of $14,365,000 increased by approximately 189.4%. On a pro forma basis, International sales increased by approximately 25.7%. The increase primarily reflected increased sales volume, partly due to the introduction of Scotts branded products into the Sierra distribution network.</w:t>
      </w:r>
    </w:p>
    <w:p>
      <w:pPr>
        <w:spacing w:after="0" w:line="293"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Cost of sales for the three months ended December 31, 1994 represented 54.6% of net sales, nearly flat with cost of sales for 54.7% for the three months ended January 1, 1994.</w:t>
      </w:r>
    </w:p>
    <w:p>
      <w:pPr>
        <w:spacing w:after="0" w:line="66" w:lineRule="exact"/>
        <w:rPr>
          <w:sz w:val="20"/>
          <w:szCs w:val="20"/>
          <w:color w:val="auto"/>
        </w:rPr>
      </w:pPr>
    </w:p>
    <w:p>
      <w:pPr>
        <w:jc w:val="both"/>
        <w:ind w:right="1999" w:firstLine="527"/>
        <w:spacing w:after="0" w:line="248" w:lineRule="auto"/>
        <w:rPr>
          <w:sz w:val="20"/>
          <w:szCs w:val="20"/>
          <w:color w:val="auto"/>
        </w:rPr>
      </w:pPr>
      <w:r>
        <w:rPr>
          <w:rFonts w:ascii="Courier New" w:cs="Courier New" w:eastAsia="Courier New" w:hAnsi="Courier New"/>
          <w:sz w:val="18"/>
          <w:szCs w:val="18"/>
          <w:color w:val="auto"/>
        </w:rPr>
        <w:t>Operating expenses of $46,664,000 increased by $15,725,000 or approximately 50.8%. The increase results primarily from the increase in sales (42.7%) and higher marketing expense as a result of a promotional allowance to retailers (8.1%) introduced in the first quarter of fiscal 1995. This promotional allowance replaces the Company's point of sale fertilizer rebates offered to consumers and is designed to provide retail customers with the ability to customize and differentiate promotions of Scotts products. On a pro forma basis, including Sierra operating expenses from October 1, 1992, operating expenses increased by approximately 14.6% reflecting higher marketing expense related to the promotional allowance to retailers (6.2%), and increased distribution and other marketing expenses related to higher sales (8.4%).</w:t>
      </w:r>
    </w:p>
    <w:p>
      <w:pPr>
        <w:spacing w:after="0" w:line="105" w:lineRule="exact"/>
        <w:rPr>
          <w:sz w:val="20"/>
          <w:szCs w:val="20"/>
          <w:color w:val="auto"/>
        </w:rPr>
      </w:pPr>
    </w:p>
    <w:p>
      <w:pPr>
        <w:jc w:val="both"/>
        <w:ind w:right="1999" w:firstLine="527"/>
        <w:spacing w:after="0" w:line="256" w:lineRule="auto"/>
        <w:rPr>
          <w:sz w:val="20"/>
          <w:szCs w:val="20"/>
          <w:color w:val="auto"/>
        </w:rPr>
      </w:pPr>
      <w:r>
        <w:rPr>
          <w:rFonts w:ascii="Courier New" w:cs="Courier New" w:eastAsia="Courier New" w:hAnsi="Courier New"/>
          <w:sz w:val="18"/>
          <w:szCs w:val="18"/>
          <w:color w:val="auto"/>
        </w:rPr>
        <w:t>Interest expense of $5,694,000 increased by $3,054,000 or approximately 115.7%. The increase was caused, in significant part, by increased borrowings for the Sierra acquisition, which were outstanding for the full three months ended December 31, 1994, and partly caused by higher interest rates for floating-rate bank debt this year and the higher rate payable with respect to the 9 7/8% Senior Subordinated Notes issued by Scotts last summer compared with the floating rate bank debt the notes replaced.</w:t>
      </w:r>
    </w:p>
    <w:p>
      <w:pPr>
        <w:spacing w:after="0" w:line="98" w:lineRule="exact"/>
        <w:rPr>
          <w:sz w:val="20"/>
          <w:szCs w:val="20"/>
          <w:color w:val="auto"/>
        </w:rPr>
      </w:pPr>
    </w:p>
    <w:p>
      <w:pPr>
        <w:jc w:val="both"/>
        <w:ind w:right="1999" w:firstLine="527"/>
        <w:spacing w:after="0" w:line="347" w:lineRule="auto"/>
        <w:rPr>
          <w:sz w:val="20"/>
          <w:szCs w:val="20"/>
          <w:color w:val="auto"/>
        </w:rPr>
      </w:pPr>
      <w:r>
        <w:rPr>
          <w:rFonts w:ascii="Courier New" w:cs="Courier New" w:eastAsia="Courier New" w:hAnsi="Courier New"/>
          <w:sz w:val="18"/>
          <w:szCs w:val="18"/>
          <w:color w:val="auto"/>
        </w:rPr>
        <w:t>The net loss of $4,598,000 increased by $3,041,000, primarily due to increased marketing and interest expense as discussed above.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at December 31, 1994</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Capital expenditures for the year ending September 30, 1995 are expected to be approximately $23,000,000 which will be financed with cash provided by operations and utilization of existing credit facilities.</w:t>
      </w:r>
    </w:p>
    <w:p>
      <w:pPr>
        <w:spacing w:after="0" w:line="66" w:lineRule="exact"/>
        <w:rPr>
          <w:sz w:val="20"/>
          <w:szCs w:val="20"/>
          <w:color w:val="auto"/>
        </w:rPr>
      </w:pPr>
    </w:p>
    <w:p>
      <w:pPr>
        <w:jc w:val="both"/>
        <w:ind w:right="1999" w:firstLine="527"/>
        <w:spacing w:after="0" w:line="298" w:lineRule="auto"/>
        <w:rPr>
          <w:sz w:val="20"/>
          <w:szCs w:val="20"/>
          <w:color w:val="auto"/>
        </w:rPr>
      </w:pPr>
      <w:r>
        <w:rPr>
          <w:rFonts w:ascii="Courier New" w:cs="Courier New" w:eastAsia="Courier New" w:hAnsi="Courier New"/>
          <w:sz w:val="16"/>
          <w:szCs w:val="16"/>
          <w:color w:val="auto"/>
        </w:rPr>
        <w:t>Current assets of $296,199,000 increased by $45,945,000 compared with current assets at September 30, 1994 and by $50,415,000 compared with current assets at January 1, 1994. The increase compared with September 30, 1994 is primarily attributable to the seasonal nature of Scotts' business, with inventory and accounts receivable levels generally being higher in December relative to September. The increase compared with January 1, 1994 was partly</w:t>
      </w:r>
    </w:p>
    <w:p>
      <w:pPr>
        <w:spacing w:after="0" w:line="6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488" w:right="1440" w:bottom="1440" w:gutter="0" w:footer="0" w:header="0"/>
        </w:sectPr>
      </w:pPr>
    </w:p>
    <w:bookmarkStart w:id="8" w:name="page9"/>
    <w:bookmarkEnd w:id="8"/>
    <w:p>
      <w:pPr>
        <w:jc w:val="both"/>
        <w:ind w:right="1999"/>
        <w:spacing w:after="0" w:line="265" w:lineRule="auto"/>
        <w:rPr>
          <w:sz w:val="20"/>
          <w:szCs w:val="20"/>
          <w:color w:val="auto"/>
        </w:rPr>
      </w:pPr>
      <w:r>
        <w:rPr>
          <w:rFonts w:ascii="Courier New" w:cs="Courier New" w:eastAsia="Courier New" w:hAnsi="Courier New"/>
          <w:sz w:val="18"/>
          <w:szCs w:val="18"/>
          <w:color w:val="auto"/>
        </w:rPr>
        <w:t>due to increased accounts receivable related to higher sales and also, in part, to higher inventory levels for Scotts and Hyponex products this year in anticipation of the upcoming peak selling season as well as higher inventories for golf course products which reflect lower than expected sales for the quarter ended December 31, 1994.</w:t>
      </w:r>
    </w:p>
    <w:p>
      <w:pPr>
        <w:spacing w:after="0" w:line="90" w:lineRule="exact"/>
        <w:rPr>
          <w:sz w:val="20"/>
          <w:szCs w:val="20"/>
          <w:color w:val="auto"/>
        </w:rPr>
      </w:pPr>
    </w:p>
    <w:p>
      <w:pPr>
        <w:jc w:val="both"/>
        <w:ind w:right="1999" w:firstLine="527"/>
        <w:spacing w:after="0" w:line="253" w:lineRule="auto"/>
        <w:rPr>
          <w:sz w:val="20"/>
          <w:szCs w:val="20"/>
          <w:color w:val="auto"/>
        </w:rPr>
      </w:pPr>
      <w:r>
        <w:rPr>
          <w:rFonts w:ascii="Courier New" w:cs="Courier New" w:eastAsia="Courier New" w:hAnsi="Courier New"/>
          <w:sz w:val="18"/>
          <w:szCs w:val="18"/>
          <w:color w:val="auto"/>
        </w:rPr>
        <w:t>Current liabilities of $162,232,000 increased by $52,544,000 compared with current liabilities at September 30, 1994 and by $29,165,000 compared with current liabilities at January 1, 1994. The increase compared with September 30, 1994 is primarily caused by the seasonality of Scotts' business. The increase compared with January 1, 1994 is caused, in part, by increased short-term borrowings, higher trade payables and higher accrued liabilities this year reflecting somewhat higher working capital needs this year including higher accruals for interest and taxes.</w:t>
      </w:r>
    </w:p>
    <w:p>
      <w:pPr>
        <w:spacing w:after="0" w:line="104" w:lineRule="exact"/>
        <w:rPr>
          <w:sz w:val="20"/>
          <w:szCs w:val="20"/>
          <w:color w:val="auto"/>
        </w:rPr>
      </w:pPr>
    </w:p>
    <w:p>
      <w:pPr>
        <w:jc w:val="both"/>
        <w:ind w:right="1999" w:firstLine="527"/>
        <w:spacing w:after="0" w:line="289" w:lineRule="auto"/>
        <w:rPr>
          <w:sz w:val="20"/>
          <w:szCs w:val="20"/>
          <w:color w:val="auto"/>
        </w:rPr>
      </w:pPr>
      <w:r>
        <w:rPr>
          <w:rFonts w:ascii="Courier New" w:cs="Courier New" w:eastAsia="Courier New" w:hAnsi="Courier New"/>
          <w:sz w:val="16"/>
          <w:szCs w:val="16"/>
          <w:color w:val="auto"/>
        </w:rPr>
        <w:t>Shareholders' equity of $163,601,000 decreased by $4,559,000 compared with shareholders' equity at September 30, 1994 and increased by $22,230,000 compared with shareholders' equity at January 1, 1994. The decrease compared with September 30, 1994 reflects the net loss for the three months ended December 31, 1994. The increase compared with January 1, 1994 resulted primarily from net earnings for the twelve months ended December 31, 1994 which included a cumulative foreign currency adjustment related to translating the assets and liabilities of Sierra's foreign subsidiaries to U. S. dollars.</w:t>
      </w:r>
    </w:p>
    <w:p>
      <w:pPr>
        <w:spacing w:after="0" w:line="77" w:lineRule="exact"/>
        <w:rPr>
          <w:sz w:val="20"/>
          <w:szCs w:val="20"/>
          <w:color w:val="auto"/>
        </w:rPr>
      </w:pPr>
    </w:p>
    <w:p>
      <w:pPr>
        <w:jc w:val="both"/>
        <w:ind w:right="1999" w:firstLine="527"/>
        <w:spacing w:after="0" w:line="283" w:lineRule="auto"/>
        <w:rPr>
          <w:sz w:val="20"/>
          <w:szCs w:val="20"/>
          <w:color w:val="auto"/>
        </w:rPr>
      </w:pPr>
      <w:r>
        <w:rPr>
          <w:rFonts w:ascii="Courier New" w:cs="Courier New" w:eastAsia="Courier New" w:hAnsi="Courier New"/>
          <w:sz w:val="16"/>
          <w:szCs w:val="16"/>
          <w:color w:val="auto"/>
        </w:rPr>
        <w:t>The primary sources of liquidity for the Company are funds generated by operations and borrowings under the Company's Credit Agreement. As amended, the Credit Agreement provides a revolving credit commitment of $150,000,000 through March 31, 1996 and provided $195,000,000 of term debt with scheduled maturities extending through September 30, 2000 until the prepayment discussed below. As of the date of this report, the Credit Agreement provides $93.1 million of term debt. The Credit Agreement contains financial covenants which, among other things, limit capital expenditures, require maintenance of Adjusted Operating Profit, Consolidated Net Worth and Interest Coverage (each as defined therein) and require the Company to reduce revolving credit borrowings to no more than $30,000,000 for 30 consecutive days each year.</w:t>
      </w:r>
    </w:p>
    <w:p>
      <w:pPr>
        <w:spacing w:after="0" w:line="80" w:lineRule="exact"/>
        <w:rPr>
          <w:sz w:val="20"/>
          <w:szCs w:val="20"/>
          <w:color w:val="auto"/>
        </w:rPr>
      </w:pPr>
    </w:p>
    <w:p>
      <w:pPr>
        <w:jc w:val="both"/>
        <w:ind w:right="1999" w:firstLine="527"/>
        <w:spacing w:after="0" w:line="281" w:lineRule="auto"/>
        <w:rPr>
          <w:sz w:val="20"/>
          <w:szCs w:val="20"/>
          <w:color w:val="auto"/>
        </w:rPr>
      </w:pPr>
      <w:r>
        <w:rPr>
          <w:rFonts w:ascii="Courier New" w:cs="Courier New" w:eastAsia="Courier New" w:hAnsi="Courier New"/>
          <w:sz w:val="16"/>
          <w:szCs w:val="16"/>
          <w:color w:val="auto"/>
        </w:rPr>
        <w:t>On July 19, 1994, the Company issued $100,000,000 of 9 7/8% Senior Subordinated Notes due August 1, 2004 ("Notes") at 99.212% of face value. The net proceeds of the offering were $96,354,000 after underwriting discount and expenses and this amount was used to prepay term debt outstanding under the Credit Agreement. Scheduled term debt maturities were adjusted to reflect the prepayment in accordance with the terms of the Credit Agreement. All of the notes are subordinated to other outstanding debt, principally to banks. The Notes are subject to redemption, at the Company's option, in whole or in part, at any time after August 1, 1999 at redemption prices specified in the Notes indenture. In order to redeem the Notes, the Company must obtain approval of the banks party to the Credit Agreement as specified therein. The Notes include a limited number of financial covenants which are generally less restrictive than the financial covenants contained in the Credit Agreement.</w:t>
      </w:r>
    </w:p>
    <w:p>
      <w:pPr>
        <w:spacing w:after="0" w:line="290" w:lineRule="exact"/>
        <w:rPr>
          <w:sz w:val="20"/>
          <w:szCs w:val="20"/>
          <w:color w:val="auto"/>
        </w:rPr>
      </w:pPr>
    </w:p>
    <w:p>
      <w:pPr>
        <w:jc w:val="both"/>
        <w:ind w:right="1999" w:firstLine="527"/>
        <w:spacing w:after="0" w:line="265" w:lineRule="auto"/>
        <w:rPr>
          <w:sz w:val="20"/>
          <w:szCs w:val="20"/>
          <w:color w:val="auto"/>
        </w:rPr>
      </w:pPr>
      <w:r>
        <w:rPr>
          <w:rFonts w:ascii="Courier New" w:cs="Courier New" w:eastAsia="Courier New" w:hAnsi="Courier New"/>
          <w:sz w:val="18"/>
          <w:szCs w:val="18"/>
          <w:color w:val="auto"/>
        </w:rPr>
        <w:t>The proposed merger of the Company and Stern's Miracle-Gro is described in Footnote No. 6 on page 7 of this Report. Any additional working capital needs resulting from the merger are expected to be financed through an increase in the amount of revolving credit available under the Company's Credit Agreement.</w:t>
      </w:r>
    </w:p>
    <w:p>
      <w:pPr>
        <w:spacing w:after="0" w:line="90" w:lineRule="exact"/>
        <w:rPr>
          <w:sz w:val="20"/>
          <w:szCs w:val="20"/>
          <w:color w:val="auto"/>
        </w:rPr>
      </w:pPr>
    </w:p>
    <w:p>
      <w:pPr>
        <w:jc w:val="both"/>
        <w:ind w:right="1999" w:firstLine="527"/>
        <w:spacing w:after="0" w:line="274" w:lineRule="auto"/>
        <w:rPr>
          <w:sz w:val="20"/>
          <w:szCs w:val="20"/>
          <w:color w:val="auto"/>
        </w:rPr>
      </w:pPr>
      <w:r>
        <w:rPr>
          <w:rFonts w:ascii="Courier New" w:cs="Courier New" w:eastAsia="Courier New" w:hAnsi="Courier New"/>
          <w:sz w:val="18"/>
          <w:szCs w:val="18"/>
          <w:color w:val="auto"/>
        </w:rPr>
        <w:t>The seasonal volume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82" w:lineRule="exact"/>
        <w:rPr>
          <w:sz w:val="20"/>
          <w:szCs w:val="20"/>
          <w:color w:val="auto"/>
        </w:rPr>
      </w:pPr>
    </w:p>
    <w:p>
      <w:pPr>
        <w:jc w:val="both"/>
        <w:ind w:right="1999" w:firstLine="527"/>
        <w:spacing w:after="0" w:line="250" w:lineRule="auto"/>
        <w:rPr>
          <w:sz w:val="20"/>
          <w:szCs w:val="20"/>
          <w:color w:val="auto"/>
        </w:rPr>
      </w:pPr>
      <w:r>
        <w:rPr>
          <w:rFonts w:ascii="Courier New" w:cs="Courier New" w:eastAsia="Courier New" w:hAnsi="Courier New"/>
          <w:sz w:val="18"/>
          <w:szCs w:val="18"/>
          <w:color w:val="auto"/>
        </w:rPr>
        <w:t>In the opinion of Scotts' management, cash flows from operations and capital resources will be sufficient to meet future debt service and working capital needs.</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488"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December 27, 1995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Yeager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D. Yeager</w:t>
      </w:r>
    </w:p>
    <w:p>
      <w:pPr>
        <w:ind w:left="42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420"/>
        <w:spacing w:after="0"/>
        <w:rPr>
          <w:sz w:val="20"/>
          <w:szCs w:val="20"/>
          <w:color w:val="auto"/>
        </w:rPr>
      </w:pPr>
      <w:r>
        <w:rPr>
          <w:rFonts w:ascii="Courier New" w:cs="Courier New" w:eastAsia="Courier New" w:hAnsi="Courier New"/>
          <w:sz w:val="18"/>
          <w:szCs w:val="18"/>
          <w:color w:val="auto"/>
        </w:rPr>
        <w:t>Chief Financial Officer</w:t>
      </w:r>
    </w:p>
    <w:p>
      <w:pPr>
        <w:ind w:left="42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3">
            <w:col w:w="420" w:space="120"/>
            <w:col w:w="3060" w:space="720"/>
            <w:col w:w="5899"/>
          </w:cols>
          <w:pgMar w:left="240" w:top="893" w:right="1440" w:bottom="1440" w:gutter="0" w:footer="0" w:header="0"/>
          <w:type w:val="continuous"/>
        </w:sectPr>
      </w:pPr>
    </w:p>
    <w:p>
      <w:pPr>
        <w:spacing w:after="0" w:line="19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9"/>
          </w:cols>
          <w:pgMar w:left="240" w:top="893" w:right="1440" w:bottom="1440" w:gutter="0" w:footer="0" w:header="0"/>
          <w:type w:val="continuous"/>
        </w:sectPr>
      </w:pPr>
    </w:p>
    <w:bookmarkStart w:id="10" w:name="page11"/>
    <w:bookmarkEnd w:id="10"/>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QUARTERLY REPORT ON FORM 10-Q/A FOR</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FISCAL QUARTER ENDED DECEMBER 31, 1994</w:t>
      </w:r>
    </w:p>
    <w:p>
      <w:pPr>
        <w:spacing w:after="0" w:line="200" w:lineRule="exact"/>
        <w:rPr>
          <w:sz w:val="20"/>
          <w:szCs w:val="20"/>
          <w:color w:val="auto"/>
        </w:rPr>
      </w:pPr>
    </w:p>
    <w:p>
      <w:pPr>
        <w:spacing w:after="0" w:line="37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Exhibit</w:t>
            </w:r>
          </w:p>
        </w:tc>
        <w:tc>
          <w:tcPr>
            <w:tcW w:w="4100" w:type="dxa"/>
            <w:vAlign w:val="bottom"/>
            <w:vMerge w:val="restart"/>
          </w:tcPr>
          <w:p>
            <w:pPr>
              <w:ind w:left="1360"/>
              <w:spacing w:after="0"/>
              <w:rPr>
                <w:sz w:val="20"/>
                <w:szCs w:val="20"/>
                <w:color w:val="auto"/>
              </w:rPr>
            </w:pPr>
            <w:r>
              <w:rPr>
                <w:rFonts w:ascii="Courier New" w:cs="Courier New" w:eastAsia="Courier New" w:hAnsi="Courier New"/>
                <w:sz w:val="18"/>
                <w:szCs w:val="18"/>
                <w:color w:val="auto"/>
              </w:rPr>
              <w:t>Description</w:t>
            </w:r>
          </w:p>
        </w:tc>
        <w:tc>
          <w:tcPr>
            <w:tcW w:w="232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296"/>
        </w:trPr>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Number</w:t>
            </w:r>
          </w:p>
        </w:tc>
        <w:tc>
          <w:tcPr>
            <w:tcW w:w="4100" w:type="dxa"/>
            <w:vAlign w:val="bottom"/>
            <w:vMerge w:val="continue"/>
          </w:tcPr>
          <w:p>
            <w:pPr>
              <w:spacing w:after="0"/>
              <w:rPr>
                <w:sz w:val="24"/>
                <w:szCs w:val="24"/>
                <w:color w:val="auto"/>
              </w:rPr>
            </w:pPr>
          </w:p>
        </w:tc>
        <w:tc>
          <w:tcPr>
            <w:tcW w:w="232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5"/>
              </w:rPr>
              <w:t>Number</w:t>
            </w:r>
          </w:p>
        </w:tc>
        <w:tc>
          <w:tcPr>
            <w:tcW w:w="0" w:type="dxa"/>
            <w:vAlign w:val="bottom"/>
          </w:tcPr>
          <w:p>
            <w:pPr>
              <w:spacing w:after="0"/>
              <w:rPr>
                <w:sz w:val="1"/>
                <w:szCs w:val="1"/>
                <w:color w:val="auto"/>
              </w:rPr>
            </w:pPr>
          </w:p>
        </w:tc>
      </w:tr>
      <w:tr>
        <w:trPr>
          <w:trHeight w:val="311"/>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Agreement and Plan of Merger dated</w:t>
            </w: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w w:val="96"/>
              </w:rPr>
              <w:t>Incorporated herein</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of January 26, 1995 among</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by reference to the</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Stern's Miracle-Gro Products, Inc.,</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Registration</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Stern's Nurseries, Inc.,</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on</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Miracle-Gro Lawn Products, Inc.,</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S-4 of The</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Miracle-Gro Products Limited</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Scotts Company</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"Miracle-Gro Constituent</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filed with the</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Companies"), Horace Hagedorn, James</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Securities and</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Hagedorn, Katherine Hagedorn</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Exchange Commission</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Littlefield, Paul Hagedorn, Peter</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on February 3, 1995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Hagedorn, Robert Hagedorn, Susan</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2)</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Hagedorn and John Kenlon (the</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The Scotts Company</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("Scotts") and XYZ Corporation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("Merger Subsidiary")</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Computation of Net Income Per</w:t>
            </w:r>
          </w:p>
        </w:tc>
        <w:tc>
          <w:tcPr>
            <w:tcW w:w="2320" w:type="dxa"/>
            <w:vAlign w:val="bottom"/>
            <w:vMerge w:val="restart"/>
          </w:tcPr>
          <w:p>
            <w:pPr>
              <w:jc w:val="center"/>
              <w:ind w:left="332"/>
              <w:spacing w:after="0"/>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Common Share</w:t>
            </w: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0" w:type="dxa"/>
            <w:vAlign w:val="bottom"/>
          </w:tcPr>
          <w:p>
            <w:pPr>
              <w:ind w:left="320"/>
              <w:spacing w:after="0"/>
              <w:rPr>
                <w:sz w:val="20"/>
                <w:szCs w:val="20"/>
                <w:color w:val="auto"/>
              </w:rPr>
            </w:pPr>
            <w:r>
              <w:rPr>
                <w:rFonts w:ascii="Courier New" w:cs="Courier New" w:eastAsia="Courier New" w:hAnsi="Courier New"/>
                <w:sz w:val="18"/>
                <w:szCs w:val="18"/>
                <w:color w:val="auto"/>
              </w:rPr>
              <w:t>27</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Financial Data Schedule</w:t>
            </w:r>
          </w:p>
        </w:tc>
        <w:tc>
          <w:tcPr>
            <w:tcW w:w="2320" w:type="dxa"/>
            <w:vAlign w:val="bottom"/>
          </w:tcPr>
          <w:p>
            <w:pPr>
              <w:jc w:val="center"/>
              <w:ind w:left="332"/>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r>
        <w:trPr>
          <w:trHeight w:val="608"/>
        </w:trPr>
        <w:tc>
          <w:tcPr>
            <w:tcW w:w="860" w:type="dxa"/>
            <w:vAlign w:val="bottom"/>
          </w:tcPr>
          <w:p>
            <w:pPr>
              <w:spacing w:after="0"/>
              <w:rPr>
                <w:sz w:val="24"/>
                <w:szCs w:val="24"/>
                <w:color w:val="auto"/>
              </w:rPr>
            </w:pPr>
          </w:p>
        </w:tc>
        <w:tc>
          <w:tcPr>
            <w:tcW w:w="4100" w:type="dxa"/>
            <w:vAlign w:val="bottom"/>
          </w:tcPr>
          <w:p>
            <w:pPr>
              <w:ind w:left="2940"/>
              <w:spacing w:after="0"/>
              <w:rPr>
                <w:sz w:val="20"/>
                <w:szCs w:val="20"/>
                <w:color w:val="auto"/>
              </w:rPr>
            </w:pPr>
            <w:r>
              <w:rPr>
                <w:rFonts w:ascii="Courier New" w:cs="Courier New" w:eastAsia="Courier New" w:hAnsi="Courier New"/>
                <w:sz w:val="18"/>
                <w:szCs w:val="18"/>
                <w:color w:val="auto"/>
              </w:rPr>
              <w:t>Page 11</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Computation of Net Income Per Common Share</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Primary (Unaudited)</w:t>
      </w:r>
    </w:p>
    <w:p>
      <w:pPr>
        <w:jc w:val="center"/>
        <w:ind w:right="1879"/>
        <w:spacing w:after="0"/>
        <w:rPr>
          <w:sz w:val="20"/>
          <w:szCs w:val="20"/>
          <w:color w:val="auto"/>
        </w:rPr>
      </w:pPr>
      <w:r>
        <w:rPr>
          <w:rFonts w:ascii="Courier New" w:cs="Courier New" w:eastAsia="Courier New" w:hAnsi="Courier New"/>
          <w:sz w:val="18"/>
          <w:szCs w:val="18"/>
          <w:color w:val="auto"/>
        </w:rPr>
        <w:t>(Dollars in thousands except per share amounts)</w:t>
      </w:r>
    </w:p>
    <w:p>
      <w:pPr>
        <w:spacing w:after="0" w:line="37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For the Three Months Ended</w:t>
      </w:r>
    </w:p>
    <w:p>
      <w:pPr>
        <w:spacing w:after="0" w:line="29" w:lineRule="exact"/>
        <w:rPr>
          <w:sz w:val="20"/>
          <w:szCs w:val="20"/>
          <w:color w:val="auto"/>
        </w:rPr>
      </w:pPr>
    </w:p>
    <w:p>
      <w:pPr>
        <w:ind w:left="5160"/>
        <w:spacing w:after="0"/>
        <w:tabs>
          <w:tab w:leader="none" w:pos="6620" w:val="left"/>
        </w:tabs>
        <w:rPr>
          <w:sz w:val="20"/>
          <w:szCs w:val="20"/>
          <w:color w:val="auto"/>
        </w:rPr>
      </w:pPr>
      <w:r>
        <w:rPr>
          <w:rFonts w:ascii="Courier New" w:cs="Courier New" w:eastAsia="Courier New" w:hAnsi="Courier New"/>
          <w:sz w:val="18"/>
          <w:szCs w:val="18"/>
          <w:color w:val="auto"/>
        </w:rPr>
        <w:t>January 1</w:t>
      </w:r>
      <w:r>
        <w:rPr>
          <w:sz w:val="20"/>
          <w:szCs w:val="20"/>
          <w:color w:val="auto"/>
        </w:rPr>
        <w:tab/>
      </w:r>
      <w:r>
        <w:rPr>
          <w:rFonts w:ascii="Courier New" w:cs="Courier New" w:eastAsia="Courier New" w:hAnsi="Courier New"/>
          <w:sz w:val="16"/>
          <w:szCs w:val="16"/>
          <w:color w:val="auto"/>
        </w:rPr>
        <w:t>December 31</w:t>
      </w:r>
    </w:p>
    <w:p>
      <w:pPr>
        <w:ind w:left="5600"/>
        <w:spacing w:after="0"/>
        <w:tabs>
          <w:tab w:leader="none" w:pos="70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1994</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for computing net loss per common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 (1,557)</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 (4,598)</w:t>
            </w:r>
          </w:p>
        </w:tc>
        <w:tc>
          <w:tcPr>
            <w:tcW w:w="0" w:type="dxa"/>
            <w:vAlign w:val="bottom"/>
          </w:tcPr>
          <w:p>
            <w:pPr>
              <w:spacing w:after="0"/>
              <w:rPr>
                <w:sz w:val="1"/>
                <w:szCs w:val="1"/>
                <w:color w:val="auto"/>
              </w:rPr>
            </w:pPr>
          </w:p>
        </w:tc>
      </w:tr>
      <w:tr>
        <w:trPr>
          <w:trHeight w:val="296"/>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per common share:</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 per common share</w:t>
            </w: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   (.08)</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   (.25)</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38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717"/>
        </w:trPr>
        <w:tc>
          <w:tcPr>
            <w:tcW w:w="6600" w:type="dxa"/>
            <w:vAlign w:val="bottom"/>
            <w:gridSpan w:val="2"/>
          </w:tcPr>
          <w:p>
            <w:pPr>
              <w:ind w:left="2120"/>
              <w:spacing w:after="0"/>
              <w:rPr>
                <w:sz w:val="20"/>
                <w:szCs w:val="20"/>
                <w:color w:val="auto"/>
              </w:rPr>
            </w:pPr>
            <w:r>
              <w:rPr>
                <w:rFonts w:ascii="Courier New" w:cs="Courier New" w:eastAsia="Courier New" w:hAnsi="Courier New"/>
                <w:sz w:val="18"/>
                <w:szCs w:val="18"/>
                <w:color w:val="auto"/>
              </w:rPr>
              <w:t>Computation of Weighted Average Number</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0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of Common Shares Outstanding (Unaudited)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220" w:type="dxa"/>
            <w:vAlign w:val="bottom"/>
          </w:tcPr>
          <w:p>
            <w:pPr>
              <w:spacing w:after="0"/>
              <w:rPr>
                <w:sz w:val="24"/>
                <w:szCs w:val="24"/>
                <w:color w:val="auto"/>
              </w:rPr>
            </w:pPr>
          </w:p>
        </w:tc>
        <w:tc>
          <w:tcPr>
            <w:tcW w:w="40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For the Three Months Ended</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2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January 1</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96"/>
        </w:trPr>
        <w:tc>
          <w:tcPr>
            <w:tcW w:w="4220" w:type="dxa"/>
            <w:vAlign w:val="bottom"/>
          </w:tcPr>
          <w:p>
            <w:pPr>
              <w:spacing w:after="0"/>
              <w:rPr>
                <w:sz w:val="24"/>
                <w:szCs w:val="24"/>
                <w:color w:val="auto"/>
              </w:rPr>
            </w:pPr>
          </w:p>
        </w:tc>
        <w:tc>
          <w:tcPr>
            <w:tcW w:w="23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1994</w:t>
            </w:r>
          </w:p>
        </w:tc>
        <w:tc>
          <w:tcPr>
            <w:tcW w:w="1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1994</w:t>
            </w:r>
          </w:p>
        </w:tc>
        <w:tc>
          <w:tcPr>
            <w:tcW w:w="0" w:type="dxa"/>
            <w:vAlign w:val="bottom"/>
          </w:tcPr>
          <w:p>
            <w:pPr>
              <w:spacing w:after="0"/>
              <w:rPr>
                <w:sz w:val="1"/>
                <w:szCs w:val="1"/>
                <w:color w:val="auto"/>
              </w:rPr>
            </w:pPr>
          </w:p>
        </w:tc>
      </w:tr>
      <w:tr>
        <w:trPr>
          <w:trHeight w:val="514"/>
        </w:trPr>
        <w:tc>
          <w:tcPr>
            <w:tcW w:w="4220" w:type="dxa"/>
            <w:vAlign w:val="bottom"/>
          </w:tcPr>
          <w:p>
            <w:pPr>
              <w:spacing w:after="0"/>
              <w:rPr>
                <w:sz w:val="20"/>
                <w:szCs w:val="20"/>
                <w:color w:val="auto"/>
              </w:rPr>
            </w:pPr>
            <w:r>
              <w:rPr>
                <w:rFonts w:ascii="Courier New" w:cs="Courier New" w:eastAsia="Courier New" w:hAnsi="Courier New"/>
                <w:sz w:val="18"/>
                <w:szCs w:val="18"/>
                <w:color w:val="auto"/>
              </w:rPr>
              <w:t>Weighted average number of</w:t>
            </w:r>
          </w:p>
        </w:tc>
        <w:tc>
          <w:tcPr>
            <w:tcW w:w="2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18,658,535(1)</w:t>
            </w:r>
          </w:p>
        </w:tc>
        <w:tc>
          <w:tcPr>
            <w:tcW w:w="16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5"/>
              </w:rPr>
              <w:t>18,667,064(1)</w:t>
            </w:r>
          </w:p>
        </w:tc>
        <w:tc>
          <w:tcPr>
            <w:tcW w:w="0" w:type="dxa"/>
            <w:vAlign w:val="bottom"/>
          </w:tcPr>
          <w:p>
            <w:pPr>
              <w:spacing w:after="0"/>
              <w:rPr>
                <w:sz w:val="1"/>
                <w:szCs w:val="1"/>
                <w:color w:val="auto"/>
              </w:rPr>
            </w:pP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for computing net loss</w:t>
            </w:r>
          </w:p>
        </w:tc>
        <w:tc>
          <w:tcPr>
            <w:tcW w:w="23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per common share</w:t>
            </w:r>
          </w:p>
        </w:tc>
        <w:tc>
          <w:tcPr>
            <w:tcW w:w="2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w:t>
      </w:r>
    </w:p>
    <w:p>
      <w:pPr>
        <w:spacing w:after="0" w:line="31" w:lineRule="exact"/>
        <w:rPr>
          <w:sz w:val="20"/>
          <w:szCs w:val="20"/>
          <w:color w:val="auto"/>
        </w:rPr>
      </w:pPr>
    </w:p>
    <w:p>
      <w:pPr>
        <w:jc w:val="both"/>
        <w:ind w:left="540" w:right="1999" w:hanging="532"/>
        <w:spacing w:after="0" w:line="273"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fully diluted basis, weighted average shares outstanding did not differ from the primary calculation due to the antidilutive effect of common stock equivalents in a loss period.</w:t>
      </w:r>
    </w:p>
    <w:p>
      <w:pPr>
        <w:spacing w:after="0" w:line="2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312" w:right="1440" w:bottom="1440" w:gutter="0" w:footer="0" w:header="0"/>
        </w:sectPr>
      </w:pPr>
    </w:p>
    <w:bookmarkStart w:id="13" w:name="page14"/>
    <w:bookmarkEnd w:id="13"/>
    <w:p>
      <w:pPr>
        <w:ind w:left="8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both"/>
        <w:ind w:right="1959" w:firstLine="527"/>
        <w:spacing w:after="0" w:line="274" w:lineRule="auto"/>
        <w:rPr>
          <w:sz w:val="20"/>
          <w:szCs w:val="20"/>
          <w:color w:val="auto"/>
        </w:rPr>
      </w:pPr>
      <w:r>
        <w:rPr>
          <w:rFonts w:ascii="Courier New" w:cs="Courier New" w:eastAsia="Courier New" w:hAnsi="Courier New"/>
          <w:sz w:val="18"/>
          <w:szCs w:val="18"/>
          <w:color w:val="auto"/>
        </w:rPr>
        <w:t>This schedule contains financial information extracted from the consolidated balance sheet and statement of income as of and for the three months ended December 31, 1994 for The Scotts Company and its subsidiaries and is qualified in its entirety by reference to such financial statements.</w:t>
      </w:r>
    </w:p>
    <w:p>
      <w:pPr>
        <w:spacing w:after="0" w:line="8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U.S. DOLLARS</w:t>
      </w:r>
    </w:p>
    <w:p>
      <w:pPr>
        <w:spacing w:after="0" w:line="37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SEP-30-1995</w:t>
      </w:r>
    </w:p>
    <w:p>
      <w:pPr>
        <w:ind w:left="3020"/>
        <w:spacing w:after="0" w:line="238" w:lineRule="auto"/>
        <w:rPr>
          <w:sz w:val="20"/>
          <w:szCs w:val="20"/>
          <w:color w:val="auto"/>
        </w:rPr>
      </w:pPr>
      <w:r>
        <w:rPr>
          <w:rFonts w:ascii="Courier New" w:cs="Courier New" w:eastAsia="Courier New" w:hAnsi="Courier New"/>
          <w:sz w:val="18"/>
          <w:szCs w:val="18"/>
          <w:color w:val="auto"/>
        </w:rPr>
        <w:t>OCT-01-1994</w:t>
      </w:r>
    </w:p>
    <w:p>
      <w:pPr>
        <w:ind w:left="3240"/>
        <w:spacing w:after="0"/>
        <w:rPr>
          <w:sz w:val="20"/>
          <w:szCs w:val="20"/>
          <w:color w:val="auto"/>
        </w:rPr>
      </w:pPr>
      <w:r>
        <w:rPr>
          <w:rFonts w:ascii="Courier New" w:cs="Courier New" w:eastAsia="Courier New" w:hAnsi="Courier New"/>
          <w:sz w:val="18"/>
          <w:szCs w:val="18"/>
          <w:color w:val="auto"/>
        </w:rPr>
        <w:t>DEC-31-1994</w:t>
      </w:r>
    </w:p>
    <w:p>
      <w:pPr>
        <w:ind w:left="3980"/>
        <w:spacing w:after="0" w:line="238" w:lineRule="auto"/>
        <w:rPr>
          <w:sz w:val="20"/>
          <w:szCs w:val="20"/>
          <w:color w:val="auto"/>
        </w:rPr>
      </w:pPr>
      <w:r>
        <w:rPr>
          <w:rFonts w:ascii="Courier New" w:cs="Courier New" w:eastAsia="Courier New" w:hAnsi="Courier New"/>
          <w:sz w:val="18"/>
          <w:szCs w:val="18"/>
          <w:color w:val="auto"/>
        </w:rPr>
        <w:t>1</w:t>
      </w:r>
    </w:p>
    <w:p>
      <w:pPr>
        <w:ind w:left="4500"/>
        <w:spacing w:after="0"/>
        <w:rPr>
          <w:sz w:val="20"/>
          <w:szCs w:val="20"/>
          <w:color w:val="auto"/>
        </w:rPr>
      </w:pPr>
      <w:r>
        <w:rPr>
          <w:rFonts w:ascii="Courier New" w:cs="Courier New" w:eastAsia="Courier New" w:hAnsi="Courier New"/>
          <w:sz w:val="18"/>
          <w:szCs w:val="18"/>
          <w:color w:val="auto"/>
        </w:rPr>
        <w:t>5,410</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131,667</w:t>
      </w:r>
    </w:p>
    <w:p>
      <w:pPr>
        <w:ind w:left="3860"/>
        <w:spacing w:after="0" w:line="238" w:lineRule="auto"/>
        <w:rPr>
          <w:sz w:val="20"/>
          <w:szCs w:val="20"/>
          <w:color w:val="auto"/>
        </w:rPr>
      </w:pPr>
      <w:r>
        <w:rPr>
          <w:rFonts w:ascii="Courier New" w:cs="Courier New" w:eastAsia="Courier New" w:hAnsi="Courier New"/>
          <w:sz w:val="18"/>
          <w:szCs w:val="18"/>
          <w:color w:val="auto"/>
        </w:rPr>
        <w:t>3,213</w:t>
      </w:r>
    </w:p>
    <w:p>
      <w:pPr>
        <w:ind w:left="3760"/>
        <w:spacing w:after="0"/>
        <w:rPr>
          <w:sz w:val="20"/>
          <w:szCs w:val="20"/>
          <w:color w:val="auto"/>
        </w:rPr>
      </w:pPr>
      <w:r>
        <w:rPr>
          <w:rFonts w:ascii="Courier New" w:cs="Courier New" w:eastAsia="Courier New" w:hAnsi="Courier New"/>
          <w:sz w:val="18"/>
          <w:szCs w:val="18"/>
          <w:color w:val="auto"/>
        </w:rPr>
        <w:t>145,095</w:t>
      </w:r>
    </w:p>
    <w:p>
      <w:pPr>
        <w:ind w:left="3240"/>
        <w:spacing w:after="0" w:line="238" w:lineRule="auto"/>
        <w:rPr>
          <w:sz w:val="20"/>
          <w:szCs w:val="20"/>
          <w:color w:val="auto"/>
        </w:rPr>
      </w:pPr>
      <w:r>
        <w:rPr>
          <w:rFonts w:ascii="Courier New" w:cs="Courier New" w:eastAsia="Courier New" w:hAnsi="Courier New"/>
          <w:sz w:val="18"/>
          <w:szCs w:val="18"/>
          <w:color w:val="auto"/>
        </w:rPr>
        <w:t>296,199</w:t>
      </w:r>
    </w:p>
    <w:p>
      <w:pPr>
        <w:ind w:left="4280"/>
        <w:spacing w:after="0"/>
        <w:rPr>
          <w:sz w:val="20"/>
          <w:szCs w:val="20"/>
          <w:color w:val="auto"/>
        </w:rPr>
      </w:pPr>
      <w:r>
        <w:rPr>
          <w:rFonts w:ascii="Courier New" w:cs="Courier New" w:eastAsia="Courier New" w:hAnsi="Courier New"/>
          <w:sz w:val="18"/>
          <w:szCs w:val="18"/>
          <w:color w:val="auto"/>
        </w:rPr>
        <w:t>212,174</w:t>
      </w:r>
    </w:p>
    <w:p>
      <w:pPr>
        <w:ind w:left="3540"/>
        <w:spacing w:after="0" w:line="238" w:lineRule="auto"/>
        <w:rPr>
          <w:sz w:val="20"/>
          <w:szCs w:val="20"/>
          <w:color w:val="auto"/>
        </w:rPr>
      </w:pPr>
      <w:r>
        <w:rPr>
          <w:rFonts w:ascii="Courier New" w:cs="Courier New" w:eastAsia="Courier New" w:hAnsi="Courier New"/>
          <w:sz w:val="18"/>
          <w:szCs w:val="18"/>
          <w:color w:val="auto"/>
        </w:rPr>
        <w:t>70,618</w:t>
      </w:r>
    </w:p>
    <w:p>
      <w:pPr>
        <w:ind w:left="3440"/>
        <w:spacing w:after="0"/>
        <w:rPr>
          <w:sz w:val="20"/>
          <w:szCs w:val="20"/>
          <w:color w:val="auto"/>
        </w:rPr>
      </w:pPr>
      <w:r>
        <w:rPr>
          <w:rFonts w:ascii="Courier New" w:cs="Courier New" w:eastAsia="Courier New" w:hAnsi="Courier New"/>
          <w:sz w:val="18"/>
          <w:szCs w:val="18"/>
          <w:color w:val="auto"/>
        </w:rPr>
        <w:t>574,123</w:t>
      </w:r>
    </w:p>
    <w:p>
      <w:pPr>
        <w:ind w:left="2700"/>
        <w:spacing w:after="0" w:line="238" w:lineRule="auto"/>
        <w:rPr>
          <w:sz w:val="20"/>
          <w:szCs w:val="20"/>
          <w:color w:val="auto"/>
        </w:rPr>
      </w:pPr>
      <w:r>
        <w:rPr>
          <w:rFonts w:ascii="Courier New" w:cs="Courier New" w:eastAsia="Courier New" w:hAnsi="Courier New"/>
          <w:sz w:val="18"/>
          <w:szCs w:val="18"/>
          <w:color w:val="auto"/>
        </w:rPr>
        <w:t>162,232</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4500"/>
        <w:spacing w:after="0" w:line="238" w:lineRule="auto"/>
        <w:rPr>
          <w:sz w:val="20"/>
          <w:szCs w:val="20"/>
          <w:color w:val="auto"/>
        </w:rPr>
      </w:pPr>
      <w:r>
        <w:rPr>
          <w:rFonts w:ascii="Courier New" w:cs="Courier New" w:eastAsia="Courier New" w:hAnsi="Courier New"/>
          <w:sz w:val="18"/>
          <w:szCs w:val="18"/>
          <w:color w:val="auto"/>
        </w:rPr>
        <w:t>211</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8"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163,390</w:t>
      </w:r>
    </w:p>
    <w:p>
      <w:pPr>
        <w:ind w:left="1960"/>
        <w:spacing w:after="0" w:line="238" w:lineRule="auto"/>
        <w:rPr>
          <w:sz w:val="20"/>
          <w:szCs w:val="20"/>
          <w:color w:val="auto"/>
        </w:rPr>
      </w:pPr>
      <w:r>
        <w:rPr>
          <w:rFonts w:ascii="Courier New" w:cs="Courier New" w:eastAsia="Courier New" w:hAnsi="Courier New"/>
          <w:sz w:val="18"/>
          <w:szCs w:val="18"/>
          <w:color w:val="auto"/>
        </w:rPr>
        <w:t>574,123</w:t>
      </w:r>
    </w:p>
    <w:p>
      <w:pPr>
        <w:ind w:left="4280"/>
        <w:spacing w:after="0"/>
        <w:rPr>
          <w:sz w:val="20"/>
          <w:szCs w:val="20"/>
          <w:color w:val="auto"/>
        </w:rPr>
      </w:pPr>
      <w:r>
        <w:rPr>
          <w:rFonts w:ascii="Courier New" w:cs="Courier New" w:eastAsia="Courier New" w:hAnsi="Courier New"/>
          <w:sz w:val="18"/>
          <w:szCs w:val="18"/>
          <w:color w:val="auto"/>
        </w:rPr>
        <w:t>98,019</w:t>
      </w:r>
    </w:p>
    <w:p>
      <w:pPr>
        <w:ind w:left="3340"/>
        <w:spacing w:after="0" w:line="238" w:lineRule="auto"/>
        <w:rPr>
          <w:sz w:val="20"/>
          <w:szCs w:val="20"/>
          <w:color w:val="auto"/>
        </w:rPr>
      </w:pPr>
      <w:r>
        <w:rPr>
          <w:rFonts w:ascii="Courier New" w:cs="Courier New" w:eastAsia="Courier New" w:hAnsi="Courier New"/>
          <w:sz w:val="18"/>
          <w:szCs w:val="18"/>
          <w:color w:val="auto"/>
        </w:rPr>
        <w:t>98,182</w:t>
      </w:r>
    </w:p>
    <w:p>
      <w:pPr>
        <w:ind w:left="4500"/>
        <w:spacing w:after="0"/>
        <w:rPr>
          <w:sz w:val="20"/>
          <w:szCs w:val="20"/>
          <w:color w:val="auto"/>
        </w:rPr>
      </w:pPr>
      <w:r>
        <w:rPr>
          <w:rFonts w:ascii="Courier New" w:cs="Courier New" w:eastAsia="Courier New" w:hAnsi="Courier New"/>
          <w:sz w:val="18"/>
          <w:szCs w:val="18"/>
          <w:color w:val="auto"/>
        </w:rPr>
        <w:t>53,520</w:t>
      </w:r>
    </w:p>
    <w:p>
      <w:pPr>
        <w:ind w:left="3660"/>
        <w:spacing w:after="0" w:line="238" w:lineRule="auto"/>
        <w:rPr>
          <w:sz w:val="20"/>
          <w:szCs w:val="20"/>
          <w:color w:val="auto"/>
        </w:rPr>
      </w:pPr>
      <w:r>
        <w:rPr>
          <w:rFonts w:ascii="Courier New" w:cs="Courier New" w:eastAsia="Courier New" w:hAnsi="Courier New"/>
          <w:sz w:val="18"/>
          <w:szCs w:val="18"/>
          <w:color w:val="auto"/>
        </w:rPr>
        <w:t>99,189</w:t>
      </w:r>
    </w:p>
    <w:p>
      <w:pPr>
        <w:ind w:left="3440"/>
        <w:spacing w:after="0"/>
        <w:rPr>
          <w:sz w:val="20"/>
          <w:szCs w:val="20"/>
          <w:color w:val="auto"/>
        </w:rPr>
      </w:pPr>
      <w:r>
        <w:rPr>
          <w:rFonts w:ascii="Courier New" w:cs="Courier New" w:eastAsia="Courier New" w:hAnsi="Courier New"/>
          <w:sz w:val="18"/>
          <w:szCs w:val="18"/>
          <w:color w:val="auto"/>
        </w:rPr>
        <w:t>1,158</w:t>
      </w:r>
    </w:p>
    <w:p>
      <w:pPr>
        <w:ind w:left="3860"/>
        <w:spacing w:after="0" w:line="238"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5,694</w:t>
      </w:r>
    </w:p>
    <w:p>
      <w:pPr>
        <w:ind w:left="3340"/>
        <w:spacing w:after="0" w:line="238" w:lineRule="auto"/>
        <w:rPr>
          <w:sz w:val="20"/>
          <w:szCs w:val="20"/>
          <w:color w:val="auto"/>
        </w:rPr>
      </w:pPr>
      <w:r>
        <w:rPr>
          <w:rFonts w:ascii="Courier New" w:cs="Courier New" w:eastAsia="Courier New" w:hAnsi="Courier New"/>
          <w:sz w:val="18"/>
          <w:szCs w:val="18"/>
          <w:color w:val="auto"/>
        </w:rPr>
        <w:t>(7,859)</w:t>
      </w:r>
    </w:p>
    <w:p>
      <w:pPr>
        <w:ind w:left="3660"/>
        <w:spacing w:after="0"/>
        <w:rPr>
          <w:sz w:val="20"/>
          <w:szCs w:val="20"/>
          <w:color w:val="auto"/>
        </w:rPr>
      </w:pPr>
      <w:r>
        <w:rPr>
          <w:rFonts w:ascii="Courier New" w:cs="Courier New" w:eastAsia="Courier New" w:hAnsi="Courier New"/>
          <w:sz w:val="18"/>
          <w:szCs w:val="18"/>
          <w:color w:val="auto"/>
        </w:rPr>
        <w:t>(3,261)</w:t>
      </w:r>
    </w:p>
    <w:p>
      <w:pPr>
        <w:ind w:left="2920"/>
        <w:spacing w:after="0" w:line="238" w:lineRule="auto"/>
        <w:rPr>
          <w:sz w:val="20"/>
          <w:szCs w:val="20"/>
          <w:color w:val="auto"/>
        </w:rPr>
      </w:pPr>
      <w:r>
        <w:rPr>
          <w:rFonts w:ascii="Courier New" w:cs="Courier New" w:eastAsia="Courier New" w:hAnsi="Courier New"/>
          <w:sz w:val="18"/>
          <w:szCs w:val="18"/>
          <w:color w:val="auto"/>
        </w:rPr>
        <w:t>(4,598)</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8"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119"/>
        <w:spacing w:after="0" w:line="238" w:lineRule="auto"/>
        <w:rPr>
          <w:sz w:val="20"/>
          <w:szCs w:val="20"/>
          <w:color w:val="auto"/>
        </w:rPr>
      </w:pPr>
      <w:r>
        <w:rPr>
          <w:rFonts w:ascii="Courier New" w:cs="Courier New" w:eastAsia="Courier New" w:hAnsi="Courier New"/>
          <w:sz w:val="18"/>
          <w:szCs w:val="18"/>
          <w:color w:val="auto"/>
        </w:rPr>
        <w:t>(4,598)</w:t>
      </w:r>
    </w:p>
    <w:p>
      <w:pPr>
        <w:jc w:val="center"/>
        <w:ind w:right="2119"/>
        <w:spacing w:after="0"/>
        <w:rPr>
          <w:sz w:val="20"/>
          <w:szCs w:val="20"/>
          <w:color w:val="auto"/>
        </w:rPr>
      </w:pPr>
      <w:r>
        <w:rPr>
          <w:rFonts w:ascii="Courier New" w:cs="Courier New" w:eastAsia="Courier New" w:hAnsi="Courier New"/>
          <w:sz w:val="18"/>
          <w:szCs w:val="18"/>
          <w:color w:val="auto"/>
        </w:rPr>
        <w:t>(.25)</w:t>
      </w:r>
    </w:p>
    <w:p>
      <w:pPr>
        <w:jc w:val="center"/>
        <w:ind w:right="2119"/>
        <w:spacing w:after="0"/>
        <w:rPr>
          <w:sz w:val="20"/>
          <w:szCs w:val="20"/>
          <w:color w:val="auto"/>
        </w:rPr>
      </w:pPr>
      <w:r>
        <w:rPr>
          <w:rFonts w:ascii="Courier New" w:cs="Courier New" w:eastAsia="Courier New" w:hAnsi="Courier New"/>
          <w:sz w:val="18"/>
          <w:szCs w:val="18"/>
          <w:color w:val="auto"/>
        </w:rPr>
        <w:t>(.25)</w:t>
      </w:r>
    </w:p>
    <w:sectPr>
      <w:pgSz w:w="11900" w:h="16838" w:orient="portrait"/>
      <w:cols w:equalWidth="0" w:num="1">
        <w:col w:w="10179"/>
      </w:cols>
      <w:pgMar w:left="28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2019-12-20T00:01:19Z</dcterms:created>
  <dcterms:modified xsi:type="dcterms:W3CDTF">2019-12-20T00:01:19Z</dcterms:modified>
</cp:coreProperties>
</file>