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480"/>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ind w:left="242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169"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3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(Amendment No._7_)</w:t>
      </w:r>
    </w:p>
    <w:p>
      <w:pPr>
        <w:spacing w:after="0" w:line="372"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The Scotts Miracle-Gro Company</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jc w:val="center"/>
        <w:ind w:right="1599"/>
        <w:spacing w:after="0"/>
        <w:rPr>
          <w:sz w:val="20"/>
          <w:szCs w:val="20"/>
          <w:color w:val="auto"/>
        </w:rPr>
      </w:pPr>
      <w:r>
        <w:rPr>
          <w:rFonts w:ascii="Courier New" w:cs="Courier New" w:eastAsia="Courier New" w:hAnsi="Courier New"/>
          <w:sz w:val="18"/>
          <w:szCs w:val="18"/>
          <w:color w:val="auto"/>
        </w:rPr>
        <w:t>Common Shares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810186106</w:t>
      </w:r>
    </w:p>
    <w:p>
      <w:pPr>
        <w:spacing w:after="0" w:line="29"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jc w:val="center"/>
        <w:ind w:right="1499"/>
        <w:spacing w:after="0"/>
        <w:rPr>
          <w:sz w:val="20"/>
          <w:szCs w:val="20"/>
          <w:color w:val="auto"/>
        </w:rPr>
      </w:pPr>
      <w:r>
        <w:rPr>
          <w:rFonts w:ascii="Courier New" w:cs="Courier New" w:eastAsia="Courier New" w:hAnsi="Courier New"/>
          <w:sz w:val="18"/>
          <w:szCs w:val="18"/>
          <w:color w:val="auto"/>
        </w:rPr>
        <w:t>04/30/2023</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372" w:lineRule="exact"/>
        <w:rPr>
          <w:sz w:val="24"/>
          <w:szCs w:val="24"/>
          <w:color w:val="auto"/>
        </w:rPr>
      </w:pPr>
    </w:p>
    <w:p>
      <w:pPr>
        <w:ind w:right="18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ind w:right="8239" w:firstLine="8"/>
        <w:spacing w:after="0" w:line="476" w:lineRule="auto"/>
        <w:tabs>
          <w:tab w:leader="none" w:pos="42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 [ ] Rule 13d-1(c) [ ] Rule 13d-1(d)</w:t>
      </w:r>
    </w:p>
    <w:p>
      <w:pPr>
        <w:spacing w:after="0" w:line="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810186106</w:t>
      </w:r>
    </w:p>
    <w:p>
      <w:pPr>
        <w:spacing w:after="0" w:line="29"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p>
    <w:p>
      <w:pPr>
        <w:ind w:left="420" w:hanging="307"/>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w:t>
      </w:r>
    </w:p>
    <w:p>
      <w:pPr>
        <w:spacing w:after="0" w:line="169"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EARNEST Partners, LLC</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p>
    <w:p>
      <w:pPr>
        <w:ind w:left="420" w:hanging="307"/>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860" w:hanging="431"/>
        <w:spacing w:after="0" w:line="238" w:lineRule="auto"/>
        <w:tabs>
          <w:tab w:leader="none" w:pos="8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860" w:hanging="431"/>
        <w:spacing w:after="0" w:line="238" w:lineRule="auto"/>
        <w:tabs>
          <w:tab w:leader="none" w:pos="8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  SEC USE ONLY</w:t>
      </w: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  CITIZENSHIP OR PLACE OF ORGANIZATION  Delaware</w:t>
      </w: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tbl>
      <w:tblPr>
        <w:tblLayout w:type="fixed"/>
        <w:tblInd w:w="0" w:type="dxa"/>
        <w:tblCellMar>
          <w:top w:w="0" w:type="dxa"/>
          <w:left w:w="0" w:type="dxa"/>
          <w:bottom w:w="0" w:type="dxa"/>
          <w:right w:w="0" w:type="dxa"/>
        </w:tblCellMar>
      </w:tblPr>
      <w:tr>
        <w:trPr>
          <w:trHeight w:val="192"/>
        </w:trPr>
        <w:tc>
          <w:tcPr>
            <w:tcW w:w="1380" w:type="dxa"/>
            <w:vAlign w:val="bottom"/>
            <w:vMerge w:val="restart"/>
          </w:tcPr>
          <w:p>
            <w:pPr>
              <w:spacing w:after="0"/>
              <w:rPr>
                <w:sz w:val="20"/>
                <w:szCs w:val="20"/>
                <w:color w:val="auto"/>
              </w:rPr>
            </w:pPr>
            <w:r>
              <w:rPr>
                <w:rFonts w:ascii="Courier New" w:cs="Courier New" w:eastAsia="Courier New" w:hAnsi="Courier New"/>
                <w:sz w:val="18"/>
                <w:szCs w:val="18"/>
                <w:color w:val="auto"/>
              </w:rPr>
              <w:t>NUMBER OF</w:t>
            </w:r>
          </w:p>
        </w:tc>
        <w:tc>
          <w:tcPr>
            <w:tcW w:w="620" w:type="dxa"/>
            <w:vAlign w:val="bottom"/>
          </w:tcPr>
          <w:p>
            <w:pPr>
              <w:ind w:left="100"/>
              <w:spacing w:after="0" w:line="192" w:lineRule="exact"/>
              <w:rPr>
                <w:sz w:val="20"/>
                <w:szCs w:val="20"/>
                <w:color w:val="auto"/>
              </w:rPr>
            </w:pPr>
            <w:r>
              <w:rPr>
                <w:rFonts w:ascii="Courier New" w:cs="Courier New" w:eastAsia="Courier New" w:hAnsi="Courier New"/>
                <w:sz w:val="18"/>
                <w:szCs w:val="18"/>
                <w:color w:val="auto"/>
              </w:rPr>
              <w:t>5</w:t>
            </w:r>
          </w:p>
        </w:tc>
        <w:tc>
          <w:tcPr>
            <w:tcW w:w="2000" w:type="dxa"/>
            <w:vAlign w:val="bottom"/>
          </w:tcPr>
          <w:p>
            <w:pPr>
              <w:spacing w:after="0" w:line="192" w:lineRule="exact"/>
              <w:rPr>
                <w:sz w:val="20"/>
                <w:szCs w:val="20"/>
                <w:color w:val="auto"/>
              </w:rPr>
            </w:pPr>
            <w:r>
              <w:rPr>
                <w:rFonts w:ascii="Courier New" w:cs="Courier New" w:eastAsia="Courier New" w:hAnsi="Courier New"/>
                <w:sz w:val="18"/>
                <w:szCs w:val="18"/>
                <w:color w:val="auto"/>
              </w:rPr>
              <w:t>SOLE VOTING POWER</w:t>
            </w:r>
          </w:p>
        </w:tc>
        <w:tc>
          <w:tcPr>
            <w:tcW w:w="1480" w:type="dxa"/>
            <w:vAlign w:val="bottom"/>
          </w:tcPr>
          <w:p>
            <w:pPr>
              <w:jc w:val="right"/>
              <w:ind w:right="432"/>
              <w:spacing w:after="0" w:line="192" w:lineRule="exact"/>
              <w:rPr>
                <w:sz w:val="20"/>
                <w:szCs w:val="20"/>
                <w:color w:val="auto"/>
              </w:rPr>
            </w:pPr>
            <w:r>
              <w:rPr>
                <w:rFonts w:ascii="Courier New" w:cs="Courier New" w:eastAsia="Courier New" w:hAnsi="Courier New"/>
                <w:sz w:val="18"/>
                <w:szCs w:val="18"/>
                <w:color w:val="auto"/>
                <w:w w:val="96"/>
              </w:rPr>
              <w:t>1,842,302</w:t>
            </w:r>
          </w:p>
        </w:tc>
        <w:tc>
          <w:tcPr>
            <w:tcW w:w="0" w:type="dxa"/>
            <w:vAlign w:val="bottom"/>
          </w:tcPr>
          <w:p>
            <w:pPr>
              <w:spacing w:after="0"/>
              <w:rPr>
                <w:sz w:val="1"/>
                <w:szCs w:val="1"/>
                <w:color w:val="auto"/>
              </w:rPr>
            </w:pPr>
          </w:p>
        </w:tc>
      </w:tr>
      <w:tr>
        <w:trPr>
          <w:trHeight w:val="202"/>
        </w:trPr>
        <w:tc>
          <w:tcPr>
            <w:tcW w:w="1380" w:type="dxa"/>
            <w:vAlign w:val="bottom"/>
            <w:vMerge w:val="continue"/>
          </w:tcPr>
          <w:p>
            <w:pPr>
              <w:spacing w:after="0"/>
              <w:rPr>
                <w:sz w:val="17"/>
                <w:szCs w:val="17"/>
                <w:color w:val="auto"/>
              </w:rPr>
            </w:pPr>
          </w:p>
        </w:tc>
        <w:tc>
          <w:tcPr>
            <w:tcW w:w="2620" w:type="dxa"/>
            <w:vAlign w:val="bottom"/>
            <w:gridSpan w:val="2"/>
          </w:tcPr>
          <w:p>
            <w:pPr>
              <w:ind w:left="100"/>
              <w:spacing w:after="0"/>
              <w:rPr>
                <w:sz w:val="20"/>
                <w:szCs w:val="20"/>
                <w:color w:val="auto"/>
              </w:rPr>
            </w:pPr>
            <w:r>
              <w:rPr>
                <w:rFonts w:ascii="Courier New" w:cs="Courier New" w:eastAsia="Courier New" w:hAnsi="Courier New"/>
                <w:sz w:val="9"/>
                <w:szCs w:val="9"/>
                <w:color w:val="auto"/>
                <w:w w:val="71"/>
              </w:rPr>
              <w:t>-----------------------------------------------------------------</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62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6</w:t>
            </w:r>
          </w:p>
        </w:tc>
        <w:tc>
          <w:tcPr>
            <w:tcW w:w="2000" w:type="dxa"/>
            <w:vAlign w:val="bottom"/>
            <w:vMerge w:val="restart"/>
          </w:tcPr>
          <w:p>
            <w:pPr>
              <w:spacing w:after="0"/>
              <w:rPr>
                <w:sz w:val="20"/>
                <w:szCs w:val="20"/>
                <w:color w:val="auto"/>
              </w:rPr>
            </w:pPr>
            <w:r>
              <w:rPr>
                <w:rFonts w:ascii="Courier New" w:cs="Courier New" w:eastAsia="Courier New" w:hAnsi="Courier New"/>
                <w:sz w:val="18"/>
                <w:szCs w:val="18"/>
                <w:color w:val="auto"/>
                <w:w w:val="96"/>
              </w:rPr>
              <w:t>SHARED VOTING POWER</w:t>
            </w:r>
          </w:p>
        </w:tc>
        <w:tc>
          <w:tcPr>
            <w:tcW w:w="1480" w:type="dxa"/>
            <w:vAlign w:val="bottom"/>
            <w:vMerge w:val="restart"/>
          </w:tcPr>
          <w:p>
            <w:pPr>
              <w:jc w:val="right"/>
              <w:ind w:right="652"/>
              <w:spacing w:after="0"/>
              <w:rPr>
                <w:sz w:val="20"/>
                <w:szCs w:val="20"/>
                <w:color w:val="auto"/>
              </w:rPr>
            </w:pPr>
            <w:r>
              <w:rPr>
                <w:rFonts w:ascii="Courier New" w:cs="Courier New" w:eastAsia="Courier New" w:hAnsi="Courier New"/>
                <w:sz w:val="18"/>
                <w:szCs w:val="18"/>
                <w:color w:val="auto"/>
              </w:rPr>
              <w:t>7,568</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620" w:type="dxa"/>
            <w:vAlign w:val="bottom"/>
            <w:vMerge w:val="continue"/>
          </w:tcPr>
          <w:p>
            <w:pPr>
              <w:spacing w:after="0"/>
              <w:rPr>
                <w:sz w:val="17"/>
                <w:szCs w:val="17"/>
                <w:color w:val="auto"/>
              </w:rPr>
            </w:pPr>
          </w:p>
        </w:tc>
        <w:tc>
          <w:tcPr>
            <w:tcW w:w="200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2620" w:type="dxa"/>
            <w:vAlign w:val="bottom"/>
            <w:gridSpan w:val="2"/>
          </w:tcPr>
          <w:p>
            <w:pPr>
              <w:ind w:left="100"/>
              <w:spacing w:after="0"/>
              <w:rPr>
                <w:sz w:val="20"/>
                <w:szCs w:val="20"/>
                <w:color w:val="auto"/>
              </w:rPr>
            </w:pPr>
            <w:r>
              <w:rPr>
                <w:rFonts w:ascii="Courier New" w:cs="Courier New" w:eastAsia="Courier New" w:hAnsi="Courier New"/>
                <w:sz w:val="9"/>
                <w:szCs w:val="9"/>
                <w:color w:val="auto"/>
                <w:w w:val="71"/>
              </w:rPr>
              <w:t>-----------------------------------------------------------------</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62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7</w:t>
            </w:r>
          </w:p>
        </w:tc>
        <w:tc>
          <w:tcPr>
            <w:tcW w:w="3480" w:type="dxa"/>
            <w:vAlign w:val="bottom"/>
            <w:gridSpan w:val="2"/>
            <w:vMerge w:val="restart"/>
          </w:tcPr>
          <w:p>
            <w:pPr>
              <w:spacing w:after="0"/>
              <w:rPr>
                <w:sz w:val="20"/>
                <w:szCs w:val="20"/>
                <w:color w:val="auto"/>
              </w:rPr>
            </w:pPr>
            <w:r>
              <w:rPr>
                <w:rFonts w:ascii="Courier New" w:cs="Courier New" w:eastAsia="Courier New" w:hAnsi="Courier New"/>
                <w:sz w:val="18"/>
                <w:szCs w:val="18"/>
                <w:color w:val="auto"/>
                <w:w w:val="97"/>
              </w:rPr>
              <w:t>SOLE DISPOSITIVE POWER  2,789,250</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620" w:type="dxa"/>
            <w:vAlign w:val="bottom"/>
            <w:vMerge w:val="continue"/>
          </w:tcPr>
          <w:p>
            <w:pPr>
              <w:spacing w:after="0"/>
              <w:rPr>
                <w:sz w:val="17"/>
                <w:szCs w:val="17"/>
                <w:color w:val="auto"/>
              </w:rPr>
            </w:pPr>
          </w:p>
        </w:tc>
        <w:tc>
          <w:tcPr>
            <w:tcW w:w="34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138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2620" w:type="dxa"/>
            <w:vAlign w:val="bottom"/>
            <w:gridSpan w:val="2"/>
          </w:tcPr>
          <w:p>
            <w:pPr>
              <w:ind w:left="100"/>
              <w:spacing w:after="0"/>
              <w:rPr>
                <w:sz w:val="20"/>
                <w:szCs w:val="20"/>
                <w:color w:val="auto"/>
              </w:rPr>
            </w:pPr>
            <w:r>
              <w:rPr>
                <w:rFonts w:ascii="Courier New" w:cs="Courier New" w:eastAsia="Courier New" w:hAnsi="Courier New"/>
                <w:sz w:val="9"/>
                <w:szCs w:val="9"/>
                <w:color w:val="auto"/>
                <w:w w:val="71"/>
              </w:rPr>
              <w:t>-----------------------------------------------------------------</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000" w:hanging="518"/>
        <w:spacing w:after="0" w:line="238" w:lineRule="auto"/>
        <w:tabs>
          <w:tab w:leader="none" w:pos="20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  AGGREGATE AMOUNT BENEFICIALLY OWNED BY EACH REPORTING PERSON  2,789,250</w:t>
      </w: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420" w:right="2559" w:hanging="42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 CHECK BOX IF THE AGGREGATE AMOUNT IN ROW (9) EXCLUDES CERTAIN SHARES (SEE INSTRUCTIONS)[ ]</w:t>
      </w: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  PERCENT OF CLASS REPRESENTED BY AMOUNT IN ROW (9)  5.0%</w:t>
      </w: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12  TYPE OF REPORTING PERSON (SEE INSTRUCTIONS)</w:t>
      </w: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9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139"/>
          </w:cols>
          <w:pgMar w:left="320" w:top="218"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960" w:hanging="531"/>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  The Scotts Miracle-Gro Company</w:t>
      </w:r>
    </w:p>
    <w:p>
      <w:pPr>
        <w:spacing w:after="0" w:line="201" w:lineRule="exact"/>
        <w:rPr>
          <w:rFonts w:ascii="Courier New" w:cs="Courier New" w:eastAsia="Courier New" w:hAnsi="Courier New"/>
          <w:sz w:val="18"/>
          <w:szCs w:val="18"/>
          <w:color w:val="auto"/>
        </w:rPr>
      </w:pPr>
    </w:p>
    <w:p>
      <w:pPr>
        <w:ind w:left="960" w:right="4239" w:hanging="531"/>
        <w:spacing w:after="0" w:line="402" w:lineRule="auto"/>
        <w:tabs>
          <w:tab w:leader="none" w:pos="9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Issuer's Principal Executive Offices 14111 Scottslawn Road, Marysville, Ohio 43041</w:t>
      </w: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960" w:hanging="531"/>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  EARNEST Partners, LLC</w:t>
      </w:r>
    </w:p>
    <w:p>
      <w:pPr>
        <w:spacing w:after="0" w:line="201" w:lineRule="exact"/>
        <w:rPr>
          <w:rFonts w:ascii="Courier New" w:cs="Courier New" w:eastAsia="Courier New" w:hAnsi="Courier New"/>
          <w:sz w:val="18"/>
          <w:szCs w:val="18"/>
          <w:color w:val="auto"/>
        </w:rPr>
      </w:pPr>
    </w:p>
    <w:p>
      <w:pPr>
        <w:ind w:left="960" w:right="2859" w:hanging="531"/>
        <w:spacing w:after="0" w:line="402" w:lineRule="auto"/>
        <w:tabs>
          <w:tab w:leader="none" w:pos="9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 1180 Peachtree Street NE, Suite 2300, Atlanta, Georgia 30309</w:t>
      </w:r>
    </w:p>
    <w:p>
      <w:pPr>
        <w:ind w:left="960" w:hanging="531"/>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Delaware</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Shares</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810186106</w:t>
      </w:r>
    </w:p>
    <w:p>
      <w:pPr>
        <w:spacing w:after="0" w:line="201" w:lineRule="exact"/>
        <w:rPr>
          <w:sz w:val="20"/>
          <w:szCs w:val="20"/>
          <w:color w:val="auto"/>
        </w:rPr>
      </w:pPr>
    </w:p>
    <w:p>
      <w:pPr>
        <w:ind w:right="2119"/>
        <w:spacing w:after="0" w:line="346" w:lineRule="auto"/>
        <w:rPr>
          <w:sz w:val="20"/>
          <w:szCs w:val="20"/>
          <w:color w:val="auto"/>
        </w:rPr>
      </w:pPr>
      <w:r>
        <w:rPr>
          <w:rFonts w:ascii="Courier New" w:cs="Courier New" w:eastAsia="Courier New" w:hAnsi="Courier New"/>
          <w:sz w:val="18"/>
          <w:szCs w:val="18"/>
          <w:color w:val="auto"/>
        </w:rPr>
        <w:t>Item 3. If this statement is filed pursuant to 13d-1(b) or 13d-2(b) or (c), check whether the person filing is a:</w:t>
      </w:r>
    </w:p>
    <w:p>
      <w:pPr>
        <w:spacing w:after="0" w:line="20" w:lineRule="exact"/>
        <w:rPr>
          <w:sz w:val="20"/>
          <w:szCs w:val="20"/>
          <w:color w:val="auto"/>
        </w:rPr>
      </w:pPr>
    </w:p>
    <w:p>
      <w:pPr>
        <w:ind w:left="960" w:hanging="531"/>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spacing w:after="0" w:line="201" w:lineRule="exact"/>
        <w:rPr>
          <w:rFonts w:ascii="Courier New" w:cs="Courier New" w:eastAsia="Courier New" w:hAnsi="Courier New"/>
          <w:sz w:val="18"/>
          <w:szCs w:val="18"/>
          <w:color w:val="auto"/>
        </w:rPr>
      </w:pPr>
    </w:p>
    <w:p>
      <w:pPr>
        <w:ind w:left="1480" w:right="2019" w:hanging="1051"/>
        <w:spacing w:after="0" w:line="346" w:lineRule="auto"/>
        <w:tabs>
          <w:tab w:leader="none" w:pos="95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w:t>
      </w:r>
    </w:p>
    <w:p>
      <w:pPr>
        <w:spacing w:after="0" w:line="19"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An investment adviser in accordance with Rule 13d-1(b)(1)(ii)(E);</w:t>
      </w:r>
    </w:p>
    <w:p>
      <w:pPr>
        <w:spacing w:after="0" w:line="223" w:lineRule="exact"/>
        <w:rPr>
          <w:rFonts w:ascii="Courier New" w:cs="Courier New" w:eastAsia="Courier New" w:hAnsi="Courier New"/>
          <w:sz w:val="16"/>
          <w:szCs w:val="16"/>
          <w:color w:val="auto"/>
        </w:rPr>
      </w:pPr>
    </w:p>
    <w:p>
      <w:pPr>
        <w:ind w:left="1480" w:right="2239" w:hanging="1051"/>
        <w:spacing w:after="0" w:line="346" w:lineRule="auto"/>
        <w:tabs>
          <w:tab w:leader="none" w:pos="95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Rule 13d-1(b)(1)(ii)(F);</w:t>
      </w:r>
    </w:p>
    <w:p>
      <w:pPr>
        <w:spacing w:after="0" w:line="19" w:lineRule="exact"/>
        <w:rPr>
          <w:rFonts w:ascii="Courier New" w:cs="Courier New" w:eastAsia="Courier New" w:hAnsi="Courier New"/>
          <w:sz w:val="18"/>
          <w:szCs w:val="18"/>
          <w:color w:val="auto"/>
        </w:rPr>
      </w:pPr>
    </w:p>
    <w:p>
      <w:pPr>
        <w:ind w:left="1480" w:right="2239" w:hanging="1051"/>
        <w:spacing w:after="0" w:line="346" w:lineRule="auto"/>
        <w:tabs>
          <w:tab w:leader="none" w:pos="95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Rule 13d-1(b)(1)(ii)(G);</w:t>
      </w:r>
    </w:p>
    <w:p>
      <w:pPr>
        <w:spacing w:after="0" w:line="19" w:lineRule="exact"/>
        <w:rPr>
          <w:rFonts w:ascii="Courier New" w:cs="Courier New" w:eastAsia="Courier New" w:hAnsi="Courier New"/>
          <w:sz w:val="18"/>
          <w:szCs w:val="18"/>
          <w:color w:val="auto"/>
        </w:rPr>
      </w:pPr>
    </w:p>
    <w:p>
      <w:pPr>
        <w:ind w:left="1480" w:right="1919" w:hanging="1051"/>
        <w:spacing w:after="0" w:line="346" w:lineRule="auto"/>
        <w:tabs>
          <w:tab w:leader="none" w:pos="95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line="19" w:lineRule="exact"/>
        <w:rPr>
          <w:rFonts w:ascii="Courier New" w:cs="Courier New" w:eastAsia="Courier New" w:hAnsi="Courier New"/>
          <w:sz w:val="18"/>
          <w:szCs w:val="18"/>
          <w:color w:val="auto"/>
        </w:rPr>
      </w:pPr>
    </w:p>
    <w:p>
      <w:pPr>
        <w:ind w:left="1480" w:right="2439" w:hanging="1051"/>
        <w:spacing w:after="0" w:line="292" w:lineRule="auto"/>
        <w:tabs>
          <w:tab w:leader="none" w:pos="95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w:t>
      </w:r>
    </w:p>
    <w:p>
      <w:pPr>
        <w:spacing w:after="0" w:line="65"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Rule 13d-1(b)(1)(ii)(J).</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right="1819"/>
        <w:spacing w:after="0" w:line="34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 w:lineRule="exact"/>
        <w:rPr>
          <w:sz w:val="20"/>
          <w:szCs w:val="20"/>
          <w:color w:val="auto"/>
        </w:rPr>
      </w:pPr>
    </w:p>
    <w:p>
      <w:pPr>
        <w:ind w:left="960" w:hanging="531"/>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2,789,250</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5.0%</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1,842,302</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7,568</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2,789,250</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6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EARNEST Partners, LLC is filing as an investment adviser in accordance with</w:t>
      </w:r>
    </w:p>
    <w:p>
      <w:pPr>
        <w:sectPr>
          <w:pgSz w:w="11900" w:h="16838" w:orient="portrait"/>
          <w:cols w:equalWidth="0" w:num="1">
            <w:col w:w="10139"/>
          </w:cols>
          <w:pgMar w:left="320" w:top="515" w:right="1440" w:bottom="0" w:gutter="0" w:footer="0" w:header="0"/>
        </w:sectPr>
      </w:pPr>
    </w:p>
    <w:bookmarkStart w:id="2" w:name="page3"/>
    <w:bookmarkEnd w:id="2"/>
    <w:p>
      <w:pPr>
        <w:ind w:right="2019"/>
        <w:spacing w:after="0" w:line="346" w:lineRule="auto"/>
        <w:rPr>
          <w:sz w:val="20"/>
          <w:szCs w:val="20"/>
          <w:color w:val="auto"/>
        </w:rPr>
      </w:pPr>
      <w:r>
        <w:rPr>
          <w:rFonts w:ascii="Courier New" w:cs="Courier New" w:eastAsia="Courier New" w:hAnsi="Courier New"/>
          <w:sz w:val="18"/>
          <w:szCs w:val="18"/>
          <w:color w:val="auto"/>
        </w:rPr>
        <w:t>240.13d-1(b)(1)(ii)(E). No client interest relates to more than five percent of the class.</w:t>
      </w:r>
    </w:p>
    <w:p>
      <w:pPr>
        <w:spacing w:after="0" w:line="20" w:lineRule="exact"/>
        <w:rPr>
          <w:sz w:val="20"/>
          <w:szCs w:val="20"/>
          <w:color w:val="auto"/>
        </w:rPr>
      </w:pPr>
    </w:p>
    <w:p>
      <w:pPr>
        <w:ind w:left="960" w:right="1819" w:hanging="947"/>
        <w:spacing w:after="0" w:line="346" w:lineRule="auto"/>
        <w:tabs>
          <w:tab w:leader="none" w:pos="9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a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right="2239" w:firstLine="534"/>
        <w:spacing w:after="0" w:line="346" w:lineRule="auto"/>
        <w:tabs>
          <w:tab w:leader="none" w:pos="1053"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Rule 13d-1(b):</w:t>
      </w:r>
    </w:p>
    <w:p>
      <w:pPr>
        <w:spacing w:after="0" w:line="20" w:lineRule="exact"/>
        <w:rPr>
          <w:sz w:val="20"/>
          <w:szCs w:val="20"/>
          <w:color w:val="auto"/>
        </w:rPr>
      </w:pPr>
    </w:p>
    <w:p>
      <w:pPr>
        <w:ind w:left="1480" w:right="1819"/>
        <w:spacing w:after="0" w:line="293"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71" w:lineRule="exact"/>
        <w:rPr>
          <w:sz w:val="20"/>
          <w:szCs w:val="20"/>
          <w:color w:val="auto"/>
        </w:rPr>
      </w:pPr>
    </w:p>
    <w:p>
      <w:pPr>
        <w:ind w:right="2239" w:firstLine="534"/>
        <w:spacing w:after="0" w:line="346" w:lineRule="auto"/>
        <w:tabs>
          <w:tab w:leader="none" w:pos="105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Rule 13d-1(c):</w:t>
      </w:r>
    </w:p>
    <w:p>
      <w:pPr>
        <w:spacing w:after="0" w:line="20" w:lineRule="exact"/>
        <w:rPr>
          <w:sz w:val="20"/>
          <w:szCs w:val="20"/>
          <w:color w:val="auto"/>
        </w:rPr>
      </w:pPr>
    </w:p>
    <w:p>
      <w:pPr>
        <w:ind w:left="1480" w:right="1819"/>
        <w:spacing w:after="0" w:line="29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67"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819"/>
        <w:spacing w:after="0" w:line="42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76"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May 8, 2023</w:t>
      </w:r>
    </w:p>
    <w:p>
      <w:pPr>
        <w:spacing w:after="0" w:line="29"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w:t>
      </w:r>
    </w:p>
    <w:p>
      <w:pPr>
        <w:ind w:left="5800"/>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/s/ James M. Wilson</w:t>
      </w:r>
    </w:p>
    <w:p>
      <w:pPr>
        <w:spacing w:after="0" w:line="29"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w:t>
      </w:r>
    </w:p>
    <w:p>
      <w:pPr>
        <w:ind w:left="5580"/>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James M. Wilson</w:t>
      </w:r>
    </w:p>
    <w:p>
      <w:pPr>
        <w:spacing w:after="0" w:line="31"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Chief Compliance Officer</w:t>
      </w:r>
    </w:p>
    <w:p>
      <w:pPr>
        <w:spacing w:after="0" w:line="169"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w:t>
      </w:r>
    </w:p>
    <w:p>
      <w:pPr>
        <w:spacing w:after="0" w:line="31" w:lineRule="exact"/>
        <w:rPr>
          <w:sz w:val="20"/>
          <w:szCs w:val="20"/>
          <w:color w:val="auto"/>
        </w:rPr>
      </w:pPr>
    </w:p>
    <w:p>
      <w:pPr>
        <w:ind w:left="5580"/>
        <w:spacing w:after="0"/>
        <w:rPr>
          <w:sz w:val="20"/>
          <w:szCs w:val="20"/>
          <w:color w:val="auto"/>
        </w:rPr>
      </w:pPr>
      <w:r>
        <w:rPr>
          <w:rFonts w:ascii="Courier New" w:cs="Courier New" w:eastAsia="Courier New" w:hAnsi="Courier New"/>
          <w:sz w:val="18"/>
          <w:szCs w:val="18"/>
          <w:color w:val="auto"/>
        </w:rPr>
        <w:t>Name/Title</w:t>
      </w:r>
    </w:p>
    <w:p>
      <w:pPr>
        <w:spacing w:after="0" w:line="372" w:lineRule="exact"/>
        <w:rPr>
          <w:sz w:val="20"/>
          <w:szCs w:val="20"/>
          <w:color w:val="auto"/>
        </w:rPr>
      </w:pPr>
    </w:p>
    <w:p>
      <w:pPr>
        <w:ind w:right="211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ACN/Form 13G</w:t>
      </w:r>
      <w:r>
        <w:rPr>
          <w:sz w:val="20"/>
          <w:szCs w:val="20"/>
          <w:color w:val="auto"/>
        </w:rPr>
        <w:tab/>
      </w:r>
      <w:r>
        <w:rPr>
          <w:rFonts w:ascii="Courier New" w:cs="Courier New" w:eastAsia="Courier New" w:hAnsi="Courier New"/>
          <w:sz w:val="16"/>
          <w:szCs w:val="16"/>
          <w:color w:val="auto"/>
        </w:rPr>
        <w:t>(C) 2006: Advisor Consultant Network, Inc.</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bullet"/>
      <w:start w:val="1"/>
    </w:lvl>
  </w:abstractNum>
  <w:abstractNum w:abstractNumId="2">
    <w:nsid w:val="2EB141F2"/>
    <w:multiLevelType w:val="hybridMultilevel"/>
    <w:lvl w:ilvl="0">
      <w:lvlJc w:val="left"/>
      <w:lvlText w:val="2"/>
      <w:numFmt w:val="bullet"/>
      <w:start w:val="1"/>
    </w:lvl>
    <w:lvl w:ilvl="1">
      <w:lvlJc w:val="left"/>
      <w:lvlText w:val="(%2)"/>
      <w:numFmt w:val="lowerLetter"/>
      <w:start w:val="1"/>
    </w:lvl>
  </w:abstractNum>
  <w:abstractNum w:abstractNumId="3">
    <w:nsid w:val="41B71EFB"/>
    <w:multiLevelType w:val="hybridMultilevel"/>
    <w:lvl w:ilvl="0">
      <w:lvlJc w:val="left"/>
      <w:lvlText w:val="8"/>
      <w:numFmt w:val="bullet"/>
      <w:start w:val="1"/>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
    </w:lvl>
    <w:lvl w:ilvl="1">
      <w:lvlJc w:val="left"/>
      <w:lvlText w:val="(%2)"/>
      <w:numFmt w:val="lowerRoman"/>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2023-05-09T13:01:16Z</dcterms:created>
  <dcterms:modified xsi:type="dcterms:W3CDTF">2023-05-09T13:01:16Z</dcterms:modified>
</cp:coreProperties>
</file>