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1254760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line="236" w:lineRule="auto"/>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_________________________________________</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SD</w:t>
      </w:r>
    </w:p>
    <w:p>
      <w:pPr>
        <w:spacing w:after="0" w:line="6"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_________________________________</w:t>
      </w:r>
    </w:p>
    <w:p>
      <w:pPr>
        <w:spacing w:after="0" w:line="29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Specialized Disclosure Report</w:t>
      </w:r>
    </w:p>
    <w:p>
      <w:pPr>
        <w:spacing w:after="0" w:line="67"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_________________________________</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Scotts Miracle-Gro Company</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_________________________________</w:t>
      </w:r>
    </w:p>
    <w:p>
      <w:pPr>
        <w:spacing w:after="0" w:line="200" w:lineRule="exact"/>
        <w:rPr>
          <w:sz w:val="24"/>
          <w:szCs w:val="24"/>
          <w:color w:val="auto"/>
        </w:rPr>
      </w:pPr>
    </w:p>
    <w:p>
      <w:pPr>
        <w:spacing w:after="0" w:line="304" w:lineRule="exact"/>
        <w:rPr>
          <w:sz w:val="24"/>
          <w:szCs w:val="24"/>
          <w:color w:val="auto"/>
        </w:rPr>
      </w:pPr>
    </w:p>
    <w:tbl>
      <w:tblPr>
        <w:tblLayout w:type="fixed"/>
        <w:tblInd w:w="760" w:type="dxa"/>
        <w:tblCellMar>
          <w:top w:w="0" w:type="dxa"/>
          <w:left w:w="0" w:type="dxa"/>
          <w:bottom w:w="0" w:type="dxa"/>
          <w:right w:w="0" w:type="dxa"/>
        </w:tblCellMar>
      </w:tblPr>
      <w:tr>
        <w:trPr>
          <w:trHeight w:val="234"/>
        </w:trPr>
        <w:tc>
          <w:tcPr>
            <w:tcW w:w="3400" w:type="dxa"/>
            <w:vAlign w:val="bottom"/>
          </w:tcPr>
          <w:p>
            <w:pPr>
              <w:jc w:val="center"/>
              <w:ind w:right="970"/>
              <w:spacing w:after="0"/>
              <w:rPr>
                <w:sz w:val="20"/>
                <w:szCs w:val="20"/>
                <w:color w:val="auto"/>
              </w:rPr>
            </w:pPr>
            <w:r>
              <w:rPr>
                <w:rFonts w:ascii="Arial" w:cs="Arial" w:eastAsia="Arial" w:hAnsi="Arial"/>
                <w:sz w:val="18"/>
                <w:szCs w:val="18"/>
                <w:b w:val="1"/>
                <w:bCs w:val="1"/>
                <w:color w:val="auto"/>
                <w:w w:val="92"/>
              </w:rPr>
              <w:t>Ohio</w:t>
            </w:r>
          </w:p>
        </w:tc>
        <w:tc>
          <w:tcPr>
            <w:tcW w:w="3320" w:type="dxa"/>
            <w:vAlign w:val="bottom"/>
          </w:tcPr>
          <w:p>
            <w:pPr>
              <w:jc w:val="right"/>
              <w:ind w:right="1290"/>
              <w:spacing w:after="0"/>
              <w:rPr>
                <w:sz w:val="20"/>
                <w:szCs w:val="20"/>
                <w:color w:val="auto"/>
              </w:rPr>
            </w:pPr>
            <w:r>
              <w:rPr>
                <w:rFonts w:ascii="Arial" w:cs="Arial" w:eastAsia="Arial" w:hAnsi="Arial"/>
                <w:sz w:val="18"/>
                <w:szCs w:val="18"/>
                <w:b w:val="1"/>
                <w:bCs w:val="1"/>
                <w:color w:val="auto"/>
              </w:rPr>
              <w:t>001-11593</w:t>
            </w:r>
          </w:p>
        </w:tc>
        <w:tc>
          <w:tcPr>
            <w:tcW w:w="2580" w:type="dxa"/>
            <w:vAlign w:val="bottom"/>
          </w:tcPr>
          <w:p>
            <w:pPr>
              <w:jc w:val="center"/>
              <w:ind w:left="1170"/>
              <w:spacing w:after="0"/>
              <w:rPr>
                <w:sz w:val="20"/>
                <w:szCs w:val="20"/>
                <w:color w:val="auto"/>
              </w:rPr>
            </w:pPr>
            <w:r>
              <w:rPr>
                <w:rFonts w:ascii="Arial" w:cs="Arial" w:eastAsia="Arial" w:hAnsi="Arial"/>
                <w:sz w:val="18"/>
                <w:szCs w:val="18"/>
                <w:b w:val="1"/>
                <w:bCs w:val="1"/>
                <w:color w:val="auto"/>
                <w:w w:val="91"/>
              </w:rPr>
              <w:t>31-1414921</w:t>
            </w:r>
          </w:p>
        </w:tc>
      </w:tr>
      <w:tr>
        <w:trPr>
          <w:trHeight w:val="270"/>
        </w:trPr>
        <w:tc>
          <w:tcPr>
            <w:tcW w:w="3400" w:type="dxa"/>
            <w:vAlign w:val="bottom"/>
          </w:tcPr>
          <w:p>
            <w:pPr>
              <w:jc w:val="center"/>
              <w:ind w:right="970"/>
              <w:spacing w:after="0"/>
              <w:rPr>
                <w:sz w:val="20"/>
                <w:szCs w:val="20"/>
                <w:color w:val="auto"/>
              </w:rPr>
            </w:pPr>
            <w:r>
              <w:rPr>
                <w:rFonts w:ascii="Arial" w:cs="Arial" w:eastAsia="Arial" w:hAnsi="Arial"/>
                <w:sz w:val="18"/>
                <w:szCs w:val="18"/>
                <w:color w:val="auto"/>
                <w:w w:val="92"/>
              </w:rPr>
              <w:t>(State or other jurisdiction</w:t>
            </w:r>
          </w:p>
        </w:tc>
        <w:tc>
          <w:tcPr>
            <w:tcW w:w="3320" w:type="dxa"/>
            <w:vAlign w:val="bottom"/>
          </w:tcPr>
          <w:p>
            <w:pPr>
              <w:ind w:left="1060"/>
              <w:spacing w:after="0"/>
              <w:rPr>
                <w:sz w:val="20"/>
                <w:szCs w:val="20"/>
                <w:color w:val="auto"/>
              </w:rPr>
            </w:pPr>
            <w:r>
              <w:rPr>
                <w:rFonts w:ascii="Arial" w:cs="Arial" w:eastAsia="Arial" w:hAnsi="Arial"/>
                <w:sz w:val="18"/>
                <w:szCs w:val="18"/>
                <w:color w:val="auto"/>
              </w:rPr>
              <w:t>(Commission</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2"/>
              </w:rPr>
              <w:t>(IRS Employer</w:t>
            </w:r>
          </w:p>
        </w:tc>
      </w:tr>
      <w:tr>
        <w:trPr>
          <w:trHeight w:val="270"/>
        </w:trPr>
        <w:tc>
          <w:tcPr>
            <w:tcW w:w="3400" w:type="dxa"/>
            <w:vAlign w:val="bottom"/>
          </w:tcPr>
          <w:p>
            <w:pPr>
              <w:jc w:val="center"/>
              <w:ind w:right="950"/>
              <w:spacing w:after="0"/>
              <w:rPr>
                <w:sz w:val="20"/>
                <w:szCs w:val="20"/>
                <w:color w:val="auto"/>
              </w:rPr>
            </w:pPr>
            <w:r>
              <w:rPr>
                <w:rFonts w:ascii="Arial" w:cs="Arial" w:eastAsia="Arial" w:hAnsi="Arial"/>
                <w:sz w:val="18"/>
                <w:szCs w:val="18"/>
                <w:color w:val="auto"/>
                <w:w w:val="92"/>
              </w:rPr>
              <w:t>of incorporation or organization)</w:t>
            </w:r>
          </w:p>
        </w:tc>
        <w:tc>
          <w:tcPr>
            <w:tcW w:w="3320" w:type="dxa"/>
            <w:vAlign w:val="bottom"/>
          </w:tcPr>
          <w:p>
            <w:pPr>
              <w:ind w:left="1080"/>
              <w:spacing w:after="0"/>
              <w:rPr>
                <w:sz w:val="20"/>
                <w:szCs w:val="20"/>
                <w:color w:val="auto"/>
              </w:rPr>
            </w:pPr>
            <w:r>
              <w:rPr>
                <w:rFonts w:ascii="Arial" w:cs="Arial" w:eastAsia="Arial" w:hAnsi="Arial"/>
                <w:sz w:val="18"/>
                <w:szCs w:val="18"/>
                <w:color w:val="auto"/>
              </w:rPr>
              <w:t>File 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640"/>
        <w:spacing w:after="0"/>
        <w:rPr>
          <w:sz w:val="20"/>
          <w:szCs w:val="20"/>
          <w:color w:val="auto"/>
        </w:rPr>
      </w:pPr>
      <w:r>
        <w:rPr>
          <w:rFonts w:ascii="Arial" w:cs="Arial" w:eastAsia="Arial" w:hAnsi="Arial"/>
          <w:sz w:val="16"/>
          <w:szCs w:val="16"/>
          <w:b w:val="1"/>
          <w:bCs w:val="1"/>
          <w:color w:val="auto"/>
        </w:rPr>
        <w:t>14111 Scottslawn Road, Marysville, Ohio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43041</w:t>
      </w:r>
    </w:p>
    <w:p>
      <w:pPr>
        <w:spacing w:after="0" w:line="101" w:lineRule="exact"/>
        <w:rPr>
          <w:sz w:val="24"/>
          <w:szCs w:val="24"/>
          <w:color w:val="auto"/>
        </w:rPr>
      </w:pPr>
    </w:p>
    <w:p>
      <w:pPr>
        <w:sectPr>
          <w:pgSz w:w="11900" w:h="16838" w:orient="portrait"/>
          <w:cols w:equalWidth="0" w:num="2">
            <w:col w:w="8400" w:space="720"/>
            <w:col w:w="2120"/>
          </w:cols>
          <w:pgMar w:left="320" w:top="1440" w:right="339" w:bottom="1440" w:gutter="0" w:footer="0" w:header="0"/>
          <w:type w:val="continuous"/>
        </w:sectPr>
      </w:pPr>
    </w:p>
    <w:p>
      <w:pPr>
        <w:ind w:left="7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220" w:space="720"/>
            <w:col w:w="2300"/>
          </w:cols>
          <w:pgMar w:left="320" w:top="1440" w:right="339" w:bottom="1440" w:gutter="0" w:footer="0" w:header="0"/>
          <w:type w:val="continuous"/>
        </w:sectPr>
      </w:pPr>
    </w:p>
    <w:p>
      <w:pPr>
        <w:spacing w:after="0" w:line="206"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Ivan C. Smith</w:t>
      </w:r>
    </w:p>
    <w:p>
      <w:pPr>
        <w:spacing w:after="0" w:line="27" w:lineRule="exact"/>
        <w:rPr>
          <w:sz w:val="24"/>
          <w:szCs w:val="24"/>
          <w:color w:val="auto"/>
        </w:rPr>
      </w:pPr>
    </w:p>
    <w:p>
      <w:pPr>
        <w:ind w:left="5120"/>
        <w:spacing w:after="0"/>
        <w:rPr>
          <w:sz w:val="20"/>
          <w:szCs w:val="20"/>
          <w:color w:val="auto"/>
        </w:rPr>
      </w:pPr>
      <w:r>
        <w:rPr>
          <w:rFonts w:ascii="Arial" w:cs="Arial" w:eastAsia="Arial" w:hAnsi="Arial"/>
          <w:sz w:val="18"/>
          <w:szCs w:val="18"/>
          <w:b w:val="1"/>
          <w:bCs w:val="1"/>
          <w:color w:val="auto"/>
        </w:rPr>
        <w:t>937-644-0011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and telephone number, including area code, of the person to contact in connection with this report.)</w:t>
      </w:r>
    </w:p>
    <w:p>
      <w:pPr>
        <w:spacing w:after="0" w:line="9"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_________________________________</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97" w:lineRule="exact"/>
        <w:rPr>
          <w:sz w:val="24"/>
          <w:szCs w:val="24"/>
          <w:color w:val="auto"/>
        </w:rPr>
      </w:pPr>
    </w:p>
    <w:p>
      <w:pPr>
        <w:ind w:left="360" w:right="3320" w:hanging="352"/>
        <w:spacing w:after="0" w:line="277"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Minerals Disclosure</w:t>
      </w:r>
    </w:p>
    <w:p>
      <w:pPr>
        <w:spacing w:after="0" w:line="256" w:lineRule="exact"/>
        <w:rPr>
          <w:sz w:val="20"/>
          <w:szCs w:val="20"/>
          <w:color w:val="auto"/>
        </w:rPr>
      </w:pPr>
    </w:p>
    <w:p>
      <w:pPr>
        <w:ind w:firstLine="413"/>
        <w:spacing w:after="0" w:line="263" w:lineRule="auto"/>
        <w:tabs>
          <w:tab w:leader="none" w:pos="617"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Scotts Miracle-Gro Company (including its consolidated subsidiaries, the “Company”), other than AeroGrow International, Inc. (OTCBB:AERO) (“</w:t>
      </w:r>
      <w:r>
        <w:rPr>
          <w:rFonts w:ascii="Arial" w:cs="Arial" w:eastAsia="Arial" w:hAnsi="Arial"/>
          <w:sz w:val="18"/>
          <w:szCs w:val="18"/>
          <w:b w:val="1"/>
          <w:bCs w:val="1"/>
          <w:i w:val="1"/>
          <w:iCs w:val="1"/>
          <w:color w:val="auto"/>
        </w:rPr>
        <w:t>AeroGrow</w:t>
      </w:r>
      <w:r>
        <w:rPr>
          <w:rFonts w:ascii="Arial" w:cs="Arial" w:eastAsia="Arial" w:hAnsi="Arial"/>
          <w:sz w:val="18"/>
          <w:szCs w:val="18"/>
          <w:color w:val="auto"/>
        </w:rPr>
        <w:t>”) which is discussed in (ii) below) is filing this Form SD pursuant to Rule 13p-1 under the Securities Exchange Act of 1934, as amended, for the reporting period from January 1, 2019 to December 31, 2019 (the “</w:t>
      </w:r>
      <w:r>
        <w:rPr>
          <w:rFonts w:ascii="Arial" w:cs="Arial" w:eastAsia="Arial" w:hAnsi="Arial"/>
          <w:sz w:val="18"/>
          <w:szCs w:val="18"/>
          <w:b w:val="1"/>
          <w:bCs w:val="1"/>
          <w:i w:val="1"/>
          <w:iCs w:val="1"/>
          <w:color w:val="auto"/>
        </w:rPr>
        <w:t>Reporting Period</w:t>
      </w:r>
      <w:r>
        <w:rPr>
          <w:rFonts w:ascii="Arial" w:cs="Arial" w:eastAsia="Arial" w:hAnsi="Arial"/>
          <w:sz w:val="18"/>
          <w:szCs w:val="18"/>
          <w:color w:val="auto"/>
        </w:rPr>
        <w:t>”).</w:t>
      </w:r>
    </w:p>
    <w:p>
      <w:pPr>
        <w:spacing w:after="0" w:line="211" w:lineRule="exact"/>
        <w:rPr>
          <w:sz w:val="20"/>
          <w:szCs w:val="20"/>
          <w:color w:val="auto"/>
        </w:rPr>
      </w:pPr>
    </w:p>
    <w:p>
      <w:pPr>
        <w:ind w:right="320" w:firstLine="445"/>
        <w:spacing w:after="0" w:line="275" w:lineRule="auto"/>
        <w:rPr>
          <w:sz w:val="20"/>
          <w:szCs w:val="20"/>
          <w:color w:val="auto"/>
        </w:rPr>
      </w:pPr>
      <w:r>
        <w:rPr>
          <w:rFonts w:ascii="Arial" w:cs="Arial" w:eastAsia="Arial" w:hAnsi="Arial"/>
          <w:sz w:val="17"/>
          <w:szCs w:val="17"/>
          <w:color w:val="auto"/>
        </w:rPr>
        <w:t>Rule 13p-1, through Form SD, requires the disclosure of certain information if a company manufactures or contracts to manufacture products for which certain “conflict minerals” (as defined below) are necessary to the functionality or production of such products. Form SD defines “</w:t>
      </w:r>
      <w:r>
        <w:rPr>
          <w:rFonts w:ascii="Arial" w:cs="Arial" w:eastAsia="Arial" w:hAnsi="Arial"/>
          <w:sz w:val="17"/>
          <w:szCs w:val="17"/>
          <w:b w:val="1"/>
          <w:bCs w:val="1"/>
          <w:i w:val="1"/>
          <w:iCs w:val="1"/>
          <w:color w:val="auto"/>
        </w:rPr>
        <w:t>conflict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minerals</w:t>
      </w:r>
      <w:r>
        <w:rPr>
          <w:rFonts w:ascii="Arial" w:cs="Arial" w:eastAsia="Arial" w:hAnsi="Arial"/>
          <w:sz w:val="17"/>
          <w:szCs w:val="17"/>
          <w:color w:val="auto"/>
        </w:rPr>
        <w:t>” as: (i)(a) columbite-tantalite, (b) cassiterite, (c) gold and (d) wolframite, or their derivatives, which are currently limited to tantalum, tin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tungsten; or (ii) any other mineral or its derivatives determined by the U.S. Secretary of State to be financing conflict in the Democratic Republic of the Congo or an “adjoining country,” as such term is defined in Form SD (collectively, the “</w:t>
      </w:r>
      <w:r>
        <w:rPr>
          <w:rFonts w:ascii="Arial" w:cs="Arial" w:eastAsia="Arial" w:hAnsi="Arial"/>
          <w:sz w:val="17"/>
          <w:szCs w:val="17"/>
          <w:b w:val="1"/>
          <w:bCs w:val="1"/>
          <w:i w:val="1"/>
          <w:iCs w:val="1"/>
          <w:color w:val="auto"/>
        </w:rPr>
        <w:t>Covered Countries</w:t>
      </w:r>
      <w:r>
        <w:rPr>
          <w:rFonts w:ascii="Arial" w:cs="Arial" w:eastAsia="Arial" w:hAnsi="Arial"/>
          <w:sz w:val="17"/>
          <w:szCs w:val="17"/>
          <w:color w:val="auto"/>
        </w:rPr>
        <w:t>”).</w:t>
      </w:r>
    </w:p>
    <w:p>
      <w:pPr>
        <w:spacing w:after="0" w:line="203" w:lineRule="exact"/>
        <w:rPr>
          <w:sz w:val="20"/>
          <w:szCs w:val="20"/>
          <w:color w:val="auto"/>
        </w:rPr>
      </w:pPr>
    </w:p>
    <w:p>
      <w:pPr>
        <w:ind w:right="360" w:firstLine="445"/>
        <w:spacing w:after="0" w:line="277" w:lineRule="auto"/>
        <w:rPr>
          <w:sz w:val="20"/>
          <w:szCs w:val="20"/>
          <w:color w:val="auto"/>
        </w:rPr>
      </w:pPr>
      <w:r>
        <w:rPr>
          <w:rFonts w:ascii="Arial" w:cs="Arial" w:eastAsia="Arial" w:hAnsi="Arial"/>
          <w:sz w:val="18"/>
          <w:szCs w:val="18"/>
          <w:color w:val="auto"/>
        </w:rPr>
        <w:t>During the Reporting Period, the Company manufactured or contracted to manufacture, products for which conflict minerals are necessary to the functionality or production of those products (collectively, the “</w:t>
      </w:r>
      <w:r>
        <w:rPr>
          <w:rFonts w:ascii="Arial" w:cs="Arial" w:eastAsia="Arial" w:hAnsi="Arial"/>
          <w:sz w:val="18"/>
          <w:szCs w:val="18"/>
          <w:b w:val="1"/>
          <w:bCs w:val="1"/>
          <w:i w:val="1"/>
          <w:iCs w:val="1"/>
          <w:color w:val="auto"/>
        </w:rPr>
        <w:t>products</w:t>
      </w:r>
      <w:r>
        <w:rPr>
          <w:rFonts w:ascii="Arial" w:cs="Arial" w:eastAsia="Arial" w:hAnsi="Arial"/>
          <w:sz w:val="18"/>
          <w:szCs w:val="18"/>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Reasonable Country of Origin Inquiry</w:t>
      </w:r>
    </w:p>
    <w:p>
      <w:pPr>
        <w:spacing w:after="0" w:line="252"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As required by Form SD, the Company has conducted a good faith reasonable country of origin inquiry (“</w:t>
      </w:r>
      <w:r>
        <w:rPr>
          <w:rFonts w:ascii="Arial" w:cs="Arial" w:eastAsia="Arial" w:hAnsi="Arial"/>
          <w:sz w:val="18"/>
          <w:szCs w:val="18"/>
          <w:b w:val="1"/>
          <w:bCs w:val="1"/>
          <w:i w:val="1"/>
          <w:iCs w:val="1"/>
          <w:color w:val="auto"/>
        </w:rPr>
        <w:t>RCOI</w:t>
      </w:r>
      <w:r>
        <w:rPr>
          <w:rFonts w:ascii="Arial" w:cs="Arial" w:eastAsia="Arial" w:hAnsi="Arial"/>
          <w:sz w:val="18"/>
          <w:szCs w:val="18"/>
          <w:color w:val="auto"/>
        </w:rPr>
        <w:t>”) regarding the conflict minerals included in its products during the Reporting Period, which the Company refers to as the “</w:t>
      </w:r>
      <w:r>
        <w:rPr>
          <w:rFonts w:ascii="Arial" w:cs="Arial" w:eastAsia="Arial" w:hAnsi="Arial"/>
          <w:sz w:val="18"/>
          <w:szCs w:val="18"/>
          <w:b w:val="1"/>
          <w:bCs w:val="1"/>
          <w:i w:val="1"/>
          <w:iCs w:val="1"/>
          <w:color w:val="auto"/>
        </w:rPr>
        <w:t>Subject Minerals</w:t>
      </w:r>
      <w:r>
        <w:rPr>
          <w:rFonts w:ascii="Arial" w:cs="Arial" w:eastAsia="Arial" w:hAnsi="Arial"/>
          <w:sz w:val="18"/>
          <w:szCs w:val="18"/>
          <w:color w:val="auto"/>
        </w:rPr>
        <w:t>,” to determine whether any such Subject Minerals originated in the Covered Countries and/or whether any of the Subject Minerals were from recycled or scrap sources, in accordance with Form SD and related guidance provided by the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description of the Company’s RCOI regarding the Subject Minerals is set out below.</w:t>
      </w:r>
    </w:p>
    <w:p>
      <w:pPr>
        <w:spacing w:after="0" w:line="252"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The Company’s global supply chain is complex. In the course of its business operations, the Company may purchase materials and components containing conflict minerals. These materials and components may, in turn, be included in the Company’s products. Because the Company does not purchase conflict minerals directly from mines, smelters or refiners, there are many third parties in the supply chain between the Company and the original sources of conflict minerals. As a result, the Company relies on its direct suppliers of materials and components to provide information regarding the origin of any conflict minerals that are included in their materials and components.</w:t>
      </w:r>
    </w:p>
    <w:p>
      <w:pPr>
        <w:spacing w:after="0" w:line="215" w:lineRule="exact"/>
        <w:rPr>
          <w:sz w:val="20"/>
          <w:szCs w:val="20"/>
          <w:color w:val="auto"/>
        </w:rPr>
      </w:pPr>
    </w:p>
    <w:p>
      <w:pPr>
        <w:ind w:right="80" w:firstLine="445"/>
        <w:spacing w:after="0" w:line="254" w:lineRule="auto"/>
        <w:rPr>
          <w:sz w:val="20"/>
          <w:szCs w:val="20"/>
          <w:color w:val="auto"/>
        </w:rPr>
      </w:pPr>
      <w:r>
        <w:rPr>
          <w:rFonts w:ascii="Arial" w:cs="Arial" w:eastAsia="Arial" w:hAnsi="Arial"/>
          <w:sz w:val="17"/>
          <w:szCs w:val="17"/>
          <w:color w:val="auto"/>
        </w:rPr>
        <w:t>The Company’s research and development, supply chain, legal and compliance departments worked together to search the Company’s Product Life-cycle Management (“</w:t>
      </w:r>
      <w:r>
        <w:rPr>
          <w:rFonts w:ascii="Arial" w:cs="Arial" w:eastAsia="Arial" w:hAnsi="Arial"/>
          <w:sz w:val="17"/>
          <w:szCs w:val="17"/>
          <w:b w:val="1"/>
          <w:bCs w:val="1"/>
          <w:i w:val="1"/>
          <w:iCs w:val="1"/>
          <w:color w:val="auto"/>
        </w:rPr>
        <w:t>PLM</w:t>
      </w:r>
      <w:r>
        <w:rPr>
          <w:rFonts w:ascii="Arial" w:cs="Arial" w:eastAsia="Arial" w:hAnsi="Arial"/>
          <w:sz w:val="17"/>
          <w:szCs w:val="17"/>
          <w:color w:val="auto"/>
        </w:rPr>
        <w:t>”) database to identify where Subject Minerals were used in its products. While no responsive conflict mineral matches were uncovered in this system, the cross functional team recognized that several product lines would not necessarily be identified by PLM as containing Subject Minerals. As a result, the Company identified suppliers of materials for products falling outside the PLM database that contained metallic parts (collectively, the “</w:t>
      </w:r>
      <w:r>
        <w:rPr>
          <w:rFonts w:ascii="Arial" w:cs="Arial" w:eastAsia="Arial" w:hAnsi="Arial"/>
          <w:sz w:val="17"/>
          <w:szCs w:val="17"/>
          <w:b w:val="1"/>
          <w:bCs w:val="1"/>
          <w:i w:val="1"/>
          <w:iCs w:val="1"/>
          <w:color w:val="auto"/>
        </w:rPr>
        <w:t>Covered Suppliers</w:t>
      </w:r>
      <w:r>
        <w:rPr>
          <w:rFonts w:ascii="Arial" w:cs="Arial" w:eastAsia="Arial" w:hAnsi="Arial"/>
          <w:sz w:val="17"/>
          <w:szCs w:val="17"/>
          <w:color w:val="auto"/>
        </w:rPr>
        <w:t>”). The Company put in place a survey of the Covered Suppliers to confirm whether the Subject Minerals were contained in these products. The Company inventoried the responses it received from Covered Suppliers and determined that several vendors utilized Subject Minerals originating in the Covered Countries in products they supplied the Company. These materials and products were incorporated into finished goods sold by the Company to its customers.</w:t>
      </w:r>
    </w:p>
    <w:p>
      <w:pPr>
        <w:spacing w:after="0" w:line="208" w:lineRule="exact"/>
        <w:rPr>
          <w:sz w:val="20"/>
          <w:szCs w:val="20"/>
          <w:color w:val="auto"/>
        </w:rPr>
      </w:pPr>
    </w:p>
    <w:p>
      <w:pPr>
        <w:ind w:right="140" w:firstLine="441"/>
        <w:spacing w:after="0" w:line="261" w:lineRule="auto"/>
        <w:rPr>
          <w:sz w:val="20"/>
          <w:szCs w:val="20"/>
          <w:color w:val="auto"/>
        </w:rPr>
      </w:pPr>
      <w:r>
        <w:rPr>
          <w:rFonts w:ascii="Arial" w:cs="Arial" w:eastAsia="Arial" w:hAnsi="Arial"/>
          <w:sz w:val="18"/>
          <w:szCs w:val="18"/>
          <w:color w:val="auto"/>
        </w:rPr>
        <w:t>The RCOI conducted by the Company identified evidence that the Subject Minerals contained in several of its products during the Reporting Period originated in the Covered Countries.</w:t>
      </w:r>
    </w:p>
    <w:p>
      <w:pPr>
        <w:spacing w:after="0" w:line="198" w:lineRule="exact"/>
        <w:rPr>
          <w:sz w:val="20"/>
          <w:szCs w:val="20"/>
          <w:color w:val="auto"/>
        </w:rPr>
      </w:pPr>
    </w:p>
    <w:p>
      <w:pPr>
        <w:ind w:right="100" w:firstLine="445"/>
        <w:spacing w:after="0" w:line="277" w:lineRule="auto"/>
        <w:rPr>
          <w:sz w:val="20"/>
          <w:szCs w:val="20"/>
          <w:color w:val="auto"/>
        </w:rPr>
      </w:pPr>
      <w:r>
        <w:rPr>
          <w:rFonts w:ascii="Arial" w:cs="Arial" w:eastAsia="Arial" w:hAnsi="Arial"/>
          <w:sz w:val="18"/>
          <w:szCs w:val="18"/>
          <w:color w:val="auto"/>
        </w:rPr>
        <w:t>As required by Form SD, the disclosure contained in this Form SD regarding the Company’s RCOI is available on the Company’s website located at http://investor.scotts.com.</w:t>
      </w:r>
    </w:p>
    <w:p>
      <w:pPr>
        <w:spacing w:after="0" w:line="197" w:lineRule="exact"/>
        <w:rPr>
          <w:sz w:val="20"/>
          <w:szCs w:val="20"/>
          <w:color w:val="auto"/>
        </w:rPr>
      </w:pPr>
    </w:p>
    <w:p>
      <w:pPr>
        <w:ind w:right="500" w:firstLine="413"/>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AeroGrow, a consolidated subsidiary of the Company, creates, manufactures and markets soil-free indoor gardens. The disclosures made by AeroGrow in its Form SD for the Reporting Period are incorporated by reference.</w:t>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THE SCOTTS MIRACLE-GRO COMPANY</w:t>
      </w:r>
    </w:p>
    <w:p>
      <w:pPr>
        <w:spacing w:after="0" w:line="333" w:lineRule="exact"/>
        <w:rPr>
          <w:sz w:val="20"/>
          <w:szCs w:val="20"/>
          <w:color w:val="auto"/>
        </w:rPr>
      </w:pPr>
    </w:p>
    <w:p>
      <w:pPr>
        <w:ind w:left="20"/>
        <w:spacing w:after="0"/>
        <w:tabs>
          <w:tab w:leader="none" w:pos="5120" w:val="left"/>
        </w:tabs>
        <w:rPr>
          <w:sz w:val="20"/>
          <w:szCs w:val="20"/>
          <w:color w:val="auto"/>
        </w:rPr>
      </w:pPr>
      <w:r>
        <w:rPr>
          <w:rFonts w:ascii="Arial" w:cs="Arial" w:eastAsia="Arial" w:hAnsi="Arial"/>
          <w:sz w:val="18"/>
          <w:szCs w:val="18"/>
          <w:color w:val="auto"/>
        </w:rPr>
        <w:t>Dated: May 29, 2020</w:t>
      </w:r>
      <w:r>
        <w:rPr>
          <w:sz w:val="20"/>
          <w:szCs w:val="20"/>
          <w:color w:val="auto"/>
        </w:rPr>
        <w:tab/>
      </w:r>
      <w:r>
        <w:rPr>
          <w:rFonts w:ascii="Arial" w:cs="Arial" w:eastAsia="Arial" w:hAnsi="Arial"/>
          <w:sz w:val="17"/>
          <w:szCs w:val="17"/>
          <w:color w:val="auto"/>
        </w:rPr>
        <w:t>By: /s/ IVAN C.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31750</wp:posOffset>
            </wp:positionV>
            <wp:extent cx="39090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5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Printed Name: Ivan C. Smith</w:t>
      </w:r>
    </w:p>
    <w:p>
      <w:pPr>
        <w:spacing w:after="0" w:line="63"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Title: Executive Vice President, General Counsel, Corporate Secretary and Chief</w:t>
      </w:r>
    </w:p>
    <w:p>
      <w:pPr>
        <w:spacing w:after="0" w:line="35"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Compliance Officer</w:t>
      </w:r>
    </w:p>
    <w:sectPr>
      <w:pgSz w:w="11900" w:h="16838" w:orient="portrait"/>
      <w:cols w:equalWidth="0" w:num="1">
        <w:col w:w="11220"/>
      </w:cols>
      <w:pgMar w:left="320" w:top="8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lowerRoman"/>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2020-05-29T10:16:36Z</dcterms:created>
  <dcterms:modified xsi:type="dcterms:W3CDTF">2020-05-29T10:16:36Z</dcterms:modified>
</cp:coreProperties>
</file>