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STUMP DENISE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58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EVP, Global Human Resources</w:t>
            </w:r>
          </w:p>
        </w:tc>
        <w:tc>
          <w:tcPr>
            <w:tcW w:w="0" w:type="dxa"/>
            <w:vAlign w:val="bottom"/>
          </w:tcPr>
          <w:p>
            <w:pPr>
              <w:spacing w:after="0"/>
              <w:rPr>
                <w:sz w:val="1"/>
                <w:szCs w:val="1"/>
                <w:color w:val="auto"/>
              </w:rPr>
            </w:pPr>
          </w:p>
        </w:tc>
      </w:tr>
      <w:tr>
        <w:trPr>
          <w:trHeight w:val="222"/>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04/30/2012</w:t>
            </w: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780" w:type="dxa"/>
            <w:vAlign w:val="bottom"/>
            <w:gridSpan w:val="2"/>
            <w:vMerge w:val="restart"/>
          </w:tcPr>
          <w:p>
            <w:pPr>
              <w:ind w:left="780"/>
              <w:spacing w:after="0"/>
              <w:rPr>
                <w:sz w:val="20"/>
                <w:szCs w:val="20"/>
                <w:color w:val="auto"/>
              </w:rPr>
            </w:pPr>
            <w:r>
              <w:rPr>
                <w:rFonts w:ascii="Arial" w:cs="Arial" w:eastAsia="Arial" w:hAnsi="Arial"/>
                <w:sz w:val="18"/>
                <w:szCs w:val="18"/>
                <w:color w:val="0000FF"/>
              </w:rPr>
              <w:t>04/30/2012</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760" w:type="dxa"/>
            <w:vAlign w:val="bottom"/>
            <w:vMerge w:val="restart"/>
          </w:tcPr>
          <w:p>
            <w:pPr>
              <w:ind w:left="200"/>
              <w:spacing w:after="0"/>
              <w:rPr>
                <w:sz w:val="20"/>
                <w:szCs w:val="20"/>
                <w:color w:val="auto"/>
              </w:rPr>
            </w:pPr>
            <w:r>
              <w:rPr>
                <w:rFonts w:ascii="Arial" w:cs="Arial" w:eastAsia="Arial" w:hAnsi="Arial"/>
                <w:sz w:val="18"/>
                <w:szCs w:val="18"/>
                <w:color w:val="0000FF"/>
                <w:w w:val="82"/>
              </w:rPr>
              <w:t>10.6022</w:t>
            </w:r>
          </w:p>
        </w:tc>
        <w:tc>
          <w:tcPr>
            <w:tcW w:w="680" w:type="dxa"/>
            <w:vAlign w:val="bottom"/>
            <w:vMerge w:val="restart"/>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vMerge w:val="restart"/>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47.16</w:t>
            </w:r>
          </w:p>
        </w:tc>
        <w:tc>
          <w:tcPr>
            <w:tcW w:w="1240" w:type="dxa"/>
            <w:vAlign w:val="bottom"/>
            <w:gridSpan w:val="2"/>
            <w:vMerge w:val="restart"/>
          </w:tcPr>
          <w:p>
            <w:pPr>
              <w:ind w:left="200"/>
              <w:spacing w:after="0"/>
              <w:rPr>
                <w:sz w:val="20"/>
                <w:szCs w:val="20"/>
                <w:color w:val="auto"/>
              </w:rPr>
            </w:pPr>
            <w:r>
              <w:rPr>
                <w:rFonts w:ascii="Arial" w:cs="Arial" w:eastAsia="Arial" w:hAnsi="Arial"/>
                <w:sz w:val="18"/>
                <w:szCs w:val="18"/>
                <w:color w:val="0000FF"/>
              </w:rPr>
              <w:t>1,232.1953</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DSPP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1240" w:type="dxa"/>
            <w:vAlign w:val="bottom"/>
            <w:tcBorders>
              <w:top w:val="single" w:sz="8" w:color="2C2C2C"/>
            </w:tcBorders>
            <w:gridSpan w:val="2"/>
          </w:tcPr>
          <w:p>
            <w:pPr>
              <w:ind w:left="200"/>
              <w:spacing w:after="0"/>
              <w:rPr>
                <w:sz w:val="20"/>
                <w:szCs w:val="20"/>
                <w:color w:val="auto"/>
              </w:rPr>
            </w:pPr>
            <w:r>
              <w:rPr>
                <w:rFonts w:ascii="Arial" w:cs="Arial" w:eastAsia="Arial" w:hAnsi="Arial"/>
                <w:sz w:val="18"/>
                <w:szCs w:val="18"/>
                <w:color w:val="0000FF"/>
              </w:rPr>
              <w:t>29,363.534</w:t>
            </w:r>
          </w:p>
        </w:tc>
        <w:tc>
          <w:tcPr>
            <w:tcW w:w="920" w:type="dxa"/>
            <w:vAlign w:val="bottom"/>
            <w:tcBorders>
              <w:top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Common shares acquired under The Scotts Miracle-Gro Company Discounted Stock Purchase Plan (DSPP).</w:t>
      </w:r>
    </w:p>
    <w:p>
      <w:pPr>
        <w:ind w:left="6860"/>
        <w:spacing w:after="0" w:line="184"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4"/>
          <w:szCs w:val="34"/>
          <w:color w:val="0000FF"/>
          <w:vertAlign w:val="subscript"/>
        </w:rPr>
        <w:t>05/01/2012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Denise S. Stump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99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918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Chris Crowder,</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James Turoff and Kathy L. Uttley, signing singly, the undersigned's true and lawful attorney-in-fact and agent to:</w:t>
      </w:r>
    </w:p>
    <w:p>
      <w:pPr>
        <w:spacing w:after="0" w:line="208" w:lineRule="exact"/>
        <w:rPr>
          <w:sz w:val="20"/>
          <w:szCs w:val="20"/>
          <w:color w:val="auto"/>
        </w:rPr>
      </w:pPr>
    </w:p>
    <w:p>
      <w:pPr>
        <w:ind w:right="1999" w:firstLine="8"/>
        <w:spacing w:after="0" w:line="23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31st day of March, 2009.</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Denise S. Stump</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Denise S. Stump</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301"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2019-12-17T17:38:51Z</dcterms:created>
  <dcterms:modified xsi:type="dcterms:W3CDTF">2019-12-17T17:38:51Z</dcterms:modified>
</cp:coreProperties>
</file>