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11-K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740" w:right="3479" w:hanging="521"/>
        <w:spacing w:after="0" w:line="34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w:t>
      </w:r>
    </w:p>
    <w:p>
      <w:pPr>
        <w:spacing w:after="0" w:line="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For the fiscal year ended December 31, 2003</w:t>
      </w:r>
    </w:p>
    <w:p>
      <w:pPr>
        <w:spacing w:after="0" w:line="200" w:lineRule="exact"/>
        <w:rPr>
          <w:sz w:val="24"/>
          <w:szCs w:val="24"/>
          <w:color w:val="auto"/>
        </w:rPr>
      </w:pPr>
    </w:p>
    <w:p>
      <w:pPr>
        <w:spacing w:after="0" w:line="204"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160" w:right="4199" w:hanging="941"/>
        <w:spacing w:after="0" w:line="347" w:lineRule="auto"/>
        <w:tabs>
          <w:tab w:leader="none" w:pos="4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15(d) OF THE SECURITIES EXCHANGE ACT OF 1934</w:t>
      </w:r>
    </w:p>
    <w:p>
      <w:pPr>
        <w:spacing w:after="0" w:line="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For the transition period from _____________ to ___________</w:t>
      </w:r>
    </w:p>
    <w:p>
      <w:pPr>
        <w:spacing w:after="0" w:line="200" w:lineRule="exact"/>
        <w:rPr>
          <w:sz w:val="24"/>
          <w:szCs w:val="24"/>
          <w:color w:val="auto"/>
        </w:rPr>
      </w:pPr>
    </w:p>
    <w:p>
      <w:pPr>
        <w:spacing w:after="0" w:line="20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Commission file number 333-35942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right="1879" w:firstLine="737"/>
        <w:spacing w:after="0" w:line="347" w:lineRule="auto"/>
        <w:rPr>
          <w:sz w:val="20"/>
          <w:szCs w:val="20"/>
          <w:color w:val="auto"/>
        </w:rPr>
      </w:pPr>
      <w:r>
        <w:rPr>
          <w:rFonts w:ascii="Courier New" w:cs="Courier New" w:eastAsia="Courier New" w:hAnsi="Courier New"/>
          <w:sz w:val="18"/>
          <w:szCs w:val="18"/>
          <w:color w:val="auto"/>
        </w:rPr>
        <w:t>A. Full title of the plan and the address of the plan, if different from that of the issuer named below:</w:t>
      </w:r>
    </w:p>
    <w:p>
      <w:pPr>
        <w:spacing w:after="0" w:line="2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Union Retirement Savings Plan</w:t>
      </w:r>
    </w:p>
    <w:p>
      <w:pPr>
        <w:spacing w:after="0" w:line="200" w:lineRule="exact"/>
        <w:rPr>
          <w:sz w:val="24"/>
          <w:szCs w:val="24"/>
          <w:color w:val="auto"/>
        </w:rPr>
      </w:pPr>
    </w:p>
    <w:p>
      <w:pPr>
        <w:spacing w:after="0" w:line="374" w:lineRule="exact"/>
        <w:rPr>
          <w:sz w:val="24"/>
          <w:szCs w:val="24"/>
          <w:color w:val="auto"/>
        </w:rPr>
      </w:pPr>
    </w:p>
    <w:p>
      <w:pPr>
        <w:ind w:right="2199" w:firstLine="737"/>
        <w:spacing w:after="0" w:line="347" w:lineRule="auto"/>
        <w:rPr>
          <w:sz w:val="20"/>
          <w:szCs w:val="20"/>
          <w:color w:val="auto"/>
        </w:rPr>
      </w:pPr>
      <w:r>
        <w:rPr>
          <w:rFonts w:ascii="Courier New" w:cs="Courier New" w:eastAsia="Courier New" w:hAnsi="Courier New"/>
          <w:sz w:val="18"/>
          <w:szCs w:val="18"/>
          <w:color w:val="auto"/>
        </w:rPr>
        <w:t>B. Name of issuer of the securities held pursuant to the plan and the address of its principal executive office:</w:t>
      </w:r>
    </w:p>
    <w:p>
      <w:pPr>
        <w:spacing w:after="0" w:line="2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14111 Scottslawn Road</w:t>
      </w:r>
    </w:p>
    <w:p>
      <w:pPr>
        <w:ind w:left="3060"/>
        <w:spacing w:after="0"/>
        <w:rPr>
          <w:sz w:val="20"/>
          <w:szCs w:val="20"/>
          <w:color w:val="auto"/>
        </w:rPr>
      </w:pPr>
      <w:r>
        <w:rPr>
          <w:rFonts w:ascii="Courier New" w:cs="Courier New" w:eastAsia="Courier New" w:hAnsi="Courier New"/>
          <w:sz w:val="18"/>
          <w:szCs w:val="18"/>
          <w:color w:val="auto"/>
        </w:rPr>
        <w:t>Marysville, Ohio 43041</w:t>
      </w:r>
    </w:p>
    <w:p>
      <w:pPr>
        <w:sectPr>
          <w:pgSz w:w="11900" w:h="16838" w:orient="portrait"/>
          <w:cols w:equalWidth="0" w:num="1">
            <w:col w:w="10219"/>
          </w:cols>
          <w:pgMar w:left="240" w:top="826" w:right="1440" w:bottom="1440" w:gutter="0" w:footer="0" w:header="0"/>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REQUIRED INFORMATION</w:t>
      </w:r>
    </w:p>
    <w:p>
      <w:pPr>
        <w:spacing w:after="0" w:line="201" w:lineRule="exact"/>
        <w:rPr>
          <w:sz w:val="20"/>
          <w:szCs w:val="20"/>
          <w:color w:val="auto"/>
        </w:rPr>
      </w:pPr>
    </w:p>
    <w:p>
      <w:pPr>
        <w:ind w:right="2839" w:firstLine="737"/>
        <w:spacing w:after="0" w:line="347" w:lineRule="auto"/>
        <w:rPr>
          <w:sz w:val="20"/>
          <w:szCs w:val="20"/>
          <w:color w:val="auto"/>
        </w:rPr>
      </w:pPr>
      <w:r>
        <w:rPr>
          <w:rFonts w:ascii="Courier New" w:cs="Courier New" w:eastAsia="Courier New" w:hAnsi="Courier New"/>
          <w:sz w:val="18"/>
          <w:szCs w:val="18"/>
          <w:color w:val="auto"/>
        </w:rPr>
        <w:t>The following financial statements for The Scotts Company Union Retirement Savings Plan are being filed herewith:</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Statements of Net Assets in Liquidation Available</w:t>
      </w:r>
    </w:p>
    <w:p>
      <w:pPr>
        <w:spacing w:after="0" w:line="3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for Benefits as of December 31, 2003 and 2002</w:t>
      </w:r>
    </w:p>
    <w:p>
      <w:pPr>
        <w:spacing w:after="0" w:line="169" w:lineRule="exact"/>
        <w:rPr>
          <w:sz w:val="20"/>
          <w:szCs w:val="20"/>
          <w:color w:val="auto"/>
        </w:rPr>
      </w:pPr>
    </w:p>
    <w:p>
      <w:pPr>
        <w:ind w:left="1160" w:right="2519" w:hanging="210"/>
        <w:spacing w:after="0" w:line="347" w:lineRule="auto"/>
        <w:rPr>
          <w:sz w:val="20"/>
          <w:szCs w:val="20"/>
          <w:color w:val="auto"/>
        </w:rPr>
      </w:pPr>
      <w:r>
        <w:rPr>
          <w:rFonts w:ascii="Courier New" w:cs="Courier New" w:eastAsia="Courier New" w:hAnsi="Courier New"/>
          <w:sz w:val="18"/>
          <w:szCs w:val="18"/>
          <w:color w:val="auto"/>
        </w:rPr>
        <w:t>Statements of Changes in Net Assets in Liquidation Available for Benefits for the Years Ended December 31, 2003 and 2002</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Financial Statements - December 31, 2003 and 2002</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following exhibits are being filed herewith:</w:t>
      </w:r>
    </w:p>
    <w:p>
      <w:pPr>
        <w:sectPr>
          <w:pgSz w:w="11900" w:h="16838" w:orient="portrait"/>
          <w:cols w:equalWidth="0" w:num="1">
            <w:col w:w="10219"/>
          </w:cols>
          <w:pgMar w:left="240" w:top="893" w:right="1440" w:bottom="1440" w:gutter="0" w:footer="0" w:header="0"/>
        </w:sectPr>
      </w:pPr>
    </w:p>
    <w:p>
      <w:pPr>
        <w:spacing w:after="0" w:line="201" w:lineRule="exact"/>
        <w:rPr>
          <w:sz w:val="20"/>
          <w:szCs w:val="20"/>
          <w:color w:val="auto"/>
        </w:rPr>
      </w:pPr>
    </w:p>
    <w:p>
      <w:pPr>
        <w:ind w:right="120"/>
        <w:spacing w:after="0" w:line="402"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500" w:space="720"/>
            <w:col w:w="7999"/>
          </w:cols>
          <w:pgMar w:left="240" w:top="893"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222" w:lineRule="exact"/>
        <w:rPr>
          <w:sz w:val="20"/>
          <w:szCs w:val="20"/>
          <w:color w:val="auto"/>
        </w:rPr>
      </w:pPr>
    </w:p>
    <w:p>
      <w:pPr>
        <w:sectPr>
          <w:pgSz w:w="11900" w:h="16838" w:orient="portrait"/>
          <w:cols w:equalWidth="0" w:num="2">
            <w:col w:w="1500" w:space="720"/>
            <w:col w:w="7999"/>
          </w:cols>
          <w:pgMar w:left="240" w:top="8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93"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8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 UNION</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RETIREMENT SAVINGS PLAN</w:t>
      </w:r>
    </w:p>
    <w:p>
      <w:pPr>
        <w:sectPr>
          <w:pgSz w:w="11900" w:h="16838" w:orient="portrait"/>
          <w:cols w:equalWidth="0" w:num="1">
            <w:col w:w="10219"/>
          </w:cols>
          <w:pgMar w:left="240" w:top="893"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25,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George A. Murphy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080" w:space="720"/>
            <w:col w:w="6419"/>
          </w:cols>
          <w:pgMar w:left="240" w:top="893"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6"/>
          <w:szCs w:val="16"/>
          <w:color w:val="auto"/>
        </w:rPr>
        <w:t>Printed Name: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George A. Murphy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5160" w:space="120"/>
            <w:col w:w="4939"/>
          </w:cols>
          <w:pgMar w:left="240" w:top="893"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8"/>
          <w:szCs w:val="18"/>
          <w:color w:val="auto"/>
        </w:rPr>
        <w:t>Title: Vice President</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9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THE SCOTTS COMPANY UNION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FINANCIAL STATEMENTS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2003 AND 2002</w:t>
      </w: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405"/>
        </w:trPr>
        <w:tc>
          <w:tcPr>
            <w:tcW w:w="22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Report of Independent</w:t>
            </w:r>
          </w:p>
        </w:tc>
        <w:tc>
          <w:tcPr>
            <w:tcW w:w="5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Registered Public Accounting Firm</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405"/>
        </w:trPr>
        <w:tc>
          <w:tcPr>
            <w:tcW w:w="22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Financial Statements:</w:t>
            </w:r>
          </w:p>
        </w:tc>
        <w:tc>
          <w:tcPr>
            <w:tcW w:w="7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ind w:left="420"/>
              <w:spacing w:after="0"/>
              <w:rPr>
                <w:sz w:val="20"/>
                <w:szCs w:val="20"/>
                <w:color w:val="auto"/>
              </w:rPr>
            </w:pPr>
            <w:r>
              <w:rPr>
                <w:rFonts w:ascii="Courier New" w:cs="Courier New" w:eastAsia="Courier New" w:hAnsi="Courier New"/>
                <w:sz w:val="18"/>
                <w:szCs w:val="18"/>
                <w:color w:val="auto"/>
              </w:rPr>
              <w:t>Statements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of Net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Assets</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in Liquidation Available for Benefits</w:t>
            </w:r>
          </w:p>
        </w:tc>
        <w:tc>
          <w:tcPr>
            <w:tcW w:w="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96"/>
        </w:trPr>
        <w:tc>
          <w:tcPr>
            <w:tcW w:w="7440" w:type="dxa"/>
            <w:vAlign w:val="bottom"/>
            <w:gridSpan w:val="4"/>
          </w:tcPr>
          <w:p>
            <w:pPr>
              <w:ind w:left="640"/>
              <w:spacing w:after="0"/>
              <w:rPr>
                <w:sz w:val="20"/>
                <w:szCs w:val="20"/>
                <w:color w:val="auto"/>
              </w:rPr>
            </w:pPr>
            <w:r>
              <w:rPr>
                <w:rFonts w:ascii="Courier New" w:cs="Courier New" w:eastAsia="Courier New" w:hAnsi="Courier New"/>
                <w:sz w:val="18"/>
                <w:szCs w:val="18"/>
                <w:color w:val="auto"/>
              </w:rPr>
              <w:t>as of December 31, 2003 and 2002</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ind w:left="420"/>
              <w:spacing w:after="0"/>
              <w:rPr>
                <w:sz w:val="20"/>
                <w:szCs w:val="20"/>
                <w:color w:val="auto"/>
              </w:rPr>
            </w:pPr>
            <w:r>
              <w:rPr>
                <w:rFonts w:ascii="Courier New" w:cs="Courier New" w:eastAsia="Courier New" w:hAnsi="Courier New"/>
                <w:sz w:val="18"/>
                <w:szCs w:val="18"/>
                <w:color w:val="auto"/>
              </w:rPr>
              <w:t>Statements</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of Changes in</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Net Assets in Liquidation Available for</w:t>
            </w:r>
          </w:p>
        </w:tc>
        <w:tc>
          <w:tcPr>
            <w:tcW w:w="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Benefits</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for the Years</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Ended December 31, 2003 and 2002</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44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Notes to Financial Statements</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4" w:name="page5"/>
    <w:bookmarkEnd w:id="4"/>
    <w:p>
      <w:pPr>
        <w:ind w:left="138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Participants and Administrator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 Union Retirement Savings Plan</w:t>
      </w:r>
    </w:p>
    <w:p>
      <w:pPr>
        <w:spacing w:after="0" w:line="169"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In our opinion, the accompanying statements of net assets in liquidation available for benefits and the related statement of changes in net assets in liquidation available for benefits present fairly, in all material respects, the net assets in liquidation available for benefits of The Scotts Company Union Retirement Savings Plan (the "Plan") at December 31, 2003 and 2002, and the changes in net assets in liquidation available for benefits for the years then ended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the standards of the Public Company Accounting Oversight Board (United States) and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00"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As further discussed in Note 1 to the financial statements, The Scotts Company, the Plan's sponsor, notified participants of its intent to terminate the Plan in 2002. The liquidation process was completed during 2003 and all assets of the Plan have been distributed to participants.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89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SCOTTS COMPANY UNION RETIREMENT SAVINGS PLAN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OF NET ASSETS IN LIQUIDATION AVAILABLE FOR BENEFITS (NOTE 1)</w:t>
      </w:r>
    </w:p>
    <w:p>
      <w:pPr>
        <w:spacing w:after="0" w:line="238" w:lineRule="auto"/>
        <w:rPr>
          <w:sz w:val="20"/>
          <w:szCs w:val="20"/>
          <w:color w:val="auto"/>
        </w:rPr>
      </w:pPr>
      <w:r>
        <w:rPr>
          <w:rFonts w:ascii="Courier New" w:cs="Courier New" w:eastAsia="Courier New" w:hAnsi="Courier New"/>
          <w:sz w:val="18"/>
          <w:szCs w:val="18"/>
          <w:color w:val="auto"/>
        </w:rPr>
        <w:t>DECEMBER 31, 2003 AND 2002</w:t>
      </w: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NET ASSETS AVAILABLE</w:t>
            </w:r>
          </w:p>
        </w:tc>
        <w:tc>
          <w:tcPr>
            <w:tcW w:w="2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FOR BENEFITS</w:t>
            </w:r>
          </w:p>
        </w:tc>
        <w:tc>
          <w:tcPr>
            <w:tcW w:w="420" w:type="dxa"/>
            <w:vAlign w:val="bottom"/>
          </w:tcPr>
          <w:p>
            <w:pPr>
              <w:spacing w:after="0"/>
              <w:rPr>
                <w:sz w:val="24"/>
                <w:szCs w:val="24"/>
                <w:color w:val="auto"/>
              </w:rPr>
            </w:pP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2003</w:t>
            </w:r>
          </w:p>
        </w:tc>
        <w:tc>
          <w:tcPr>
            <w:tcW w:w="58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2002</w:t>
            </w:r>
          </w:p>
        </w:tc>
        <w:tc>
          <w:tcPr>
            <w:tcW w:w="0" w:type="dxa"/>
            <w:vAlign w:val="bottom"/>
          </w:tcPr>
          <w:p>
            <w:pPr>
              <w:spacing w:after="0"/>
              <w:rPr>
                <w:sz w:val="1"/>
                <w:szCs w:val="1"/>
                <w:color w:val="auto"/>
              </w:rPr>
            </w:pPr>
          </w:p>
        </w:tc>
      </w:tr>
      <w:tr>
        <w:trPr>
          <w:trHeight w:val="109"/>
        </w:trPr>
        <w:tc>
          <w:tcPr>
            <w:tcW w:w="2160" w:type="dxa"/>
            <w:vAlign w:val="bottom"/>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123,532</w:t>
            </w:r>
          </w:p>
        </w:tc>
        <w:tc>
          <w:tcPr>
            <w:tcW w:w="0" w:type="dxa"/>
            <w:vAlign w:val="bottom"/>
          </w:tcPr>
          <w:p>
            <w:pPr>
              <w:spacing w:after="0"/>
              <w:rPr>
                <w:sz w:val="1"/>
                <w:szCs w:val="1"/>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Investment in master</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w:t>
            </w:r>
          </w:p>
        </w:tc>
        <w:tc>
          <w:tcPr>
            <w:tcW w:w="4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 loans</w:t>
            </w:r>
          </w:p>
        </w:tc>
        <w:tc>
          <w:tcPr>
            <w:tcW w:w="2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2,918</w:t>
            </w:r>
          </w:p>
        </w:tc>
        <w:tc>
          <w:tcPr>
            <w:tcW w:w="0" w:type="dxa"/>
            <w:vAlign w:val="bottom"/>
          </w:tcPr>
          <w:p>
            <w:pPr>
              <w:spacing w:after="0"/>
              <w:rPr>
                <w:sz w:val="1"/>
                <w:szCs w:val="1"/>
                <w:color w:val="auto"/>
              </w:rPr>
            </w:pPr>
          </w:p>
        </w:tc>
      </w:tr>
      <w:tr>
        <w:trPr>
          <w:trHeight w:val="203"/>
        </w:trPr>
        <w:tc>
          <w:tcPr>
            <w:tcW w:w="21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99"/>
              </w:rPr>
              <w:t>Total net assets</w:t>
            </w:r>
          </w:p>
        </w:tc>
        <w:tc>
          <w:tcPr>
            <w:tcW w:w="2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available for benefits</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2580" w:type="dxa"/>
            <w:vAlign w:val="bottom"/>
            <w:vMerge w:val="continue"/>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126,450</w:t>
            </w: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4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09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THE SCOTTS COMPANY UNION RETIREMENT SAVINGS PLAN</w:t>
      </w:r>
    </w:p>
    <w:p>
      <w:pPr>
        <w:spacing w:after="0" w:line="31" w:lineRule="exact"/>
        <w:rPr>
          <w:sz w:val="20"/>
          <w:szCs w:val="20"/>
          <w:color w:val="auto"/>
        </w:rPr>
      </w:pPr>
    </w:p>
    <w:p>
      <w:pPr>
        <w:ind w:right="2519"/>
        <w:spacing w:after="0" w:line="238" w:lineRule="auto"/>
        <w:rPr>
          <w:sz w:val="20"/>
          <w:szCs w:val="20"/>
          <w:color w:val="auto"/>
        </w:rPr>
      </w:pPr>
      <w:r>
        <w:rPr>
          <w:rFonts w:ascii="Courier New" w:cs="Courier New" w:eastAsia="Courier New" w:hAnsi="Courier New"/>
          <w:sz w:val="18"/>
          <w:szCs w:val="18"/>
          <w:color w:val="auto"/>
        </w:rPr>
        <w:t>STATEMENTS OF CHANGES IN NET ASSETS IN LIQUIDATION AVAILABLE FOR BENEFITS (NOTE 1)</w:t>
      </w:r>
    </w:p>
    <w:p>
      <w:pPr>
        <w:spacing w:after="0"/>
        <w:rPr>
          <w:sz w:val="20"/>
          <w:szCs w:val="20"/>
          <w:color w:val="auto"/>
        </w:rPr>
      </w:pPr>
      <w:r>
        <w:rPr>
          <w:rFonts w:ascii="Courier New" w:cs="Courier New" w:eastAsia="Courier New" w:hAnsi="Courier New"/>
          <w:sz w:val="18"/>
          <w:szCs w:val="18"/>
          <w:color w:val="auto"/>
        </w:rPr>
        <w:t>YEARS ENDED DECEMBER 31, 2003 AND 2002</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INCREASES</w:t>
            </w:r>
          </w:p>
        </w:tc>
        <w:tc>
          <w:tcPr>
            <w:tcW w:w="3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2003</w:t>
            </w:r>
          </w:p>
        </w:tc>
        <w:tc>
          <w:tcPr>
            <w:tcW w:w="64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2002</w:t>
            </w:r>
          </w:p>
        </w:tc>
        <w:tc>
          <w:tcPr>
            <w:tcW w:w="0" w:type="dxa"/>
            <w:vAlign w:val="bottom"/>
          </w:tcPr>
          <w:p>
            <w:pPr>
              <w:spacing w:after="0"/>
              <w:rPr>
                <w:sz w:val="1"/>
                <w:szCs w:val="1"/>
                <w:color w:val="auto"/>
              </w:rPr>
            </w:pPr>
          </w:p>
        </w:tc>
      </w:tr>
      <w:tr>
        <w:trPr>
          <w:trHeight w:val="109"/>
        </w:trPr>
        <w:tc>
          <w:tcPr>
            <w:tcW w:w="4480" w:type="dxa"/>
            <w:vAlign w:val="bottom"/>
            <w:vMerge w:val="continue"/>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6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24,767</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 contributions</w:t>
            </w:r>
          </w:p>
        </w:tc>
        <w:tc>
          <w:tcPr>
            <w:tcW w:w="3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43,769</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gain from master trust</w:t>
            </w:r>
          </w:p>
        </w:tc>
        <w:tc>
          <w:tcPr>
            <w:tcW w:w="3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10,723</w:t>
            </w:r>
          </w:p>
        </w:tc>
        <w:tc>
          <w:tcPr>
            <w:tcW w:w="6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on participant loans</w:t>
            </w:r>
          </w:p>
        </w:tc>
        <w:tc>
          <w:tcPr>
            <w:tcW w:w="3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w:t>
            </w:r>
          </w:p>
        </w:tc>
        <w:tc>
          <w:tcPr>
            <w:tcW w:w="0" w:type="dxa"/>
            <w:vAlign w:val="bottom"/>
          </w:tcPr>
          <w:p>
            <w:pPr>
              <w:spacing w:after="0"/>
              <w:rPr>
                <w:sz w:val="1"/>
                <w:szCs w:val="1"/>
                <w:color w:val="auto"/>
              </w:rPr>
            </w:pPr>
          </w:p>
        </w:tc>
      </w:tr>
      <w:tr>
        <w:trPr>
          <w:trHeight w:val="203"/>
        </w:trPr>
        <w:tc>
          <w:tcPr>
            <w:tcW w:w="44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 increases</w:t>
            </w: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10,723</w:t>
            </w:r>
          </w:p>
        </w:tc>
        <w:tc>
          <w:tcPr>
            <w:tcW w:w="6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68,858</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80" w:type="dxa"/>
            <w:vAlign w:val="bottom"/>
          </w:tcPr>
          <w:p>
            <w:pPr>
              <w:spacing w:after="0"/>
              <w:rPr>
                <w:sz w:val="20"/>
                <w:szCs w:val="20"/>
                <w:color w:val="auto"/>
              </w:rPr>
            </w:pPr>
            <w:r>
              <w:rPr>
                <w:rFonts w:ascii="Courier New" w:cs="Courier New" w:eastAsia="Courier New" w:hAnsi="Courier New"/>
                <w:sz w:val="18"/>
                <w:szCs w:val="18"/>
                <w:color w:val="auto"/>
              </w:rPr>
              <w:t>DECREASES</w:t>
            </w:r>
          </w:p>
        </w:tc>
        <w:tc>
          <w:tcPr>
            <w:tcW w:w="380" w:type="dxa"/>
            <w:vAlign w:val="bottom"/>
          </w:tcPr>
          <w:p>
            <w:pPr>
              <w:spacing w:after="0"/>
              <w:rPr>
                <w:sz w:val="24"/>
                <w:szCs w:val="24"/>
                <w:color w:val="auto"/>
              </w:rPr>
            </w:pP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24"/>
                <w:szCs w:val="24"/>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20,381</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from master trust</w:t>
            </w:r>
          </w:p>
        </w:tc>
        <w:tc>
          <w:tcPr>
            <w:tcW w:w="3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Benefits paid to participants</w:t>
            </w:r>
          </w:p>
        </w:tc>
        <w:tc>
          <w:tcPr>
            <w:tcW w:w="3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137,173</w:t>
            </w:r>
          </w:p>
        </w:tc>
        <w:tc>
          <w:tcPr>
            <w:tcW w:w="6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100,235</w:t>
            </w:r>
          </w:p>
        </w:tc>
        <w:tc>
          <w:tcPr>
            <w:tcW w:w="0" w:type="dxa"/>
            <w:vAlign w:val="bottom"/>
          </w:tcPr>
          <w:p>
            <w:pPr>
              <w:spacing w:after="0"/>
              <w:rPr>
                <w:sz w:val="1"/>
                <w:szCs w:val="1"/>
                <w:color w:val="auto"/>
              </w:rPr>
            </w:pPr>
          </w:p>
        </w:tc>
      </w:tr>
      <w:tr>
        <w:trPr>
          <w:trHeight w:val="203"/>
        </w:trPr>
        <w:tc>
          <w:tcPr>
            <w:tcW w:w="44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 decreases</w:t>
            </w: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137,173</w:t>
            </w:r>
          </w:p>
        </w:tc>
        <w:tc>
          <w:tcPr>
            <w:tcW w:w="6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120,616</w:t>
            </w:r>
          </w:p>
        </w:tc>
        <w:tc>
          <w:tcPr>
            <w:tcW w:w="0" w:type="dxa"/>
            <w:vAlign w:val="bottom"/>
          </w:tcPr>
          <w:p>
            <w:pPr>
              <w:spacing w:after="0"/>
              <w:rPr>
                <w:sz w:val="1"/>
                <w:szCs w:val="1"/>
                <w:color w:val="auto"/>
              </w:rPr>
            </w:pPr>
          </w:p>
        </w:tc>
      </w:tr>
      <w:tr>
        <w:trPr>
          <w:trHeight w:val="296"/>
        </w:trPr>
        <w:tc>
          <w:tcPr>
            <w:tcW w:w="44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Net decrease in net assets available</w:t>
            </w: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4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4"/>
              </w:rPr>
              <w:t>(126,450)</w:t>
            </w:r>
          </w:p>
        </w:tc>
        <w:tc>
          <w:tcPr>
            <w:tcW w:w="64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(51,758)</w:t>
            </w:r>
          </w:p>
        </w:tc>
        <w:tc>
          <w:tcPr>
            <w:tcW w:w="0" w:type="dxa"/>
            <w:vAlign w:val="bottom"/>
          </w:tcPr>
          <w:p>
            <w:pPr>
              <w:spacing w:after="0"/>
              <w:rPr>
                <w:sz w:val="1"/>
                <w:szCs w:val="1"/>
                <w:color w:val="auto"/>
              </w:rPr>
            </w:pP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for benefits</w:t>
            </w:r>
          </w:p>
        </w:tc>
        <w:tc>
          <w:tcPr>
            <w:tcW w:w="3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 available for benefits,</w:t>
            </w:r>
          </w:p>
        </w:tc>
        <w:tc>
          <w:tcPr>
            <w:tcW w:w="380" w:type="dxa"/>
            <w:vAlign w:val="bottom"/>
          </w:tcPr>
          <w:p>
            <w:pPr>
              <w:spacing w:after="0"/>
              <w:rPr>
                <w:sz w:val="17"/>
                <w:szCs w:val="17"/>
                <w:color w:val="auto"/>
              </w:rPr>
            </w:pP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126,450</w:t>
            </w:r>
          </w:p>
        </w:tc>
        <w:tc>
          <w:tcPr>
            <w:tcW w:w="64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178,208</w:t>
            </w:r>
          </w:p>
        </w:tc>
        <w:tc>
          <w:tcPr>
            <w:tcW w:w="0" w:type="dxa"/>
            <w:vAlign w:val="bottom"/>
          </w:tcPr>
          <w:p>
            <w:pPr>
              <w:spacing w:after="0"/>
              <w:rPr>
                <w:sz w:val="1"/>
                <w:szCs w:val="1"/>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3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480" w:type="dxa"/>
            <w:vAlign w:val="bottom"/>
            <w:vMerge w:val="continue"/>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6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126,450</w:t>
            </w:r>
          </w:p>
        </w:tc>
        <w:tc>
          <w:tcPr>
            <w:tcW w:w="0" w:type="dxa"/>
            <w:vAlign w:val="bottom"/>
          </w:tcPr>
          <w:p>
            <w:pPr>
              <w:spacing w:after="0"/>
              <w:rPr>
                <w:sz w:val="1"/>
                <w:szCs w:val="1"/>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 year</w:t>
            </w:r>
          </w:p>
        </w:tc>
        <w:tc>
          <w:tcPr>
            <w:tcW w:w="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29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THE SCOTTS COMPANY UNION RETIREMENT SAVINGS PLAN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2003 AND 2002</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TERMINATION AND BASIS OF ACCOUNTING</w:t>
      </w:r>
    </w:p>
    <w:p>
      <w:pPr>
        <w:spacing w:after="0" w:line="201" w:lineRule="exact"/>
        <w:rPr>
          <w:rFonts w:ascii="Courier New" w:cs="Courier New" w:eastAsia="Courier New" w:hAnsi="Courier New"/>
          <w:sz w:val="18"/>
          <w:szCs w:val="18"/>
          <w:color w:val="auto"/>
        </w:rPr>
      </w:pPr>
    </w:p>
    <w:p>
      <w:pPr>
        <w:ind w:left="540" w:right="1879"/>
        <w:spacing w:after="0" w:line="28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conjunction with the restructuring that took place in its fiscal year ended September 30, 2001, The Scotts Company (the "Company"), sponsor of The Scotts Company Union Retirement Savings Plan (the "Plan"), made the decision to close the Sierra Horticultural Products facility in Milpitas, California. During the plan year ended December 31, 2002, the Company decided to terminate the Plan as all participants were employees at the Milpitas facility. As a result, the Plan adopted the liquidation basis of accounting during 2002 whereby assets were valued at fair market value and liabilities were stated at their settlement amount. Adoption of the liquidation basis of accounting had no effect on the valuation of the Plan's assets or liabilities. The liquidation process was completed during 2003 and all assets of the Plan have been distributed to participants.</w:t>
      </w:r>
    </w:p>
    <w:p>
      <w:pPr>
        <w:spacing w:after="0" w:line="77" w:lineRule="exact"/>
        <w:rPr>
          <w:rFonts w:ascii="Courier New" w:cs="Courier New" w:eastAsia="Courier New" w:hAnsi="Courier New"/>
          <w:sz w:val="18"/>
          <w:szCs w:val="18"/>
          <w:color w:val="auto"/>
        </w:rPr>
      </w:pPr>
    </w:p>
    <w:p>
      <w:pPr>
        <w:ind w:left="540" w:right="177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financial statements of the Plan as of and for the periods ended December 31, 2003 and 2002 have been prepared using the liquidation basis of accounting.</w:t>
      </w:r>
    </w:p>
    <w:p>
      <w:pPr>
        <w:spacing w:after="0" w:line="6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DESCRIPTION</w:t>
      </w:r>
    </w:p>
    <w:p>
      <w:pPr>
        <w:spacing w:after="0" w:line="201" w:lineRule="exact"/>
        <w:rPr>
          <w:rFonts w:ascii="Courier New" w:cs="Courier New" w:eastAsia="Courier New" w:hAnsi="Courier New"/>
          <w:sz w:val="18"/>
          <w:szCs w:val="18"/>
          <w:color w:val="auto"/>
        </w:rPr>
      </w:pPr>
    </w:p>
    <w:p>
      <w:pPr>
        <w:ind w:left="540" w:right="1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 contributory defined contribution plan, was established by the Company effective January 1, 2000 and subsequently terminated and liquidated as described in Note 1 above. The following brief description of the Plan provides only general information as to its provisions prior to termination and liquidation. Participants should refer to the Plan document for a more complete description of Plan provisions, such as eligibility, vesting, allocation and funding.</w:t>
      </w:r>
    </w:p>
    <w:p>
      <w:pPr>
        <w:spacing w:after="0" w:line="98"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30" w:lineRule="exact"/>
        <w:rPr>
          <w:rFonts w:ascii="Courier New" w:cs="Courier New" w:eastAsia="Courier New" w:hAnsi="Courier New"/>
          <w:sz w:val="18"/>
          <w:szCs w:val="18"/>
          <w:color w:val="auto"/>
        </w:rPr>
      </w:pPr>
    </w:p>
    <w:p>
      <w:pPr>
        <w:ind w:left="540" w:right="1779"/>
        <w:spacing w:after="0" w:line="29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Certain regular domestic Union employees of the Company were eligible to participate in the Plan on the first day of the month immediately following their date of employment. Certain temporary domestic Union employees were eligible to participate on the January 1 or July 1 subsequent to completing one year of eligibility service and attaining age 21.</w:t>
      </w:r>
    </w:p>
    <w:p>
      <w:pPr>
        <w:spacing w:after="0" w:line="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CONTRIBUTIONS</w:t>
      </w:r>
    </w:p>
    <w:p>
      <w:pPr>
        <w:spacing w:after="0" w:line="30" w:lineRule="exact"/>
        <w:rPr>
          <w:rFonts w:ascii="Courier New" w:cs="Courier New" w:eastAsia="Courier New" w:hAnsi="Courier New"/>
          <w:sz w:val="18"/>
          <w:szCs w:val="18"/>
          <w:color w:val="auto"/>
        </w:rPr>
      </w:pPr>
    </w:p>
    <w:p>
      <w:pPr>
        <w:ind w:left="540" w:right="26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provided for a participant to make pre-tax or after-tax contributions up to 75% of eligible wages, not to exceed the annual Internal Revenue Service ("IRS") maximum deferral amount.</w:t>
      </w:r>
    </w:p>
    <w:p>
      <w:pPr>
        <w:spacing w:after="0" w:line="8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CONTRIBUTIONS</w:t>
      </w:r>
    </w:p>
    <w:p>
      <w:pPr>
        <w:spacing w:after="0" w:line="30" w:lineRule="exact"/>
        <w:rPr>
          <w:rFonts w:ascii="Courier New" w:cs="Courier New" w:eastAsia="Courier New" w:hAnsi="Courier New"/>
          <w:sz w:val="18"/>
          <w:szCs w:val="18"/>
          <w:color w:val="auto"/>
        </w:rPr>
      </w:pPr>
    </w:p>
    <w:p>
      <w:pPr>
        <w:ind w:left="540" w:right="17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provided a base retirement contribution for all eligible employees. Generally, eligible employees received an allocation equal to 2% of monthly compensation. The Company also matched participant contributions $0.50 on the dollar for the first 2% of participant contributions.</w:t>
      </w:r>
    </w:p>
    <w:p>
      <w:pPr>
        <w:spacing w:after="0" w:line="6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VESTING</w:t>
      </w:r>
    </w:p>
    <w:p>
      <w:pPr>
        <w:spacing w:after="0" w:line="30" w:lineRule="exact"/>
        <w:rPr>
          <w:rFonts w:ascii="Courier New" w:cs="Courier New" w:eastAsia="Courier New" w:hAnsi="Courier New"/>
          <w:sz w:val="18"/>
          <w:szCs w:val="18"/>
          <w:color w:val="auto"/>
        </w:rPr>
      </w:pPr>
    </w:p>
    <w:p>
      <w:pPr>
        <w:ind w:left="540" w:right="199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were immediately vested in their contributions plus actual earnings thereon. Matching contributions made by the Company vested immediately. Until August 1, 2002, base contributions made by the Company vested after three years of service or upon attainment of age 65 prior to terminating employment. On August 1, 2002, active employees became immediately vested in base contributions as a result of the Plan termination.</w:t>
      </w:r>
    </w:p>
    <w:p>
      <w:pPr>
        <w:spacing w:after="0" w:line="1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FORFEITURES</w:t>
      </w:r>
    </w:p>
    <w:p>
      <w:pPr>
        <w:spacing w:after="0" w:line="30" w:lineRule="exact"/>
        <w:rPr>
          <w:rFonts w:ascii="Courier New" w:cs="Courier New" w:eastAsia="Courier New" w:hAnsi="Courier New"/>
          <w:sz w:val="18"/>
          <w:szCs w:val="18"/>
          <w:color w:val="auto"/>
        </w:rPr>
      </w:pPr>
    </w:p>
    <w:p>
      <w:pPr>
        <w:ind w:left="540"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nonvested portions of participant account balances were forfeitable and used to reduce employer contributions to the Plan. There were no Plan forfeitures for the year ended December 31, 2003. Plan forfeitures totaled $1,141 for the year ended December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096" w:right="1440" w:bottom="591"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THE SCOTTS COMPANY UNION RETIREMENT SAVINGS PLAN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2003 AND 2002</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INVESTMENTS</w:t>
      </w:r>
    </w:p>
    <w:p>
      <w:pPr>
        <w:spacing w:after="0" w:line="31" w:lineRule="exact"/>
        <w:rPr>
          <w:sz w:val="20"/>
          <w:szCs w:val="20"/>
          <w:color w:val="auto"/>
        </w:rPr>
      </w:pPr>
    </w:p>
    <w:p>
      <w:pPr>
        <w:ind w:left="540" w:right="1879"/>
        <w:spacing w:after="0" w:line="309" w:lineRule="auto"/>
        <w:rPr>
          <w:sz w:val="20"/>
          <w:szCs w:val="20"/>
          <w:color w:val="auto"/>
        </w:rPr>
      </w:pPr>
      <w:r>
        <w:rPr>
          <w:rFonts w:ascii="Courier New" w:cs="Courier New" w:eastAsia="Courier New" w:hAnsi="Courier New"/>
          <w:sz w:val="18"/>
          <w:szCs w:val="18"/>
          <w:color w:val="auto"/>
        </w:rPr>
        <w:t>All investments were participant-directed. Participants could change their investment options on a daily basis.</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BENEFIT PAYMENTS</w:t>
      </w:r>
    </w:p>
    <w:p>
      <w:pPr>
        <w:spacing w:after="0" w:line="31" w:lineRule="exact"/>
        <w:rPr>
          <w:sz w:val="20"/>
          <w:szCs w:val="20"/>
          <w:color w:val="auto"/>
        </w:rPr>
      </w:pPr>
    </w:p>
    <w:p>
      <w:pPr>
        <w:ind w:left="540" w:right="2099"/>
        <w:spacing w:after="0" w:line="295" w:lineRule="auto"/>
        <w:rPr>
          <w:sz w:val="20"/>
          <w:szCs w:val="20"/>
          <w:color w:val="auto"/>
        </w:rPr>
      </w:pPr>
      <w:r>
        <w:rPr>
          <w:rFonts w:ascii="Courier New" w:cs="Courier New" w:eastAsia="Courier New" w:hAnsi="Courier New"/>
          <w:sz w:val="16"/>
          <w:szCs w:val="16"/>
          <w:color w:val="auto"/>
        </w:rPr>
        <w:t>Participants were eligible to receive benefit payments upon termination, retirement, death or disability equal to the vested balance of the participant's account as of the business day the trustee processed the distribution. The Plan also provided for hardship and in-service withdrawals for active employees under certain circumstances.</w:t>
      </w:r>
    </w:p>
    <w:p>
      <w:pPr>
        <w:spacing w:after="0" w:line="7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PARTICIPANT LOANS</w:t>
      </w:r>
    </w:p>
    <w:p>
      <w:pPr>
        <w:spacing w:after="0" w:line="31" w:lineRule="exact"/>
        <w:rPr>
          <w:sz w:val="20"/>
          <w:szCs w:val="20"/>
          <w:color w:val="auto"/>
        </w:rPr>
      </w:pPr>
    </w:p>
    <w:p>
      <w:pPr>
        <w:ind w:left="540" w:right="1779"/>
        <w:spacing w:after="0" w:line="309" w:lineRule="auto"/>
        <w:rPr>
          <w:sz w:val="20"/>
          <w:szCs w:val="20"/>
          <w:color w:val="auto"/>
        </w:rPr>
      </w:pPr>
      <w:r>
        <w:rPr>
          <w:rFonts w:ascii="Courier New" w:cs="Courier New" w:eastAsia="Courier New" w:hAnsi="Courier New"/>
          <w:sz w:val="18"/>
          <w:szCs w:val="18"/>
          <w:color w:val="auto"/>
        </w:rPr>
        <w:t>Loans were available to participants from their individual accounts subject to the terms of the Plan.</w:t>
      </w:r>
    </w:p>
    <w:p>
      <w:pPr>
        <w:spacing w:after="0" w:line="5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30" w:lineRule="exact"/>
        <w:rPr>
          <w:rFonts w:ascii="Courier New" w:cs="Courier New" w:eastAsia="Courier New" w:hAnsi="Courier New"/>
          <w:sz w:val="18"/>
          <w:szCs w:val="18"/>
          <w:color w:val="auto"/>
        </w:rPr>
      </w:pPr>
    </w:p>
    <w:p>
      <w:pPr>
        <w:ind w:left="540" w:right="21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Excluding participant loans, investments are stated at quoted market prices. Participants' loans are valued at cost, which approximates fair value.</w:t>
      </w:r>
    </w:p>
    <w:p>
      <w:pPr>
        <w:spacing w:after="0" w:line="8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EXPENSES</w:t>
      </w:r>
    </w:p>
    <w:p>
      <w:pPr>
        <w:spacing w:after="0" w:line="30" w:lineRule="exact"/>
        <w:rPr>
          <w:rFonts w:ascii="Courier New" w:cs="Courier New" w:eastAsia="Courier New" w:hAnsi="Courier New"/>
          <w:sz w:val="18"/>
          <w:szCs w:val="18"/>
          <w:color w:val="auto"/>
        </w:rPr>
      </w:pPr>
    </w:p>
    <w:p>
      <w:pPr>
        <w:ind w:left="540" w:right="231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paid for all administrative fees except those that are participant specific, such as loan establishment and maintenance fees.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BENEFITS</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are recorded when paid.</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30" w:lineRule="exact"/>
        <w:rPr>
          <w:rFonts w:ascii="Courier New" w:cs="Courier New" w:eastAsia="Courier New" w:hAnsi="Courier New"/>
          <w:sz w:val="18"/>
          <w:szCs w:val="18"/>
          <w:color w:val="auto"/>
        </w:rPr>
      </w:pPr>
    </w:p>
    <w:p>
      <w:pPr>
        <w:ind w:left="540" w:right="1779"/>
        <w:spacing w:after="0" w:line="28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preparation of the Plan's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7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TRUST</w:t>
      </w:r>
    </w:p>
    <w:p>
      <w:pPr>
        <w:spacing w:after="0" w:line="201" w:lineRule="exact"/>
        <w:rPr>
          <w:rFonts w:ascii="Courier New" w:cs="Courier New" w:eastAsia="Courier New" w:hAnsi="Courier New"/>
          <w:sz w:val="18"/>
          <w:szCs w:val="18"/>
          <w:color w:val="auto"/>
        </w:rPr>
      </w:pPr>
    </w:p>
    <w:p>
      <w:pPr>
        <w:ind w:left="540" w:right="1779"/>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a master trust was established to commingle certain assets of the Plan and certain assets of the Company's other defined contribution plan, The Scotts Company Retirement Savings Plan. Each plan's accounting is maintained separately. The Plan's proportionate share of master trust investments and gains and losses is displayed on the accompanying financial statements. Plan activities, such as contributions and benefit payments, are recorded in the individual plan's accounting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89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THE SCOTTS COMPANY UNION RETIREMENT SAVINGS PLAN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2003 AND 2002</w:t>
      </w: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jc w:val="both"/>
        <w:ind w:left="220" w:right="2099"/>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Net earnings of the master trust are allocated between the plans based on a weighted average of assets related to each plan. Total net earnings for the master trust for the year ended December 31, 2003 and 2002, are as follows: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2003</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73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5"/>
              </w:rPr>
              <w:t>INTEREST AND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APPRECIATION</w:t>
            </w:r>
          </w:p>
        </w:tc>
        <w:tc>
          <w:tcPr>
            <w:tcW w:w="184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ADMINISTRATION</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FAIR VALUE</w:t>
            </w:r>
          </w:p>
        </w:tc>
        <w:tc>
          <w:tcPr>
            <w:tcW w:w="1840" w:type="dxa"/>
            <w:vAlign w:val="bottom"/>
            <w:gridSpan w:val="2"/>
            <w:vMerge w:val="continue"/>
          </w:tcPr>
          <w:p>
            <w:pPr>
              <w:spacing w:after="0"/>
              <w:rPr>
                <w:sz w:val="17"/>
                <w:szCs w:val="17"/>
                <w:color w:val="auto"/>
              </w:rPr>
            </w:pPr>
          </w:p>
        </w:tc>
        <w:tc>
          <w:tcPr>
            <w:tcW w:w="15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DIVIDENDS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SECURITIES</w:t>
            </w:r>
          </w:p>
        </w:tc>
        <w:tc>
          <w:tcPr>
            <w:tcW w:w="260" w:type="dxa"/>
            <w:vAlign w:val="bottom"/>
          </w:tcPr>
          <w:p>
            <w:pPr>
              <w:spacing w:after="0"/>
              <w:rPr>
                <w:sz w:val="24"/>
                <w:szCs w:val="24"/>
                <w:color w:val="auto"/>
              </w:rPr>
            </w:pPr>
          </w:p>
        </w:tc>
        <w:tc>
          <w:tcPr>
            <w:tcW w:w="1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EXPENSES</w:t>
            </w: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00" w:type="dxa"/>
            <w:vAlign w:val="bottom"/>
          </w:tcPr>
          <w:p>
            <w:pPr>
              <w:spacing w:after="0"/>
              <w:rPr>
                <w:sz w:val="20"/>
                <w:szCs w:val="20"/>
                <w:color w:val="auto"/>
              </w:rPr>
            </w:pPr>
            <w:r>
              <w:rPr>
                <w:rFonts w:ascii="Courier New" w:cs="Courier New" w:eastAsia="Courier New" w:hAnsi="Courier New"/>
                <w:sz w:val="18"/>
                <w:szCs w:val="18"/>
                <w:color w:val="auto"/>
              </w:rPr>
              <w:t>Mutual funds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2,189,222</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9"/>
              </w:rPr>
              <w:t>23,614,605</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(16,698)</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$ 25,787,129</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trust fund</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872,067</w:t>
            </w:r>
          </w:p>
        </w:tc>
        <w:tc>
          <w:tcPr>
            <w:tcW w:w="58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(7,655)</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864,412</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Scotts Stock</w:t>
            </w:r>
          </w:p>
        </w:tc>
        <w:tc>
          <w:tcPr>
            <w:tcW w:w="320" w:type="dxa"/>
            <w:vAlign w:val="bottom"/>
          </w:tcPr>
          <w:p>
            <w:pPr>
              <w:spacing w:after="0"/>
              <w:rPr>
                <w:sz w:val="17"/>
                <w:szCs w:val="17"/>
                <w:color w:val="auto"/>
              </w:rPr>
            </w:pP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1,364,621</w:t>
            </w:r>
          </w:p>
        </w:tc>
        <w:tc>
          <w:tcPr>
            <w:tcW w:w="260" w:type="dxa"/>
            <w:vAlign w:val="bottom"/>
          </w:tcPr>
          <w:p>
            <w:pPr>
              <w:spacing w:after="0"/>
              <w:rPr>
                <w:sz w:val="17"/>
                <w:szCs w:val="17"/>
                <w:color w:val="auto"/>
              </w:rPr>
            </w:pPr>
          </w:p>
        </w:tc>
        <w:tc>
          <w:tcPr>
            <w:tcW w:w="15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(2,617)</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1,362,004</w:t>
            </w:r>
          </w:p>
        </w:tc>
        <w:tc>
          <w:tcPr>
            <w:tcW w:w="0" w:type="dxa"/>
            <w:vAlign w:val="bottom"/>
          </w:tcPr>
          <w:p>
            <w:pPr>
              <w:spacing w:after="0"/>
              <w:rPr>
                <w:sz w:val="1"/>
                <w:szCs w:val="1"/>
                <w:color w:val="auto"/>
              </w:rPr>
            </w:pPr>
          </w:p>
        </w:tc>
      </w:tr>
      <w:tr>
        <w:trPr>
          <w:trHeight w:val="203"/>
        </w:trPr>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Fund</w:t>
            </w:r>
          </w:p>
        </w:tc>
        <w:tc>
          <w:tcPr>
            <w:tcW w:w="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w:t>
            </w:r>
          </w:p>
        </w:tc>
        <w:tc>
          <w:tcPr>
            <w:tcW w:w="32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93"/>
                <w:vertAlign w:val="subscript"/>
              </w:rPr>
              <w:t>$</w:t>
            </w:r>
            <w:r>
              <w:rPr>
                <w:rFonts w:ascii="Courier New" w:cs="Courier New" w:eastAsia="Courier New" w:hAnsi="Courier New"/>
                <w:sz w:val="4"/>
                <w:szCs w:val="4"/>
                <w:color w:val="auto"/>
                <w:w w:val="93"/>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3,061,289</w:t>
            </w:r>
          </w:p>
        </w:tc>
        <w:tc>
          <w:tcPr>
            <w:tcW w:w="22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9"/>
              </w:rPr>
              <w:t>24,979,226</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(26,970)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$ 28,013,545</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18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22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2002</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748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NET APPRECIATION</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5"/>
              </w:rPr>
              <w:t>INTEREST AND</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(DEPRECIATION)</w:t>
            </w:r>
          </w:p>
        </w:tc>
        <w:tc>
          <w:tcPr>
            <w:tcW w:w="184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ADMINISTRATION</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 FAIR VALUE</w:t>
            </w:r>
          </w:p>
        </w:tc>
        <w:tc>
          <w:tcPr>
            <w:tcW w:w="1840" w:type="dxa"/>
            <w:vAlign w:val="bottom"/>
            <w:gridSpan w:val="2"/>
            <w:vMerge w:val="continue"/>
          </w:tcPr>
          <w:p>
            <w:pPr>
              <w:spacing w:after="0"/>
              <w:rPr>
                <w:sz w:val="17"/>
                <w:szCs w:val="17"/>
                <w:color w:val="auto"/>
              </w:rPr>
            </w:pPr>
          </w:p>
        </w:tc>
        <w:tc>
          <w:tcPr>
            <w:tcW w:w="16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DIVIDENDS</w:t>
            </w:r>
          </w:p>
        </w:tc>
        <w:tc>
          <w:tcPr>
            <w:tcW w:w="2200" w:type="dxa"/>
            <w:vAlign w:val="bottom"/>
          </w:tcPr>
          <w:p>
            <w:pPr>
              <w:ind w:left="300"/>
              <w:spacing w:after="0"/>
              <w:rPr>
                <w:sz w:val="20"/>
                <w:szCs w:val="20"/>
                <w:color w:val="auto"/>
              </w:rPr>
            </w:pPr>
            <w:r>
              <w:rPr>
                <w:rFonts w:ascii="Courier New" w:cs="Courier New" w:eastAsia="Courier New" w:hAnsi="Courier New"/>
                <w:sz w:val="18"/>
                <w:szCs w:val="18"/>
                <w:color w:val="auto"/>
              </w:rPr>
              <w:t>OF SECURITIES</w:t>
            </w:r>
          </w:p>
        </w:tc>
        <w:tc>
          <w:tcPr>
            <w:tcW w:w="260" w:type="dxa"/>
            <w:vAlign w:val="bottom"/>
          </w:tcPr>
          <w:p>
            <w:pPr>
              <w:spacing w:after="0"/>
              <w:rPr>
                <w:sz w:val="24"/>
                <w:szCs w:val="24"/>
                <w:color w:val="auto"/>
              </w:rPr>
            </w:pPr>
          </w:p>
        </w:tc>
        <w:tc>
          <w:tcPr>
            <w:tcW w:w="1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EXPENSES</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00" w:type="dxa"/>
            <w:vAlign w:val="bottom"/>
          </w:tcPr>
          <w:p>
            <w:pPr>
              <w:spacing w:after="0"/>
              <w:rPr>
                <w:sz w:val="20"/>
                <w:szCs w:val="20"/>
                <w:color w:val="auto"/>
              </w:rPr>
            </w:pPr>
            <w:r>
              <w:rPr>
                <w:rFonts w:ascii="Courier New" w:cs="Courier New" w:eastAsia="Courier New" w:hAnsi="Courier New"/>
                <w:sz w:val="18"/>
                <w:szCs w:val="18"/>
                <w:color w:val="auto"/>
              </w:rPr>
              <w:t>Mutual funds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1,757,539</w:t>
            </w: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$(19,955,817)</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(15,319)</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$(18,213,597)</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trust fund</w:t>
            </w:r>
          </w:p>
        </w:tc>
        <w:tc>
          <w:tcPr>
            <w:tcW w:w="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895,172</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(4,684)</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890,488</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Scotts Stock</w:t>
            </w:r>
          </w:p>
        </w:tc>
        <w:tc>
          <w:tcPr>
            <w:tcW w:w="320" w:type="dxa"/>
            <w:vAlign w:val="bottom"/>
          </w:tcPr>
          <w:p>
            <w:pPr>
              <w:spacing w:after="0"/>
              <w:rPr>
                <w:sz w:val="17"/>
                <w:szCs w:val="17"/>
                <w:color w:val="auto"/>
              </w:rPr>
            </w:pP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22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636,447</w:t>
            </w:r>
          </w:p>
        </w:tc>
        <w:tc>
          <w:tcPr>
            <w:tcW w:w="260" w:type="dxa"/>
            <w:vAlign w:val="bottom"/>
          </w:tcPr>
          <w:p>
            <w:pPr>
              <w:spacing w:after="0"/>
              <w:rPr>
                <w:sz w:val="17"/>
                <w:szCs w:val="17"/>
                <w:color w:val="auto"/>
              </w:rPr>
            </w:pPr>
          </w:p>
        </w:tc>
        <w:tc>
          <w:tcPr>
            <w:tcW w:w="15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(1,626)</w:t>
            </w:r>
          </w:p>
        </w:tc>
        <w:tc>
          <w:tcPr>
            <w:tcW w:w="1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634,821</w:t>
            </w:r>
          </w:p>
        </w:tc>
        <w:tc>
          <w:tcPr>
            <w:tcW w:w="0" w:type="dxa"/>
            <w:vAlign w:val="bottom"/>
          </w:tcPr>
          <w:p>
            <w:pPr>
              <w:spacing w:after="0"/>
              <w:rPr>
                <w:sz w:val="1"/>
                <w:szCs w:val="1"/>
                <w:color w:val="auto"/>
              </w:rPr>
            </w:pPr>
          </w:p>
        </w:tc>
      </w:tr>
      <w:tr>
        <w:trPr>
          <w:trHeight w:val="203"/>
        </w:trPr>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Fund</w:t>
            </w:r>
          </w:p>
        </w:tc>
        <w:tc>
          <w:tcPr>
            <w:tcW w:w="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2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w:t>
            </w:r>
          </w:p>
        </w:tc>
        <w:tc>
          <w:tcPr>
            <w:tcW w:w="32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93"/>
                <w:vertAlign w:val="subscript"/>
              </w:rPr>
              <w:t>$</w:t>
            </w:r>
            <w:r>
              <w:rPr>
                <w:rFonts w:ascii="Courier New" w:cs="Courier New" w:eastAsia="Courier New" w:hAnsi="Courier New"/>
                <w:sz w:val="4"/>
                <w:szCs w:val="4"/>
                <w:color w:val="auto"/>
                <w:w w:val="93"/>
              </w:rPr>
              <w:t>------------</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2,652,711</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$(19,319,370)</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(21,629)</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$(16,688,288)</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18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2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220" w:right="2099"/>
        <w:spacing w:after="0" w:line="274" w:lineRule="auto"/>
        <w:rPr>
          <w:sz w:val="20"/>
          <w:szCs w:val="20"/>
          <w:color w:val="auto"/>
        </w:rPr>
      </w:pPr>
      <w:r>
        <w:rPr>
          <w:rFonts w:ascii="Courier New" w:cs="Courier New" w:eastAsia="Courier New" w:hAnsi="Courier New"/>
          <w:sz w:val="18"/>
          <w:szCs w:val="18"/>
          <w:color w:val="auto"/>
        </w:rPr>
        <w:t>The net assets of the Plan were liquidated during 2003. Therefore, the Plan had no interest in the assets of the master trust at December 31, 2003. Total assets held in the master trust at December 31, 2002, were as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6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2002</w:t>
            </w:r>
          </w:p>
        </w:tc>
        <w:tc>
          <w:tcPr>
            <w:tcW w:w="0" w:type="dxa"/>
            <w:vAlign w:val="bottom"/>
          </w:tcPr>
          <w:p>
            <w:pPr>
              <w:spacing w:after="0"/>
              <w:rPr>
                <w:sz w:val="1"/>
                <w:szCs w:val="1"/>
                <w:color w:val="auto"/>
              </w:rPr>
            </w:pPr>
          </w:p>
        </w:tc>
      </w:tr>
      <w:tr>
        <w:trPr>
          <w:trHeight w:val="311"/>
        </w:trPr>
        <w:tc>
          <w:tcPr>
            <w:tcW w:w="65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517,001</w:t>
            </w:r>
          </w:p>
        </w:tc>
        <w:tc>
          <w:tcPr>
            <w:tcW w:w="0" w:type="dxa"/>
            <w:vAlign w:val="bottom"/>
          </w:tcPr>
          <w:p>
            <w:pPr>
              <w:spacing w:after="0"/>
              <w:rPr>
                <w:sz w:val="1"/>
                <w:szCs w:val="1"/>
                <w:color w:val="auto"/>
              </w:rPr>
            </w:pP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w:t>
            </w:r>
          </w:p>
        </w:tc>
        <w:tc>
          <w:tcPr>
            <w:tcW w:w="164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94,709,701</w:t>
            </w:r>
          </w:p>
        </w:tc>
        <w:tc>
          <w:tcPr>
            <w:tcW w:w="0" w:type="dxa"/>
            <w:vAlign w:val="bottom"/>
          </w:tcPr>
          <w:p>
            <w:pPr>
              <w:spacing w:after="0"/>
              <w:rPr>
                <w:sz w:val="1"/>
                <w:szCs w:val="1"/>
                <w:color w:val="auto"/>
              </w:rPr>
            </w:pP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Mutual funds, at fair value</w:t>
            </w:r>
          </w:p>
        </w:tc>
        <w:tc>
          <w:tcPr>
            <w:tcW w:w="16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trust fund, at fair value</w:t>
            </w:r>
          </w:p>
        </w:tc>
        <w:tc>
          <w:tcPr>
            <w:tcW w:w="1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21,081,383</w:t>
            </w:r>
          </w:p>
        </w:tc>
        <w:tc>
          <w:tcPr>
            <w:tcW w:w="0" w:type="dxa"/>
            <w:vAlign w:val="bottom"/>
          </w:tcPr>
          <w:p>
            <w:pPr>
              <w:spacing w:after="0"/>
              <w:rPr>
                <w:sz w:val="1"/>
                <w:szCs w:val="1"/>
                <w:color w:val="auto"/>
              </w:rPr>
            </w:pP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Scotts Company Common Shares, at fair value</w:t>
            </w:r>
          </w:p>
        </w:tc>
        <w:tc>
          <w:tcPr>
            <w:tcW w:w="1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7,015,025</w:t>
            </w:r>
          </w:p>
        </w:tc>
        <w:tc>
          <w:tcPr>
            <w:tcW w:w="0" w:type="dxa"/>
            <w:vAlign w:val="bottom"/>
          </w:tcPr>
          <w:p>
            <w:pPr>
              <w:spacing w:after="0"/>
              <w:rPr>
                <w:sz w:val="1"/>
                <w:szCs w:val="1"/>
                <w:color w:val="auto"/>
              </w:rPr>
            </w:pPr>
          </w:p>
        </w:tc>
      </w:tr>
      <w:tr>
        <w:trPr>
          <w:trHeight w:val="203"/>
        </w:trPr>
        <w:tc>
          <w:tcPr>
            <w:tcW w:w="65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 investments</w:t>
            </w:r>
          </w:p>
        </w:tc>
        <w:tc>
          <w:tcPr>
            <w:tcW w:w="1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658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122,806,109</w:t>
            </w:r>
          </w:p>
        </w:tc>
        <w:tc>
          <w:tcPr>
            <w:tcW w:w="0" w:type="dxa"/>
            <w:vAlign w:val="bottom"/>
          </w:tcPr>
          <w:p>
            <w:pPr>
              <w:spacing w:after="0"/>
              <w:rPr>
                <w:sz w:val="1"/>
                <w:szCs w:val="1"/>
                <w:color w:val="auto"/>
              </w:rPr>
            </w:pPr>
          </w:p>
        </w:tc>
      </w:tr>
      <w:tr>
        <w:trPr>
          <w:trHeight w:val="203"/>
        </w:trPr>
        <w:tc>
          <w:tcPr>
            <w:tcW w:w="6580" w:type="dxa"/>
            <w:vAlign w:val="bottom"/>
            <w:vMerge w:val="restart"/>
          </w:tcPr>
          <w:p>
            <w:pPr>
              <w:spacing w:after="0"/>
              <w:rPr>
                <w:sz w:val="20"/>
                <w:szCs w:val="20"/>
                <w:color w:val="auto"/>
              </w:rPr>
            </w:pPr>
            <w:r>
              <w:rPr>
                <w:rFonts w:ascii="Courier New" w:cs="Courier New" w:eastAsia="Courier New" w:hAnsi="Courier New"/>
                <w:sz w:val="18"/>
                <w:szCs w:val="18"/>
                <w:color w:val="auto"/>
              </w:rPr>
              <w:t>Receivable from broker</w:t>
            </w:r>
          </w:p>
        </w:tc>
        <w:tc>
          <w:tcPr>
            <w:tcW w:w="1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658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303,773</w:t>
            </w:r>
          </w:p>
        </w:tc>
        <w:tc>
          <w:tcPr>
            <w:tcW w:w="0" w:type="dxa"/>
            <w:vAlign w:val="bottom"/>
          </w:tcPr>
          <w:p>
            <w:pPr>
              <w:spacing w:after="0"/>
              <w:rPr>
                <w:sz w:val="1"/>
                <w:szCs w:val="1"/>
                <w:color w:val="auto"/>
              </w:rPr>
            </w:pP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broker</w:t>
            </w:r>
          </w:p>
        </w:tc>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(236,220)</w:t>
            </w:r>
          </w:p>
        </w:tc>
        <w:tc>
          <w:tcPr>
            <w:tcW w:w="0" w:type="dxa"/>
            <w:vAlign w:val="bottom"/>
          </w:tcPr>
          <w:p>
            <w:pPr>
              <w:spacing w:after="0"/>
              <w:rPr>
                <w:sz w:val="1"/>
                <w:szCs w:val="1"/>
                <w:color w:val="auto"/>
              </w:rPr>
            </w:pPr>
          </w:p>
        </w:tc>
      </w:tr>
      <w:tr>
        <w:trPr>
          <w:trHeight w:val="203"/>
        </w:trPr>
        <w:tc>
          <w:tcPr>
            <w:tcW w:w="65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 master trust net assets</w:t>
            </w:r>
          </w:p>
        </w:tc>
        <w:tc>
          <w:tcPr>
            <w:tcW w:w="1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658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123,390,663</w:t>
            </w:r>
          </w:p>
        </w:tc>
        <w:tc>
          <w:tcPr>
            <w:tcW w:w="0" w:type="dxa"/>
            <w:vAlign w:val="bottom"/>
          </w:tcPr>
          <w:p>
            <w:pPr>
              <w:spacing w:after="0"/>
              <w:rPr>
                <w:sz w:val="1"/>
                <w:szCs w:val="1"/>
                <w:color w:val="auto"/>
              </w:rPr>
            </w:pPr>
          </w:p>
        </w:tc>
      </w:tr>
      <w:tr>
        <w:trPr>
          <w:trHeight w:val="296"/>
        </w:trPr>
        <w:tc>
          <w:tcPr>
            <w:tcW w:w="6580" w:type="dxa"/>
            <w:vAlign w:val="bottom"/>
            <w:vMerge w:val="restart"/>
          </w:tcPr>
          <w:p>
            <w:pPr>
              <w:spacing w:after="0"/>
              <w:rPr>
                <w:sz w:val="20"/>
                <w:szCs w:val="20"/>
                <w:color w:val="auto"/>
              </w:rPr>
            </w:pPr>
            <w:r>
              <w:rPr>
                <w:rFonts w:ascii="Courier New" w:cs="Courier New" w:eastAsia="Courier New" w:hAnsi="Courier New"/>
                <w:sz w:val="18"/>
                <w:szCs w:val="18"/>
                <w:color w:val="auto"/>
              </w:rPr>
              <w:t>The Scotts Company Union Retirement Savings Plan</w:t>
            </w:r>
          </w:p>
        </w:tc>
        <w:tc>
          <w:tcPr>
            <w:tcW w:w="16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0.10%</w:t>
            </w: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 in master trust net assets</w:t>
            </w:r>
          </w:p>
        </w:tc>
        <w:tc>
          <w:tcPr>
            <w:tcW w:w="16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09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Accounting policies discussed in Note 3 also apply to the master trust.</w:t>
      </w:r>
    </w:p>
    <w:p>
      <w:pPr>
        <w:sectPr>
          <w:pgSz w:w="11900" w:h="16838" w:orient="portrait"/>
          <w:cols w:equalWidth="0" w:num="1">
            <w:col w:w="9899"/>
          </w:cols>
          <w:pgMar w:left="560" w:top="5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899"/>
          </w:cols>
          <w:pgMar w:left="560" w:top="515"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THE SCOTTS COMPANY UNION RETIREMENT SAVINGS PLAN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2003 AND 2002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374" w:lineRule="exact"/>
        <w:rPr>
          <w:sz w:val="20"/>
          <w:szCs w:val="20"/>
          <w:color w:val="auto"/>
        </w:rPr>
      </w:pPr>
    </w:p>
    <w:p>
      <w:pPr>
        <w:ind w:left="540" w:right="1779"/>
        <w:spacing w:after="0" w:line="402" w:lineRule="auto"/>
        <w:rPr>
          <w:sz w:val="20"/>
          <w:szCs w:val="20"/>
          <w:color w:val="auto"/>
        </w:rPr>
      </w:pPr>
      <w:r>
        <w:rPr>
          <w:rFonts w:ascii="Courier New" w:cs="Courier New" w:eastAsia="Courier New" w:hAnsi="Courier New"/>
          <w:sz w:val="16"/>
          <w:szCs w:val="16"/>
          <w:color w:val="auto"/>
        </w:rPr>
        <w:t>Cash equivalents included short-term, highly liquid investments with original term to maturity of 90 days or less. Cost approximates fair value.</w:t>
      </w:r>
    </w:p>
    <w:p>
      <w:pPr>
        <w:spacing w:after="0" w:line="1" w:lineRule="exact"/>
        <w:rPr>
          <w:sz w:val="20"/>
          <w:szCs w:val="20"/>
          <w:color w:val="auto"/>
        </w:rPr>
      </w:pPr>
    </w:p>
    <w:p>
      <w:pPr>
        <w:ind w:left="540" w:right="1779"/>
        <w:spacing w:after="0" w:line="306" w:lineRule="auto"/>
        <w:rPr>
          <w:sz w:val="20"/>
          <w:szCs w:val="20"/>
          <w:color w:val="auto"/>
        </w:rPr>
      </w:pPr>
      <w:r>
        <w:rPr>
          <w:rFonts w:ascii="Courier New" w:cs="Courier New" w:eastAsia="Courier New" w:hAnsi="Courier New"/>
          <w:sz w:val="16"/>
          <w:szCs w:val="16"/>
          <w:color w:val="auto"/>
        </w:rPr>
        <w:t>At December 31, 2002, the master trust held certain investments in mutual funds managed by the Trustee. Purchases and sales of these mutual funds are open market transactions at fair value. Consequently, such transactions are permitted under the provisions of the Plan and exempt from prohibition of party-in-interest transactions under the IRS Code and ERISA.</w:t>
      </w:r>
    </w:p>
    <w:p>
      <w:pPr>
        <w:spacing w:after="0" w:line="60"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THE SCOTTS COMPANY</w:t>
      </w:r>
    </w:p>
    <w:p>
      <w:pPr>
        <w:spacing w:after="0" w:line="201" w:lineRule="exact"/>
        <w:rPr>
          <w:rFonts w:ascii="Courier New" w:cs="Courier New" w:eastAsia="Courier New" w:hAnsi="Courier New"/>
          <w:sz w:val="18"/>
          <w:szCs w:val="18"/>
          <w:color w:val="auto"/>
        </w:rPr>
      </w:pPr>
    </w:p>
    <w:p>
      <w:pPr>
        <w:ind w:left="540" w:right="1779"/>
        <w:spacing w:after="0" w:line="31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net assets of the Plan were liquidated during 2003. Therefore, the Plan had no interest in the assets of the master trust at December 31, 2003. At December 31, 2002, the master trust had investments in The Scotts Stock Fund, which invests in the common stock of the Company, as follows:</w:t>
      </w:r>
    </w:p>
    <w:p>
      <w:pPr>
        <w:spacing w:after="0" w:line="5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2002</w:t>
      </w:r>
    </w:p>
    <w:p>
      <w:pPr>
        <w:spacing w:after="0" w:line="29"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w:t>
      </w:r>
    </w:p>
    <w:tbl>
      <w:tblPr>
        <w:tblLayout w:type="fixed"/>
        <w:tblInd w:w="570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Courier New" w:cs="Courier New" w:eastAsia="Courier New" w:hAnsi="Courier New"/>
                <w:sz w:val="18"/>
                <w:szCs w:val="18"/>
                <w:color w:val="auto"/>
              </w:rPr>
              <w:t>UNITS</w:t>
            </w:r>
          </w:p>
        </w:tc>
        <w:tc>
          <w:tcPr>
            <w:tcW w:w="16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FAIR MARKET</w:t>
            </w:r>
          </w:p>
        </w:tc>
        <w:tc>
          <w:tcPr>
            <w:tcW w:w="0" w:type="dxa"/>
            <w:vAlign w:val="bottom"/>
          </w:tcPr>
          <w:p>
            <w:pPr>
              <w:spacing w:after="0"/>
              <w:rPr>
                <w:sz w:val="1"/>
                <w:szCs w:val="1"/>
                <w:color w:val="auto"/>
              </w:rPr>
            </w:pPr>
          </w:p>
        </w:tc>
      </w:tr>
      <w:tr>
        <w:trPr>
          <w:trHeight w:val="296"/>
        </w:trPr>
        <w:tc>
          <w:tcPr>
            <w:tcW w:w="1100" w:type="dxa"/>
            <w:vAlign w:val="bottom"/>
            <w:vMerge w:val="continue"/>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VALUE</w:t>
            </w:r>
          </w:p>
        </w:tc>
        <w:tc>
          <w:tcPr>
            <w:tcW w:w="0" w:type="dxa"/>
            <w:vAlign w:val="bottom"/>
          </w:tcPr>
          <w:p>
            <w:pPr>
              <w:spacing w:after="0"/>
              <w:rPr>
                <w:sz w:val="1"/>
                <w:szCs w:val="1"/>
                <w:color w:val="auto"/>
              </w:rPr>
            </w:pPr>
          </w:p>
        </w:tc>
      </w:tr>
      <w:tr>
        <w:trPr>
          <w:trHeight w:val="311"/>
        </w:trPr>
        <w:tc>
          <w:tcPr>
            <w:tcW w:w="1100" w:type="dxa"/>
            <w:vAlign w:val="bottom"/>
          </w:tcPr>
          <w:p>
            <w:pPr>
              <w:spacing w:after="0"/>
              <w:rPr>
                <w:sz w:val="20"/>
                <w:szCs w:val="20"/>
                <w:color w:val="auto"/>
              </w:rPr>
            </w:pPr>
            <w:r>
              <w:rPr>
                <w:rFonts w:ascii="Courier New" w:cs="Courier New" w:eastAsia="Courier New" w:hAnsi="Courier New"/>
                <w:sz w:val="18"/>
                <w:szCs w:val="18"/>
                <w:color w:val="auto"/>
              </w:rPr>
              <w:t>522,078</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  7,015,025</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w:t>
      </w:r>
    </w:p>
    <w:p>
      <w:pPr>
        <w:spacing w:after="0" w:line="201" w:lineRule="exact"/>
        <w:rPr>
          <w:rFonts w:ascii="Courier New" w:cs="Courier New" w:eastAsia="Courier New" w:hAnsi="Courier New"/>
          <w:sz w:val="18"/>
          <w:szCs w:val="18"/>
          <w:color w:val="auto"/>
        </w:rPr>
      </w:pPr>
    </w:p>
    <w:p>
      <w:pPr>
        <w:ind w:left="540" w:right="1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obtained a determination letter dated September 24, 2003, in which the Internal Revenue Service stated that the Plan, as amended through February 4, 2002, was in compliance with the applicable requirements of the Internal Revenue Code ("IRC"). The plan administrator, the Company, and the Plan's legal counsel believe that the Plan was designed and was operated in compliance with the applicable requirements of the IRC, and is therefore not subject to income taxes.</w:t>
      </w:r>
    </w:p>
    <w:p>
      <w:pPr>
        <w:spacing w:after="0" w:line="9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TO FORM 5500</w:t>
      </w:r>
    </w:p>
    <w:p>
      <w:pPr>
        <w:spacing w:after="0" w:line="201" w:lineRule="exact"/>
        <w:rPr>
          <w:rFonts w:ascii="Courier New" w:cs="Courier New" w:eastAsia="Courier New" w:hAnsi="Courier New"/>
          <w:sz w:val="18"/>
          <w:szCs w:val="18"/>
          <w:color w:val="auto"/>
        </w:rPr>
      </w:pPr>
    </w:p>
    <w:p>
      <w:pPr>
        <w:ind w:left="540" w:right="187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is a reconciliation of benefits paid to participants per the financial statements to the Form 5500: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6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2003</w:t>
            </w:r>
          </w:p>
        </w:tc>
        <w:tc>
          <w:tcPr>
            <w:tcW w:w="460" w:type="dxa"/>
            <w:vAlign w:val="bottom"/>
          </w:tcPr>
          <w:p>
            <w:pPr>
              <w:spacing w:after="0"/>
              <w:rPr>
                <w:sz w:val="24"/>
                <w:szCs w:val="24"/>
                <w:color w:val="auto"/>
              </w:rPr>
            </w:pPr>
          </w:p>
        </w:tc>
        <w:tc>
          <w:tcPr>
            <w:tcW w:w="10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2002</w:t>
            </w:r>
          </w:p>
        </w:tc>
        <w:tc>
          <w:tcPr>
            <w:tcW w:w="0" w:type="dxa"/>
            <w:vAlign w:val="bottom"/>
          </w:tcPr>
          <w:p>
            <w:pPr>
              <w:spacing w:after="0"/>
              <w:rPr>
                <w:sz w:val="1"/>
                <w:szCs w:val="1"/>
                <w:color w:val="auto"/>
              </w:rPr>
            </w:pPr>
          </w:p>
        </w:tc>
      </w:tr>
      <w:tr>
        <w:trPr>
          <w:trHeight w:val="514"/>
        </w:trPr>
        <w:tc>
          <w:tcPr>
            <w:tcW w:w="6480" w:type="dxa"/>
            <w:vAlign w:val="bottom"/>
          </w:tcPr>
          <w:p>
            <w:pPr>
              <w:spacing w:after="0"/>
              <w:rPr>
                <w:sz w:val="20"/>
                <w:szCs w:val="20"/>
                <w:color w:val="auto"/>
              </w:rPr>
            </w:pPr>
            <w:r>
              <w:rPr>
                <w:rFonts w:ascii="Courier New" w:cs="Courier New" w:eastAsia="Courier New" w:hAnsi="Courier New"/>
                <w:sz w:val="18"/>
                <w:szCs w:val="18"/>
                <w:color w:val="auto"/>
              </w:rPr>
              <w:t>Benefits paid to participants per the financial statements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137,173</w:t>
            </w:r>
          </w:p>
        </w:tc>
        <w:tc>
          <w:tcPr>
            <w:tcW w:w="4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100,235</w:t>
            </w:r>
          </w:p>
        </w:tc>
        <w:tc>
          <w:tcPr>
            <w:tcW w:w="0" w:type="dxa"/>
            <w:vAlign w:val="bottom"/>
          </w:tcPr>
          <w:p>
            <w:pPr>
              <w:spacing w:after="0"/>
              <w:rPr>
                <w:sz w:val="1"/>
                <w:szCs w:val="1"/>
                <w:color w:val="auto"/>
              </w:rPr>
            </w:pP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Amounts allocated to withdrawing participants at</w:t>
            </w:r>
          </w:p>
        </w:tc>
        <w:tc>
          <w:tcPr>
            <w:tcW w:w="580" w:type="dxa"/>
            <w:vAlign w:val="bottom"/>
          </w:tcPr>
          <w:p>
            <w:pPr>
              <w:spacing w:after="0"/>
              <w:rPr>
                <w:sz w:val="17"/>
                <w:szCs w:val="17"/>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December 31, 2001</w:t>
            </w:r>
          </w:p>
        </w:tc>
        <w:tc>
          <w:tcPr>
            <w:tcW w:w="5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vMerge w:val="restart"/>
          </w:tcPr>
          <w:p>
            <w:pPr>
              <w:spacing w:after="0"/>
              <w:rPr>
                <w:sz w:val="20"/>
                <w:szCs w:val="20"/>
                <w:color w:val="auto"/>
              </w:rPr>
            </w:pPr>
            <w:r>
              <w:rPr>
                <w:rFonts w:ascii="Courier New" w:cs="Courier New" w:eastAsia="Courier New" w:hAnsi="Courier New"/>
                <w:sz w:val="18"/>
                <w:szCs w:val="18"/>
                <w:color w:val="auto"/>
              </w:rPr>
              <w:t>Benefits paid to participants per the Form 5500</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137,173</w:t>
            </w:r>
          </w:p>
        </w:tc>
        <w:tc>
          <w:tcPr>
            <w:tcW w:w="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100,234</w:t>
            </w:r>
          </w:p>
        </w:tc>
        <w:tc>
          <w:tcPr>
            <w:tcW w:w="0" w:type="dxa"/>
            <w:vAlign w:val="bottom"/>
          </w:tcPr>
          <w:p>
            <w:pPr>
              <w:spacing w:after="0"/>
              <w:rPr>
                <w:sz w:val="1"/>
                <w:szCs w:val="1"/>
                <w:color w:val="auto"/>
              </w:rPr>
            </w:pPr>
          </w:p>
        </w:tc>
      </w:tr>
      <w:tr>
        <w:trPr>
          <w:trHeight w:val="296"/>
        </w:trPr>
        <w:tc>
          <w:tcPr>
            <w:tcW w:w="6480" w:type="dxa"/>
            <w:vAlign w:val="bottom"/>
          </w:tcPr>
          <w:p>
            <w:pPr>
              <w:spacing w:after="0"/>
              <w:rPr>
                <w:sz w:val="24"/>
                <w:szCs w:val="24"/>
                <w:color w:val="auto"/>
              </w:rPr>
            </w:pPr>
          </w:p>
        </w:tc>
        <w:tc>
          <w:tcPr>
            <w:tcW w:w="1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488"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UNION</w:t>
            </w:r>
          </w:p>
        </w:tc>
        <w:tc>
          <w:tcPr>
            <w:tcW w:w="4740" w:type="dxa"/>
            <w:vAlign w:val="bottom"/>
          </w:tcPr>
          <w:p>
            <w:pPr>
              <w:jc w:val="center"/>
              <w:ind w:right="2772"/>
              <w:spacing w:after="0"/>
              <w:rPr>
                <w:sz w:val="20"/>
                <w:szCs w:val="20"/>
                <w:color w:val="auto"/>
              </w:rPr>
            </w:pPr>
            <w:r>
              <w:rPr>
                <w:rFonts w:ascii="Courier New" w:cs="Courier New" w:eastAsia="Courier New" w:hAnsi="Courier New"/>
                <w:sz w:val="18"/>
                <w:szCs w:val="18"/>
                <w:color w:val="auto"/>
                <w:w w:val="96"/>
              </w:rPr>
              <w:t>THE SCOTTS COMPANY</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4740" w:type="dxa"/>
            <w:vAlign w:val="bottom"/>
          </w:tcPr>
          <w:p>
            <w:pPr>
              <w:ind w:left="100"/>
              <w:spacing w:after="0"/>
              <w:rPr>
                <w:sz w:val="20"/>
                <w:szCs w:val="20"/>
                <w:color w:val="auto"/>
              </w:rPr>
            </w:pPr>
            <w:r>
              <w:rPr>
                <w:rFonts w:ascii="Courier New" w:cs="Courier New" w:eastAsia="Courier New" w:hAnsi="Courier New"/>
                <w:sz w:val="18"/>
                <w:szCs w:val="18"/>
                <w:color w:val="auto"/>
              </w:rPr>
              <w:t>RETIREMENT SAVINGS PLAN</w:t>
            </w:r>
          </w:p>
        </w:tc>
        <w:tc>
          <w:tcPr>
            <w:tcW w:w="0" w:type="dxa"/>
            <w:vAlign w:val="bottom"/>
          </w:tcPr>
          <w:p>
            <w:pPr>
              <w:spacing w:after="0"/>
              <w:rPr>
                <w:sz w:val="1"/>
                <w:szCs w:val="1"/>
                <w:color w:val="auto"/>
              </w:rPr>
            </w:pPr>
          </w:p>
        </w:tc>
      </w:tr>
      <w:tr>
        <w:trPr>
          <w:trHeight w:val="514"/>
        </w:trPr>
        <w:tc>
          <w:tcPr>
            <w:tcW w:w="1740" w:type="dxa"/>
            <w:vAlign w:val="bottom"/>
          </w:tcPr>
          <w:p>
            <w:pPr>
              <w:spacing w:after="0"/>
              <w:rPr>
                <w:sz w:val="24"/>
                <w:szCs w:val="24"/>
                <w:color w:val="auto"/>
              </w:rPr>
            </w:pPr>
          </w:p>
        </w:tc>
        <w:tc>
          <w:tcPr>
            <w:tcW w:w="6280" w:type="dxa"/>
            <w:vAlign w:val="bottom"/>
            <w:gridSpan w:val="2"/>
          </w:tcPr>
          <w:p>
            <w:pPr>
              <w:jc w:val="center"/>
              <w:ind w:right="1212"/>
              <w:spacing w:after="0"/>
              <w:rPr>
                <w:sz w:val="20"/>
                <w:szCs w:val="20"/>
                <w:color w:val="auto"/>
              </w:rPr>
            </w:pPr>
            <w:r>
              <w:rPr>
                <w:rFonts w:ascii="Courier New" w:cs="Courier New" w:eastAsia="Courier New" w:hAnsi="Courier New"/>
                <w:sz w:val="18"/>
                <w:szCs w:val="18"/>
                <w:color w:val="auto"/>
                <w:w w:val="97"/>
              </w:rPr>
              <w:t>ANNUAL REPORT ON FORM 11-K</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FOR FISCAL</w:t>
            </w:r>
          </w:p>
        </w:tc>
        <w:tc>
          <w:tcPr>
            <w:tcW w:w="4740" w:type="dxa"/>
            <w:vAlign w:val="bottom"/>
          </w:tcPr>
          <w:p>
            <w:pPr>
              <w:ind w:left="100"/>
              <w:spacing w:after="0"/>
              <w:rPr>
                <w:sz w:val="20"/>
                <w:szCs w:val="20"/>
                <w:color w:val="auto"/>
              </w:rPr>
            </w:pPr>
            <w:r>
              <w:rPr>
                <w:rFonts w:ascii="Courier New" w:cs="Courier New" w:eastAsia="Courier New" w:hAnsi="Courier New"/>
                <w:sz w:val="18"/>
                <w:szCs w:val="18"/>
                <w:color w:val="auto"/>
              </w:rPr>
              <w:t>YEAR ENDED DECEMBER 31, 2003</w:t>
            </w:r>
          </w:p>
        </w:tc>
        <w:tc>
          <w:tcPr>
            <w:tcW w:w="0" w:type="dxa"/>
            <w:vAlign w:val="bottom"/>
          </w:tcPr>
          <w:p>
            <w:pPr>
              <w:spacing w:after="0"/>
              <w:rPr>
                <w:sz w:val="1"/>
                <w:szCs w:val="1"/>
                <w:color w:val="auto"/>
              </w:rPr>
            </w:pPr>
          </w:p>
        </w:tc>
      </w:tr>
      <w:tr>
        <w:trPr>
          <w:trHeight w:val="405"/>
        </w:trPr>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40" w:type="dxa"/>
            <w:vAlign w:val="bottom"/>
          </w:tcPr>
          <w:p>
            <w:pPr>
              <w:ind w:left="100"/>
              <w:spacing w:after="0"/>
              <w:rPr>
                <w:sz w:val="20"/>
                <w:szCs w:val="20"/>
                <w:color w:val="auto"/>
              </w:rPr>
            </w:pPr>
            <w:r>
              <w:rPr>
                <w:rFonts w:ascii="Courier New" w:cs="Courier New" w:eastAsia="Courier New" w:hAnsi="Courier New"/>
                <w:sz w:val="18"/>
                <w:szCs w:val="18"/>
                <w:color w:val="auto"/>
              </w:rPr>
              <w:t>INDEX TO EXHIBITS</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Description</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280" w:type="dxa"/>
            <w:vAlign w:val="bottom"/>
            <w:gridSpan w:val="2"/>
          </w:tcPr>
          <w:p>
            <w:pPr>
              <w:jc w:val="right"/>
              <w:ind w:right="4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174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w:t>
            </w:r>
          </w:p>
        </w:tc>
        <w:tc>
          <w:tcPr>
            <w:tcW w:w="6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Consent of Independent Registered Public Accounting Firm</w:t>
            </w:r>
          </w:p>
        </w:tc>
        <w:tc>
          <w:tcPr>
            <w:tcW w:w="0" w:type="dxa"/>
            <w:vAlign w:val="bottom"/>
          </w:tcPr>
          <w:p>
            <w:pPr>
              <w:spacing w:after="0"/>
              <w:rPr>
                <w:sz w:val="1"/>
                <w:szCs w:val="1"/>
                <w:color w:val="auto"/>
              </w:rPr>
            </w:pPr>
          </w:p>
        </w:tc>
      </w:tr>
    </w:tbl>
    <w:p>
      <w:pPr>
        <w:sectPr>
          <w:pgSz w:w="11900" w:h="16838" w:orient="portrait"/>
          <w:cols w:equalWidth="0" w:num="1">
            <w:col w:w="10219"/>
          </w:cols>
          <w:pgMar w:left="240" w:top="1297" w:right="1440" w:bottom="1440" w:gutter="0" w:footer="0" w:header="0"/>
        </w:sectPr>
      </w:pPr>
    </w:p>
    <w:bookmarkStart w:id="13" w:name="page14"/>
    <w:bookmarkEnd w:id="13"/>
    <w:p>
      <w:pPr>
        <w:ind w:left="718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 on Form S-8 (No. 333-35942) of The Scotts Company of our report dated June 18, 2004 relating to the financial statements of The Scotts Company Union Retirement Savings Plan, which appears in this Form 11-K.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24, 2004</w:t>
      </w:r>
    </w:p>
    <w:sectPr>
      <w:pgSz w:w="11900" w:h="16838" w:orient="portrait"/>
      <w:cols w:equalWidth="0" w:num="1">
        <w:col w:w="10219"/>
      </w:cols>
      <w:pgMar w:left="240" w:top="7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2019-12-20T06:22:30Z</dcterms:created>
  <dcterms:modified xsi:type="dcterms:W3CDTF">2019-12-20T06:22:30Z</dcterms:modified>
</cp:coreProperties>
</file>