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1</w:t>
      </w:r>
    </w:p>
    <w:p>
      <w:pPr>
        <w:spacing w:after="0" w:line="173" w:lineRule="exact"/>
        <w:rPr>
          <w:sz w:val="24"/>
          <w:szCs w:val="24"/>
          <w:color w:val="auto"/>
        </w:rPr>
      </w:pPr>
    </w:p>
    <w:p>
      <w:pPr>
        <w:ind w:left="5860"/>
        <w:spacing w:after="0"/>
        <w:rPr>
          <w:sz w:val="20"/>
          <w:szCs w:val="20"/>
          <w:color w:val="auto"/>
        </w:rPr>
      </w:pPr>
      <w:r>
        <w:rPr>
          <w:rFonts w:ascii="Courier New" w:cs="Courier New" w:eastAsia="Courier New" w:hAnsi="Courier New"/>
          <w:sz w:val="14"/>
          <w:szCs w:val="14"/>
          <w:color w:val="auto"/>
        </w:rPr>
        <w:t>Ortho 8K/A</w:t>
      </w:r>
    </w:p>
    <w:p>
      <w:pPr>
        <w:spacing w:after="0" w:line="340"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FORM 8-K/A</w:t>
      </w:r>
    </w:p>
    <w:p>
      <w:pPr>
        <w:spacing w:after="0" w:line="335" w:lineRule="exact"/>
        <w:rPr>
          <w:sz w:val="24"/>
          <w:szCs w:val="24"/>
          <w:color w:val="auto"/>
        </w:rPr>
      </w:pPr>
    </w:p>
    <w:p>
      <w:pPr>
        <w:ind w:left="2620"/>
        <w:spacing w:after="0"/>
        <w:rPr>
          <w:sz w:val="20"/>
          <w:szCs w:val="20"/>
          <w:color w:val="auto"/>
        </w:rPr>
      </w:pPr>
      <w:r>
        <w:rPr>
          <w:rFonts w:ascii="Courier New" w:cs="Courier New" w:eastAsia="Courier New" w:hAnsi="Courier New"/>
          <w:sz w:val="15"/>
          <w:szCs w:val="15"/>
          <w:color w:val="auto"/>
        </w:rPr>
        <w:t>CURRENT REPORT</w:t>
      </w:r>
    </w:p>
    <w:p>
      <w:pPr>
        <w:ind w:left="1560"/>
        <w:spacing w:after="0" w:line="237" w:lineRule="auto"/>
        <w:rPr>
          <w:sz w:val="20"/>
          <w:szCs w:val="20"/>
          <w:color w:val="auto"/>
        </w:rPr>
      </w:pPr>
      <w:r>
        <w:rPr>
          <w:rFonts w:ascii="Courier New" w:cs="Courier New" w:eastAsia="Courier New" w:hAnsi="Courier New"/>
          <w:sz w:val="15"/>
          <w:szCs w:val="15"/>
          <w:color w:val="auto"/>
        </w:rPr>
        <w:t>Pursuant to Section 13 or 15(d) of the</w:t>
      </w:r>
    </w:p>
    <w:p>
      <w:pPr>
        <w:ind w:left="1920"/>
        <w:spacing w:after="0" w:line="238" w:lineRule="auto"/>
        <w:rPr>
          <w:sz w:val="20"/>
          <w:szCs w:val="20"/>
          <w:color w:val="auto"/>
        </w:rPr>
      </w:pPr>
      <w:r>
        <w:rPr>
          <w:rFonts w:ascii="Courier New" w:cs="Courier New" w:eastAsia="Courier New" w:hAnsi="Courier New"/>
          <w:sz w:val="15"/>
          <w:szCs w:val="15"/>
          <w:color w:val="auto"/>
        </w:rPr>
        <w:t>Securities Exchange Act of 1934</w:t>
      </w:r>
    </w:p>
    <w:p>
      <w:pPr>
        <w:spacing w:after="0" w:line="341" w:lineRule="exact"/>
        <w:rPr>
          <w:sz w:val="24"/>
          <w:szCs w:val="24"/>
          <w:color w:val="auto"/>
        </w:rPr>
      </w:pPr>
    </w:p>
    <w:p>
      <w:pPr>
        <w:jc w:val="right"/>
        <w:ind w:left="340" w:right="3839"/>
        <w:spacing w:after="0" w:line="234" w:lineRule="auto"/>
        <w:rPr>
          <w:sz w:val="20"/>
          <w:szCs w:val="20"/>
          <w:color w:val="auto"/>
        </w:rPr>
      </w:pPr>
      <w:r>
        <w:rPr>
          <w:rFonts w:ascii="Courier New" w:cs="Courier New" w:eastAsia="Courier New" w:hAnsi="Courier New"/>
          <w:sz w:val="15"/>
          <w:szCs w:val="15"/>
          <w:color w:val="auto"/>
        </w:rPr>
        <w:t>Date of Report (Date of earliest event reported): January 21, 1999 -----------------</w:t>
      </w:r>
    </w:p>
    <w:p>
      <w:pPr>
        <w:spacing w:after="0" w:line="335"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SCOTTS COMPANY</w:t>
      </w:r>
    </w:p>
    <w:p>
      <w:pPr>
        <w:jc w:val="center"/>
        <w:ind w:right="3499"/>
        <w:spacing w:after="0" w:line="237" w:lineRule="auto"/>
        <w:rPr>
          <w:sz w:val="20"/>
          <w:szCs w:val="20"/>
          <w:color w:val="auto"/>
        </w:rPr>
      </w:pPr>
      <w:r>
        <w:rPr>
          <w:rFonts w:ascii="Courier New" w:cs="Courier New" w:eastAsia="Courier New" w:hAnsi="Courier New"/>
          <w:sz w:val="15"/>
          <w:szCs w:val="15"/>
          <w:color w:val="auto"/>
        </w:rPr>
        <w:t>------------------------------------------------------</w:t>
      </w:r>
    </w:p>
    <w:p>
      <w:pPr>
        <w:jc w:val="center"/>
        <w:ind w:right="3499"/>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9959"/>
          </w:cols>
          <w:pgMar w:left="500" w:top="22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1740"/>
        <w:spacing w:after="0"/>
        <w:rPr>
          <w:sz w:val="20"/>
          <w:szCs w:val="20"/>
          <w:color w:val="auto"/>
        </w:rPr>
      </w:pPr>
      <w:r>
        <w:rPr>
          <w:rFonts w:ascii="Courier New" w:cs="Courier New" w:eastAsia="Courier New" w:hAnsi="Courier New"/>
          <w:sz w:val="15"/>
          <w:szCs w:val="15"/>
          <w:color w:val="auto"/>
        </w:rPr>
        <w:t>OHIO</w:t>
      </w:r>
    </w:p>
    <w:p>
      <w:pPr>
        <w:spacing w:after="0" w:line="5" w:lineRule="exact"/>
        <w:rPr>
          <w:sz w:val="24"/>
          <w:szCs w:val="24"/>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(State or other jurisdiction</w:t>
      </w:r>
    </w:p>
    <w:p>
      <w:pPr>
        <w:ind w:left="1220"/>
        <w:spacing w:after="0" w:line="237" w:lineRule="auto"/>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1-11593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(Commission File</w:t>
      </w:r>
    </w:p>
    <w:p>
      <w:pPr>
        <w:ind w:left="520"/>
        <w:spacing w:after="0" w:line="237" w:lineRule="auto"/>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31-1414921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600"/>
        <w:spacing w:after="0"/>
        <w:rPr>
          <w:sz w:val="20"/>
          <w:szCs w:val="20"/>
          <w:color w:val="auto"/>
        </w:rPr>
      </w:pPr>
      <w:r>
        <w:rPr>
          <w:rFonts w:ascii="Courier New" w:cs="Courier New" w:eastAsia="Courier New" w:hAnsi="Courier New"/>
          <w:sz w:val="15"/>
          <w:szCs w:val="15"/>
          <w:color w:val="auto"/>
        </w:rPr>
        <w:t>(IRS Employer</w:t>
      </w:r>
    </w:p>
    <w:p>
      <w:pPr>
        <w:ind w:left="340"/>
        <w:spacing w:after="0" w:line="237" w:lineRule="auto"/>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3">
            <w:col w:w="3400" w:space="700"/>
            <w:col w:w="1760" w:space="520"/>
            <w:col w:w="3579"/>
          </w:cols>
          <w:pgMar w:left="500" w:top="225" w:right="1440" w:bottom="1440" w:gutter="0" w:footer="0" w:header="0"/>
          <w:type w:val="continuous"/>
        </w:sectPr>
      </w:pPr>
    </w:p>
    <w:p>
      <w:pPr>
        <w:spacing w:after="0" w:line="200" w:lineRule="exact"/>
        <w:rPr>
          <w:sz w:val="24"/>
          <w:szCs w:val="24"/>
          <w:color w:val="auto"/>
        </w:rPr>
      </w:pPr>
    </w:p>
    <w:p>
      <w:pPr>
        <w:spacing w:after="0" w:line="271" w:lineRule="exact"/>
        <w:rPr>
          <w:sz w:val="24"/>
          <w:szCs w:val="24"/>
          <w:color w:val="auto"/>
        </w:rPr>
      </w:pPr>
    </w:p>
    <w:p>
      <w:pPr>
        <w:jc w:val="center"/>
        <w:ind w:right="3159"/>
        <w:spacing w:after="0"/>
        <w:tabs>
          <w:tab w:leader="none" w:pos="320" w:val="left"/>
        </w:tabs>
        <w:rPr>
          <w:sz w:val="20"/>
          <w:szCs w:val="20"/>
          <w:color w:val="auto"/>
        </w:rPr>
      </w:pPr>
      <w:r>
        <w:rPr>
          <w:rFonts w:ascii="Courier New" w:cs="Courier New" w:eastAsia="Courier New" w:hAnsi="Courier New"/>
          <w:sz w:val="15"/>
          <w:szCs w:val="15"/>
          <w:color w:val="auto"/>
        </w:rPr>
        <w:t>14111 SCOTTSLAWN ROAD, MARYSVILLE, OHIO</w:t>
      </w:r>
      <w:r>
        <w:rPr>
          <w:sz w:val="20"/>
          <w:szCs w:val="20"/>
          <w:color w:val="auto"/>
        </w:rPr>
        <w:tab/>
      </w:r>
      <w:r>
        <w:rPr>
          <w:rFonts w:ascii="Courier New" w:cs="Courier New" w:eastAsia="Courier New" w:hAnsi="Courier New"/>
          <w:sz w:val="14"/>
          <w:szCs w:val="14"/>
          <w:color w:val="auto"/>
        </w:rPr>
        <w:t>43041</w:t>
      </w:r>
    </w:p>
    <w:p>
      <w:pPr>
        <w:spacing w:after="0" w:line="5"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jc w:val="center"/>
        <w:ind w:right="3159"/>
        <w:spacing w:after="0"/>
        <w:tabs>
          <w:tab w:leader="none" w:pos="34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9959"/>
          </w:cols>
          <w:pgMar w:left="500" w:top="225" w:right="1440" w:bottom="1440" w:gutter="0" w:footer="0" w:header="0"/>
          <w:type w:val="continuous"/>
        </w:sectPr>
      </w:pPr>
    </w:p>
    <w:p>
      <w:pPr>
        <w:spacing w:after="0" w:line="341"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Registrant's telephone number, including area code (937) 644-0011</w:t>
      </w:r>
    </w:p>
    <w:p>
      <w:pPr>
        <w:spacing w:after="0" w:line="10" w:lineRule="exact"/>
        <w:rPr>
          <w:sz w:val="24"/>
          <w:szCs w:val="24"/>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5"/>
          <w:szCs w:val="15"/>
          <w:color w:val="auto"/>
        </w:rPr>
        <w:t>NOT APPLICABLE</w:t>
      </w:r>
    </w:p>
    <w:p>
      <w:pPr>
        <w:ind w:left="520"/>
        <w:spacing w:after="0" w:line="237" w:lineRule="auto"/>
        <w:rPr>
          <w:sz w:val="20"/>
          <w:szCs w:val="20"/>
          <w:color w:val="auto"/>
        </w:rPr>
      </w:pPr>
      <w:r>
        <w:rPr>
          <w:rFonts w:ascii="Courier New" w:cs="Courier New" w:eastAsia="Courier New" w:hAnsi="Courier New"/>
          <w:sz w:val="15"/>
          <w:szCs w:val="15"/>
          <w:color w:val="auto"/>
        </w:rPr>
        <w:t>--------------------------------------------------------------</w:t>
      </w:r>
    </w:p>
    <w:p>
      <w:pPr>
        <w:ind w:left="520"/>
        <w:spacing w:after="0" w:line="238" w:lineRule="auto"/>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1820"/>
        <w:spacing w:after="0"/>
        <w:rPr>
          <w:sz w:val="20"/>
          <w:szCs w:val="20"/>
          <w:color w:val="auto"/>
        </w:rPr>
      </w:pPr>
      <w:r>
        <w:rPr>
          <w:rFonts w:ascii="Courier New" w:cs="Courier New" w:eastAsia="Courier New" w:hAnsi="Courier New"/>
          <w:sz w:val="15"/>
          <w:szCs w:val="15"/>
          <w:color w:val="auto"/>
        </w:rPr>
        <w:t>Index to Exhibits is on Page 19.</w:t>
      </w:r>
    </w:p>
    <w:p>
      <w:pPr>
        <w:sectPr>
          <w:pgSz w:w="11900" w:h="16838" w:orient="portrait"/>
          <w:cols w:equalWidth="0" w:num="1">
            <w:col w:w="9959"/>
          </w:cols>
          <w:pgMar w:left="50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ACQUISITION OR DISPOSITION OF ASSETS</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January 21, 1999, the Scotts Company (the "Registrant") acquired substantially all of the non-Roundup assets of the Solaris Division of Monsanto Company ("Monsanto") in a privately negotiated transaction for $339.9 million, of which $39.9 million was based on Monsanto's estimate of the level of normalized working capital as of the closing date (the "Ortho Acquisition"). The exact amount of normalized working capital will be determined through a post-closing audit, and the purchase price is therefor subject to adjustment. The acquired assets include the Ortho(R), Green Cross(R), White Swan(R) and Defender(R) product lines, as well as formulation facilities in Fort Madison, Iowa and Corwen, United Kingdom. Monsanto used the property, plant and equipment included among the acquired assets for the production of consumer lawn and garden pesticides, fertilizers and growing media. The Registrant does not have any present intention to devote any material amount of the acquired assets to purposes other than the production of consumer lawn and garden pesticides, fertilizers and growing media. The Ortho Acquisition was financed through the private placement by the Registrant of $330 million aggregate principal amount of its 8.625% Senior Subordinated Notes and through revolving credit borrowings under the Registrant's credit agreement dated as of December 4, 1998, which provides for aggregate borrowings of up to $1.025 billion (the "New Credit Facility"). The identity of the financial institutions which are parties to the New Credit Facility has been omitted as contemplated under Item 2(a) of Form 8-K and filed separately with the Securities and Exchange Commission.</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Asset Purchase Agreement dated as of November 11, 1998 between the Registrant and Monsanto includes various customary representations and warranties of the parties for transactions of this type and contains customary, limited carve-outs for materiality, knowledge and disclosed information. However, the indemnification provisions limit the Registrant's total exposure to assumed liabilities, disputes with the distributor of the product lines purchased from Monsanto and breaches of representation to $5 million in the aggregate.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Ortho Acquisition, the Registrant made offers to all but a very limited number of Ortho employees who work primarily in the Ortho business. The Registrant has also agreed to pay severance costs for U.S. employees based on Monsanto's severance policy. In return, Monsanto has agreed to reimburse the Registrant for half of the costs of such termination payments, up to a maximum of $5 million.</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connection with the Ortho Acquisition, the Registrant and Monsanto have entered into a supply agreement covering the supply of glyphosate to the Registrant for use in non-Roundup(R) products that contain glyphosate and that are being sold to the Registrant in the Ortho Acquisition. The agreement guarantees the Registrant a long-term supply of glyphosate at a price competitive with that obtainable in the open market both now and after glyphosate ceases to be patented in the United States.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September 30, 1998, the Registrant entered into an Exclusive Agency and Marketing Agreement with Monsanto (as amended and restated on November 11, 1998, the "Roundup Marketing Agreement"). Pursuant to the Roundup Marketing Agreement, the Registrant became Monsanto's exclusive agent for the marketing and distribution of consumer Roundup(R) products in the consumer lawn and garden market within the United States and other specified countries, including, among others, Australia, Austria, Canada, France, Germany and the United Kingdom. In addition, if Monsanto develops new products containing glyphosate, the active ingredient in Roundup(R), or other non-selective herbicides, the Registrant has certain rights to market such products as well in the consumer lawn and garden market.</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Roundup Marketing Agreement, the Registrant and Monsanto will jointly develop global consumer and trade marketing programs for Roundup(R), and the Registrant has assumed responsibility for sales support, merchandising, distribution and logistics. Monsanto will continue to own the consumer Roundup business and will provide significant oversight of its brand. In addition, Monsanto will continue to own and operate the agricultural Roundup business.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Roundup(R) is a registered trademark of Monsanto.</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Financial Statements of Business Acquired:</w:t>
      </w:r>
    </w:p>
    <w:p>
      <w:pPr>
        <w:spacing w:after="0" w:line="173" w:lineRule="exact"/>
        <w:rPr>
          <w:sz w:val="20"/>
          <w:szCs w:val="20"/>
          <w:color w:val="auto"/>
        </w:rPr>
      </w:pPr>
    </w:p>
    <w:p>
      <w:pPr>
        <w:ind w:left="700" w:right="3939"/>
        <w:spacing w:after="0" w:line="234" w:lineRule="auto"/>
        <w:rPr>
          <w:sz w:val="20"/>
          <w:szCs w:val="20"/>
          <w:color w:val="auto"/>
        </w:rPr>
      </w:pPr>
      <w:r>
        <w:rPr>
          <w:rFonts w:ascii="Courier New" w:cs="Courier New" w:eastAsia="Courier New" w:hAnsi="Courier New"/>
          <w:sz w:val="15"/>
          <w:szCs w:val="15"/>
          <w:color w:val="auto"/>
        </w:rPr>
        <w:t>Please see Index to Financial Statements and Pro Forma Financial Information at page 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Pro Forma Financial Information:</w:t>
      </w:r>
    </w:p>
    <w:p>
      <w:pPr>
        <w:spacing w:after="0" w:line="173" w:lineRule="exact"/>
        <w:rPr>
          <w:sz w:val="20"/>
          <w:szCs w:val="20"/>
          <w:color w:val="auto"/>
        </w:rPr>
      </w:pPr>
    </w:p>
    <w:p>
      <w:pPr>
        <w:ind w:left="700" w:right="3939"/>
        <w:spacing w:after="0" w:line="234" w:lineRule="auto"/>
        <w:rPr>
          <w:sz w:val="20"/>
          <w:szCs w:val="20"/>
          <w:color w:val="auto"/>
        </w:rPr>
      </w:pPr>
      <w:r>
        <w:rPr>
          <w:rFonts w:ascii="Courier New" w:cs="Courier New" w:eastAsia="Courier New" w:hAnsi="Courier New"/>
          <w:sz w:val="15"/>
          <w:szCs w:val="15"/>
          <w:color w:val="auto"/>
        </w:rPr>
        <w:t>Please see Index to Financial Statements and Pro Forma Financial Information at page 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Exhibits</w:t>
      </w:r>
    </w:p>
    <w:p>
      <w:pPr>
        <w:sectPr>
          <w:pgSz w:w="11900" w:h="16838" w:orient="portrait"/>
          <w:cols w:equalWidth="0" w:num="1">
            <w:col w:w="10239"/>
          </w:cols>
          <w:pgMar w:left="220" w:top="281" w:right="1440" w:bottom="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2">
            <w:col w:w="1400" w:space="360"/>
            <w:col w:w="8479"/>
          </w:cols>
          <w:pgMar w:left="220" w:top="281" w:right="1440" w:bottom="0" w:gutter="0" w:footer="0" w:header="0"/>
          <w:type w:val="continuous"/>
        </w:sectPr>
      </w:pPr>
    </w:p>
    <w:p>
      <w:pPr>
        <w:ind w:left="1760" w:right="3319" w:hanging="1313"/>
        <w:spacing w:after="0" w:line="256" w:lineRule="auto"/>
        <w:tabs>
          <w:tab w:leader="none" w:pos="17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 Purchase Agreement dated as of November 11, 1998, by and between The Scotts Company and Monsanto Company, a copy of which is attached to the Registrant's Form 10-K filed December 21, 1998 and incorporated by reference herein.</w:t>
      </w:r>
    </w:p>
    <w:p>
      <w:pPr>
        <w:spacing w:after="0" w:line="158" w:lineRule="exact"/>
        <w:rPr>
          <w:sz w:val="20"/>
          <w:szCs w:val="20"/>
          <w:color w:val="auto"/>
        </w:rPr>
      </w:pPr>
    </w:p>
    <w:p>
      <w:pPr>
        <w:ind w:left="360"/>
        <w:spacing w:after="0"/>
        <w:tabs>
          <w:tab w:leader="none" w:pos="174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5"/>
          <w:szCs w:val="15"/>
          <w:color w:val="auto"/>
        </w:rPr>
        <w:t>Press Release issued January 21, 1999</w:t>
      </w:r>
    </w:p>
    <w:p>
      <w:pPr>
        <w:sectPr>
          <w:pgSz w:w="11900" w:h="16838" w:orient="portrait"/>
          <w:cols w:equalWidth="0" w:num="1">
            <w:col w:w="10239"/>
          </w:cols>
          <w:pgMar w:left="220" w:top="281" w:right="1440" w:bottom="0" w:gutter="0" w:footer="0" w:header="0"/>
          <w:type w:val="continuous"/>
        </w:sectPr>
      </w:pPr>
    </w:p>
    <w:bookmarkStart w:id="2" w:name="page3"/>
    <w:bookmarkEnd w:id="2"/>
    <w:p>
      <w:pPr>
        <w:ind w:left="22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019"/>
          </w:cols>
          <w:pgMar w:left="1440" w:top="303"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600" w:val="left"/>
          <w:tab w:leader="none" w:pos="3660" w:val="left"/>
        </w:tabs>
        <w:rPr>
          <w:sz w:val="20"/>
          <w:szCs w:val="20"/>
          <w:color w:val="auto"/>
        </w:rPr>
      </w:pPr>
      <w:r>
        <w:rPr>
          <w:rFonts w:ascii="Courier New" w:cs="Courier New" w:eastAsia="Courier New" w:hAnsi="Courier New"/>
          <w:sz w:val="15"/>
          <w:szCs w:val="15"/>
          <w:color w:val="auto"/>
        </w:rPr>
        <w:t>Date:</w:t>
        <w:tab/>
        <w:t>February 5, 1999</w:t>
      </w:r>
      <w:r>
        <w:rPr>
          <w:sz w:val="20"/>
          <w:szCs w:val="20"/>
          <w:color w:val="auto"/>
        </w:rPr>
        <w:tab/>
      </w:r>
      <w:r>
        <w:rPr>
          <w:rFonts w:ascii="Courier New" w:cs="Courier New" w:eastAsia="Courier New" w:hAnsi="Courier New"/>
          <w:sz w:val="14"/>
          <w:szCs w:val="14"/>
          <w:color w:val="auto"/>
        </w:rPr>
        <w:t>By: /s/ G. ROBERT LUCAS</w:t>
      </w:r>
    </w:p>
    <w:p>
      <w:pPr>
        <w:ind w:left="3860"/>
        <w:spacing w:after="0" w:line="237" w:lineRule="auto"/>
        <w:rPr>
          <w:sz w:val="20"/>
          <w:szCs w:val="20"/>
          <w:color w:val="auto"/>
        </w:rPr>
      </w:pPr>
      <w:r>
        <w:rPr>
          <w:rFonts w:ascii="Courier New" w:cs="Courier New" w:eastAsia="Courier New" w:hAnsi="Courier New"/>
          <w:sz w:val="15"/>
          <w:szCs w:val="15"/>
          <w:color w:val="auto"/>
        </w:rPr>
        <w:t>-----------------------</w:t>
      </w:r>
    </w:p>
    <w:p>
      <w:pPr>
        <w:ind w:left="4040"/>
        <w:spacing w:after="0" w:line="238" w:lineRule="auto"/>
        <w:rPr>
          <w:sz w:val="20"/>
          <w:szCs w:val="20"/>
          <w:color w:val="auto"/>
        </w:rPr>
      </w:pPr>
      <w:r>
        <w:rPr>
          <w:rFonts w:ascii="Courier New" w:cs="Courier New" w:eastAsia="Courier New" w:hAnsi="Courier New"/>
          <w:sz w:val="15"/>
          <w:szCs w:val="15"/>
          <w:color w:val="auto"/>
        </w:rPr>
        <w:t>G. Robert Lucas</w:t>
      </w:r>
    </w:p>
    <w:p>
      <w:pPr>
        <w:ind w:left="4040"/>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INDEX TO FINANCIAL STATEMENTS</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PAGES</w:t>
            </w:r>
          </w:p>
        </w:tc>
      </w:tr>
      <w:tr>
        <w:trPr>
          <w:trHeight w:val="168"/>
        </w:trPr>
        <w:tc>
          <w:tcPr>
            <w:tcW w:w="53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Item 7(a)  Financial Statements of Business Acquired:</w:t>
            </w:r>
          </w:p>
        </w:tc>
        <w:tc>
          <w:tcPr>
            <w:tcW w:w="52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14"/>
                <w:szCs w:val="1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Independent Auditors' Report................................</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Ortho and Certain Other Brands of The Solaris Group</w:t>
            </w:r>
          </w:p>
        </w:tc>
        <w:tc>
          <w:tcPr>
            <w:tcW w:w="520" w:type="dxa"/>
            <w:vAlign w:val="bottom"/>
          </w:tcPr>
          <w:p>
            <w:pPr>
              <w:spacing w:after="0"/>
              <w:rPr>
                <w:sz w:val="24"/>
                <w:szCs w:val="2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Statements of Assets to Be Sold........................</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Ortho and Certain Other Brands of The Solaris Group</w:t>
            </w:r>
          </w:p>
        </w:tc>
        <w:tc>
          <w:tcPr>
            <w:tcW w:w="520" w:type="dxa"/>
            <w:vAlign w:val="bottom"/>
          </w:tcPr>
          <w:p>
            <w:pPr>
              <w:spacing w:after="0"/>
              <w:rPr>
                <w:sz w:val="24"/>
                <w:szCs w:val="2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Statements of Net Sales, Cost of Sales and Direct</w:t>
            </w:r>
          </w:p>
        </w:tc>
        <w:tc>
          <w:tcPr>
            <w:tcW w:w="52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Operating Expenses.....................................</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Notes to Financial Statements...............................</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Item 7(b)  Pro Forma Financial Information:</w:t>
            </w:r>
          </w:p>
        </w:tc>
        <w:tc>
          <w:tcPr>
            <w:tcW w:w="52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14"/>
                <w:szCs w:val="1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The Scotts Company, Unaudited Pro Forma Combined</w:t>
            </w:r>
          </w:p>
        </w:tc>
        <w:tc>
          <w:tcPr>
            <w:tcW w:w="520" w:type="dxa"/>
            <w:vAlign w:val="bottom"/>
          </w:tcPr>
          <w:p>
            <w:pPr>
              <w:spacing w:after="0"/>
              <w:rPr>
                <w:sz w:val="24"/>
                <w:szCs w:val="2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Statement of Income....................................</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The Scotts Company, Unaudited Pro Forma Combined</w:t>
            </w:r>
          </w:p>
        </w:tc>
        <w:tc>
          <w:tcPr>
            <w:tcW w:w="520" w:type="dxa"/>
            <w:vAlign w:val="bottom"/>
          </w:tcPr>
          <w:p>
            <w:pPr>
              <w:spacing w:after="0"/>
              <w:rPr>
                <w:sz w:val="24"/>
                <w:szCs w:val="2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Balance Sheet..........................................</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w:t>
            </w:r>
          </w:p>
        </w:tc>
      </w:tr>
      <w:tr>
        <w:trPr>
          <w:trHeight w:val="505"/>
        </w:trPr>
        <w:tc>
          <w:tcPr>
            <w:tcW w:w="5340" w:type="dxa"/>
            <w:vAlign w:val="bottom"/>
          </w:tcPr>
          <w:p>
            <w:pPr>
              <w:ind w:left="3420"/>
              <w:spacing w:after="0"/>
              <w:rPr>
                <w:sz w:val="20"/>
                <w:szCs w:val="20"/>
                <w:color w:val="auto"/>
              </w:rPr>
            </w:pPr>
            <w:r>
              <w:rPr>
                <w:rFonts w:ascii="Courier New" w:cs="Courier New" w:eastAsia="Courier New" w:hAnsi="Courier New"/>
                <w:sz w:val="15"/>
                <w:szCs w:val="15"/>
                <w:color w:val="auto"/>
              </w:rPr>
              <w:t>3</w:t>
            </w:r>
          </w:p>
        </w:tc>
        <w:tc>
          <w:tcPr>
            <w:tcW w:w="5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 Monsanto Company: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statement of net assets to be sold of Ortho and Certain Other Brands (as described in Note 1) of The Solaris Group (a division of Monsanto Company) as of December 31, 1997, and the related statement of net sales, cost of sales and direct operating expenses for the year then ended. These financial statements are the responsibility of Monsanto Company's management. Our responsibility is to express an opinion on these financial statements based on our audit.</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presentation of the financial statements. We believe that our audit provides a reasonable basis for our opinion.</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accompanying financial statements were prepared to present the net assets, net sales, cost of sales, and direct operating expenses of the brands of The Solaris Group to be sold to The Scotts Company pursuant to the Asset Purchase Agreement described in Note 1. Such financial statements are not intended to be a complete financial statement presentation of the brands to be sold and may not be indicative of conditions that would have existed or results that would have occurred had the Brands operated as an unaffiliated entity.</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net assets to be sold of Ortho and Certain Other Brands (pursuant to the Asset Purchase Agreement described in Note 1) of The Solaris Group (a division of Monsanto Company) as of December 31, 1997, and the net sales, cost of sales and direct operating expenses for the year then ended, in conformity with generally accepted accounting principles.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Columbus, Ohio</w:t>
      </w:r>
    </w:p>
    <w:p>
      <w:pPr>
        <w:spacing w:after="0" w:line="238" w:lineRule="auto"/>
        <w:rPr>
          <w:sz w:val="20"/>
          <w:szCs w:val="20"/>
          <w:color w:val="auto"/>
        </w:rPr>
      </w:pPr>
      <w:r>
        <w:rPr>
          <w:rFonts w:ascii="Courier New" w:cs="Courier New" w:eastAsia="Courier New" w:hAnsi="Courier New"/>
          <w:sz w:val="15"/>
          <w:szCs w:val="15"/>
          <w:color w:val="auto"/>
        </w:rPr>
        <w:t>December 8, 1998</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FINANCIAL STATEMENTS OF BUSINESS ACQUIRED</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ORTHO AND CERTAIN OTHER BRANDS OF THE SOLARIS GROUP</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STATEMENTS OF ASSETS TO BE SOLD (NOTE 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5340" w:type="dxa"/>
            <w:vAlign w:val="bottom"/>
          </w:tcPr>
          <w:p>
            <w:pPr>
              <w:spacing w:after="0"/>
              <w:rPr>
                <w:sz w:val="14"/>
                <w:szCs w:val="14"/>
                <w:color w:val="auto"/>
              </w:rPr>
            </w:pPr>
          </w:p>
        </w:tc>
        <w:tc>
          <w:tcPr>
            <w:tcW w:w="2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 net of allowances of $3.9 at December</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 1997 and $1.2 at September 30, 1998................</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$ 57.3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$ 42.3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Intangible assets.........................................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179.2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166.7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351.9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311.8</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28.1</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34.2</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ASSETS TO BE SOLD.......................................</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$301.6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$277.6</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ORTHO AND CERTAIN OTHER BRANDS OF THE SOLARIS GROUP</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STATEMENTS OF NET SALES, COST OF SALES</w:t>
      </w:r>
    </w:p>
    <w:p>
      <w:pPr>
        <w:ind w:left="1840"/>
        <w:spacing w:after="0" w:line="237" w:lineRule="auto"/>
        <w:rPr>
          <w:sz w:val="20"/>
          <w:szCs w:val="20"/>
          <w:color w:val="auto"/>
        </w:rPr>
      </w:pPr>
      <w:r>
        <w:rPr>
          <w:rFonts w:ascii="Courier New" w:cs="Courier New" w:eastAsia="Courier New" w:hAnsi="Courier New"/>
          <w:sz w:val="15"/>
          <w:szCs w:val="15"/>
          <w:color w:val="auto"/>
        </w:rPr>
        <w:t>AND DIRECT OPERATING EXPENSES (NOTE 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NINE-MONTH</w:t>
            </w:r>
          </w:p>
        </w:tc>
      </w:tr>
      <w:tr>
        <w:trPr>
          <w:trHeight w:val="168"/>
        </w:trPr>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PERIODS ENDED</w:t>
            </w:r>
          </w:p>
        </w:tc>
      </w:tr>
      <w:tr>
        <w:trPr>
          <w:trHeight w:val="168"/>
        </w:trPr>
        <w:tc>
          <w:tcPr>
            <w:tcW w:w="518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YEAR ENDED</w:t>
            </w:r>
          </w:p>
        </w:tc>
        <w:tc>
          <w:tcPr>
            <w:tcW w:w="15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5180" w:type="dxa"/>
            <w:vAlign w:val="bottom"/>
          </w:tcPr>
          <w:p>
            <w:pPr>
              <w:spacing w:after="0"/>
              <w:rPr>
                <w:sz w:val="14"/>
                <w:szCs w:val="14"/>
                <w:color w:val="auto"/>
              </w:rPr>
            </w:pP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1997</w:t>
            </w:r>
          </w:p>
        </w:tc>
        <w:tc>
          <w:tcPr>
            <w:tcW w:w="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180" w:type="dxa"/>
            <w:vAlign w:val="bottom"/>
          </w:tcPr>
          <w:p>
            <w:pPr>
              <w:spacing w:after="0"/>
              <w:rPr>
                <w:sz w:val="14"/>
                <w:szCs w:val="14"/>
                <w:color w:val="auto"/>
              </w:rPr>
            </w:pP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60" w:type="dxa"/>
            <w:vAlign w:val="bottom"/>
            <w:gridSpan w:val="3"/>
          </w:tcPr>
          <w:p>
            <w:pPr>
              <w:jc w:val="right"/>
              <w:ind w:right="347"/>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336"/>
        </w:trPr>
        <w:tc>
          <w:tcPr>
            <w:tcW w:w="51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NET SALES.................................................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208.3</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$182.0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$185.1</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COST OF GOODS SOLD........................................</w:t>
            </w:r>
          </w:p>
        </w:tc>
        <w:tc>
          <w:tcPr>
            <w:tcW w:w="4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140.1</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118.3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107.0</w:t>
            </w:r>
          </w:p>
        </w:tc>
      </w:tr>
      <w:tr>
        <w:trPr>
          <w:trHeight w:val="168"/>
        </w:trPr>
        <w:tc>
          <w:tcPr>
            <w:tcW w:w="5180" w:type="dxa"/>
            <w:vAlign w:val="bottom"/>
          </w:tcPr>
          <w:p>
            <w:pPr>
              <w:spacing w:after="0"/>
              <w:rPr>
                <w:sz w:val="14"/>
                <w:szCs w:val="14"/>
                <w:color w:val="auto"/>
              </w:rPr>
            </w:pPr>
          </w:p>
        </w:tc>
        <w:tc>
          <w:tcPr>
            <w:tcW w:w="12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GROSS PROFIT..............................................</w:t>
            </w:r>
          </w:p>
        </w:tc>
        <w:tc>
          <w:tcPr>
            <w:tcW w:w="4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68.2</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78.1</w:t>
            </w:r>
          </w:p>
        </w:tc>
      </w:tr>
      <w:tr>
        <w:trPr>
          <w:trHeight w:val="168"/>
        </w:trPr>
        <w:tc>
          <w:tcPr>
            <w:tcW w:w="5180" w:type="dxa"/>
            <w:vAlign w:val="bottom"/>
          </w:tcPr>
          <w:p>
            <w:pPr>
              <w:spacing w:after="0"/>
              <w:rPr>
                <w:sz w:val="14"/>
                <w:szCs w:val="14"/>
                <w:color w:val="auto"/>
              </w:rPr>
            </w:pPr>
          </w:p>
        </w:tc>
        <w:tc>
          <w:tcPr>
            <w:tcW w:w="12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 OPERATING EXPENSES: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Marketing expenses......................................</w:t>
            </w:r>
          </w:p>
        </w:tc>
        <w:tc>
          <w:tcPr>
            <w:tcW w:w="4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41.7</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4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13.1</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Technical expenses......................................</w:t>
            </w:r>
          </w:p>
        </w:tc>
        <w:tc>
          <w:tcPr>
            <w:tcW w:w="4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 of intangible assets.......................</w:t>
            </w:r>
          </w:p>
        </w:tc>
        <w:tc>
          <w:tcPr>
            <w:tcW w:w="4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13.3</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Restructuring expenses..................................</w:t>
            </w:r>
          </w:p>
        </w:tc>
        <w:tc>
          <w:tcPr>
            <w:tcW w:w="4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w:t>
            </w:r>
          </w:p>
        </w:tc>
        <w:tc>
          <w:tcPr>
            <w:tcW w:w="70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12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direct operating expenses.................</w:t>
            </w:r>
          </w:p>
        </w:tc>
        <w:tc>
          <w:tcPr>
            <w:tcW w:w="4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74.2</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w:t>
            </w:r>
          </w:p>
        </w:tc>
      </w:tr>
      <w:tr>
        <w:trPr>
          <w:trHeight w:val="168"/>
        </w:trPr>
        <w:tc>
          <w:tcPr>
            <w:tcW w:w="5180" w:type="dxa"/>
            <w:vAlign w:val="bottom"/>
          </w:tcPr>
          <w:p>
            <w:pPr>
              <w:spacing w:after="0"/>
              <w:rPr>
                <w:sz w:val="14"/>
                <w:szCs w:val="14"/>
                <w:color w:val="auto"/>
              </w:rPr>
            </w:pPr>
          </w:p>
        </w:tc>
        <w:tc>
          <w:tcPr>
            <w:tcW w:w="12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(DEFICIENCY) OF NET SALES OVER COST OF SALES AND</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DIRECT OPERATING EXPENSES...............................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$ 17.3</w:t>
            </w:r>
          </w:p>
        </w:tc>
      </w:tr>
      <w:tr>
        <w:trPr>
          <w:trHeight w:val="168"/>
        </w:trPr>
        <w:tc>
          <w:tcPr>
            <w:tcW w:w="5180" w:type="dxa"/>
            <w:vAlign w:val="bottom"/>
          </w:tcPr>
          <w:p>
            <w:pPr>
              <w:spacing w:after="0"/>
              <w:rPr>
                <w:sz w:val="14"/>
                <w:szCs w:val="14"/>
                <w:color w:val="auto"/>
              </w:rPr>
            </w:pPr>
          </w:p>
        </w:tc>
        <w:tc>
          <w:tcPr>
            <w:tcW w:w="12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8</w:t>
      </w:r>
    </w:p>
    <w:p>
      <w:pPr>
        <w:jc w:val="center"/>
        <w:ind w:right="3319"/>
        <w:spacing w:after="0" w:line="237" w:lineRule="auto"/>
        <w:rPr>
          <w:sz w:val="20"/>
          <w:szCs w:val="20"/>
          <w:color w:val="auto"/>
        </w:rPr>
      </w:pPr>
      <w:r>
        <w:rPr>
          <w:rFonts w:ascii="Courier New" w:cs="Courier New" w:eastAsia="Courier New" w:hAnsi="Courier New"/>
          <w:sz w:val="15"/>
          <w:szCs w:val="15"/>
          <w:color w:val="auto"/>
        </w:rPr>
        <w:t>ORTHO AND CERTAIN OTHER BRANDS OF THE SOLARIS GROUP</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(INFORMATION AS OF SEPTEMBER 30, 1998</w:t>
      </w:r>
    </w:p>
    <w:p>
      <w:pPr>
        <w:jc w:val="center"/>
        <w:ind w:right="3319"/>
        <w:spacing w:after="0" w:line="238" w:lineRule="auto"/>
        <w:rPr>
          <w:sz w:val="20"/>
          <w:szCs w:val="20"/>
          <w:color w:val="auto"/>
        </w:rPr>
      </w:pPr>
      <w:r>
        <w:rPr>
          <w:rFonts w:ascii="Courier New" w:cs="Courier New" w:eastAsia="Courier New" w:hAnsi="Courier New"/>
          <w:sz w:val="15"/>
          <w:szCs w:val="15"/>
          <w:color w:val="auto"/>
        </w:rPr>
        <w:t>AND FOR THE NINE MONTHS ENDED SEPTEMBER 30, 1997 AND 1998 IS UNAUDITED)</w:t>
      </w:r>
    </w:p>
    <w:p>
      <w:pPr>
        <w:spacing w:after="0" w:line="167" w:lineRule="exact"/>
        <w:rPr>
          <w:sz w:val="20"/>
          <w:szCs w:val="20"/>
          <w:color w:val="auto"/>
        </w:rPr>
      </w:pPr>
    </w:p>
    <w:p>
      <w:pPr>
        <w:ind w:left="360" w:hanging="350"/>
        <w:spacing w:after="0"/>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AND BASIS OF PRESENTATION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Solaris Group ("Solaris"), a division of Monsanto Company and Subsidiaries ("Monsanto"), is a leading manufacturer of brand name consumer products for lawn and garden care.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accompanying statements have been prepared for the purpose of presenting the net assets of the brands of The Solaris Group to be sold pursuant to the Asset Purchase Agreement (the "Agreement") dated as of November 11, 1998 between Monsanto and The Scotts Company (the "Buyer") and the net sales, cost of sales and direct operating expenses as of the dates and for the periods indicated. The brands and related businesses to be sold are referred to as the "Brands". The transaction is expected to be consummated on or before March 31, 1999 ("Closing Date"), subject to certain required consents, approvals and filings as defined in the Agreement. Pursuant to the Agreement, Monsanto will sell to the Buyer the assets pertaining to the Brands including inventories and other assets as specified in the Agreement and the Buyer will assume certain operating liabilities, in exchange for $300 million, subject to adjustment based on working capital as of the closing date and as defined in the Agreement.</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net assets of the Brands as defined in the Agreement consist primarily of the assets and liabilities used to develop, manufacture, sell and market non-glyphosate weed control products (except for certain glyphosate-containing weed control products as defined). Insect control products, garden seeds, decorative garden items, fertilizers and applicators for use by consumers for lawn and garden care and to participate in a joint venture to market a series of gardening and home improvements books. The Brands include Ortho, Weed-B-Gon, Rose Pride, Home Defense, Green Cross, Phostrogen, Defender and certain other brands. The Brands' operations are in the United States (representing approximately 90% of operations) and in certain international locations (Canada, Europe, Asia and Latin America).</w:t>
      </w:r>
    </w:p>
    <w:p>
      <w:pPr>
        <w:spacing w:after="0" w:line="18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Brands business has been managed as part of the operations of the Solaris Group and, historically, separate Brands financial statements have not been prepared. The accompanying statements are derived from the historical accounting records of Solaris as described herein.</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 statement of cash flows is not presented because the Brands essentially have no cash flow. With respect to cash flows, purchases of inventory, along with payroll, capital and other expenditures are funded by Monsanto. Sales are collected by Monsanto, accordingly, the Brands maintain only a minimal petty cash balance.</w:t>
      </w:r>
    </w:p>
    <w:p>
      <w:pPr>
        <w:spacing w:after="0" w:line="34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Net sales represent sales of the Brands products, less estimated provisions for discounts and allowances. Expenses include allocations of operating expenses directly attributable to the Brands, or otherwise related to Solaris. Such allocations of operating costs are based on the Agreement. These allocation methods are based on relative sales or other related activity, which management has agreed upon as a reasonable allocation method. Following are allocated operating expenses for the year ended December 31, 1997 and the nine-month periods ended September 30, 1997 and 1998: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Nine-Month</w:t>
            </w:r>
          </w:p>
        </w:tc>
      </w:tr>
      <w:tr>
        <w:trPr>
          <w:trHeight w:val="168"/>
        </w:trPr>
        <w:tc>
          <w:tcPr>
            <w:tcW w:w="2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Periods Ended</w:t>
            </w:r>
          </w:p>
        </w:tc>
      </w:tr>
      <w:tr>
        <w:trPr>
          <w:trHeight w:val="168"/>
        </w:trPr>
        <w:tc>
          <w:tcPr>
            <w:tcW w:w="2900" w:type="dxa"/>
            <w:vAlign w:val="bottom"/>
          </w:tcPr>
          <w:p>
            <w:pPr>
              <w:spacing w:after="0"/>
              <w:rPr>
                <w:sz w:val="14"/>
                <w:szCs w:val="14"/>
                <w:color w:val="auto"/>
              </w:rPr>
            </w:pPr>
          </w:p>
        </w:tc>
        <w:tc>
          <w:tcPr>
            <w:tcW w:w="1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Year ended</w:t>
            </w:r>
          </w:p>
        </w:tc>
        <w:tc>
          <w:tcPr>
            <w:tcW w:w="1060" w:type="dxa"/>
            <w:vAlign w:val="bottom"/>
          </w:tcPr>
          <w:p>
            <w:pPr>
              <w:spacing w:after="0"/>
              <w:rPr>
                <w:sz w:val="14"/>
                <w:szCs w:val="14"/>
                <w:color w:val="auto"/>
              </w:rPr>
            </w:pP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2900" w:type="dxa"/>
            <w:vAlign w:val="bottom"/>
          </w:tcPr>
          <w:p>
            <w:pPr>
              <w:spacing w:after="0"/>
              <w:rPr>
                <w:sz w:val="14"/>
                <w:szCs w:val="14"/>
                <w:color w:val="auto"/>
              </w:rPr>
            </w:pPr>
          </w:p>
        </w:tc>
        <w:tc>
          <w:tcPr>
            <w:tcW w:w="1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December 31,</w:t>
            </w:r>
          </w:p>
        </w:tc>
        <w:tc>
          <w:tcPr>
            <w:tcW w:w="2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90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900" w:type="dxa"/>
            <w:vAlign w:val="bottom"/>
          </w:tcPr>
          <w:p>
            <w:pPr>
              <w:spacing w:after="0"/>
              <w:rPr>
                <w:sz w:val="14"/>
                <w:szCs w:val="14"/>
                <w:color w:val="auto"/>
              </w:rPr>
            </w:pPr>
          </w:p>
        </w:tc>
        <w:tc>
          <w:tcPr>
            <w:tcW w:w="4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900" w:type="dxa"/>
            <w:vAlign w:val="bottom"/>
          </w:tcPr>
          <w:p>
            <w:pPr>
              <w:spacing w:after="0"/>
              <w:rPr>
                <w:sz w:val="24"/>
                <w:szCs w:val="24"/>
                <w:color w:val="auto"/>
              </w:rPr>
            </w:pPr>
          </w:p>
        </w:tc>
        <w:tc>
          <w:tcPr>
            <w:tcW w:w="4100" w:type="dxa"/>
            <w:vAlign w:val="bottom"/>
            <w:gridSpan w:val="3"/>
          </w:tcPr>
          <w:p>
            <w:pPr>
              <w:jc w:val="right"/>
              <w:ind w:right="967"/>
              <w:spacing w:after="0"/>
              <w:rPr>
                <w:sz w:val="20"/>
                <w:szCs w:val="20"/>
                <w:color w:val="auto"/>
              </w:rPr>
            </w:pPr>
            <w:r>
              <w:rPr>
                <w:rFonts w:ascii="Courier New" w:cs="Courier New" w:eastAsia="Courier New" w:hAnsi="Courier New"/>
                <w:sz w:val="15"/>
                <w:szCs w:val="15"/>
                <w:color w:val="auto"/>
              </w:rPr>
              <w:t>(Dollars in millions)</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expenses</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41.7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34.8</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33.3</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13.1</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Technical expenses</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Amortization of intangible assets</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expenses</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c>
          <w:tcPr>
            <w:tcW w:w="15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Costs excluded in the accompanying financial statements consist of general costs incurred at Monsanto's corporate headquarters (treasury, corporate governance and overhead), interest and income taxes, as Monsanto's systems and procedures do not provide sufficient information to develop a reasonable cost allocation. Accounts receivable, prepaid expenses, account payable and accrued liabilities have been allocated to the Brands' statements of net assets to be sold based on the Brands percentage (specified in the Agreement) of the applicable Solaris balance. Inventories and intangible assets related to the Brands have been included on a specific identification basis. Property, plant and equipment to be sold pursuant to the terms of the Agreement are also included in the Brands' statement of net assets to be sold. Accordingly, the accompanying financial statements do not represent a full financial statement presentation of the Brands, and do not purport to be indicative of the operating results of the Brands had such business operated on a stand-alone basis. In addition, the historical operating results may not be indicative of the results after acquisition by the Buyer.</w:t>
      </w:r>
    </w:p>
    <w:p>
      <w:pPr>
        <w:spacing w:after="0" w:line="33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2.</w:t>
        <w:tab/>
        <w:t>SIGNIFICANT ACCOUNTING POLICIES</w:t>
      </w:r>
    </w:p>
    <w:p>
      <w:pPr>
        <w:sectPr>
          <w:pgSz w:w="11900" w:h="16838" w:orient="portrait"/>
          <w:cols w:equalWidth="0" w:num="1">
            <w:col w:w="10239"/>
          </w:cols>
          <w:pgMar w:left="220" w:top="281" w:right="1440" w:bottom="0" w:gutter="0" w:footer="0" w:header="0"/>
        </w:sectPr>
      </w:pPr>
    </w:p>
    <w:bookmarkStart w:id="9" w:name="page10"/>
    <w:bookmarkEnd w:id="9"/>
    <w:p>
      <w:pPr>
        <w:ind w:right="3399"/>
        <w:spacing w:after="0" w:line="255" w:lineRule="auto"/>
        <w:rPr>
          <w:sz w:val="20"/>
          <w:szCs w:val="20"/>
          <w:color w:val="auto"/>
        </w:rPr>
      </w:pPr>
      <w:r>
        <w:rPr>
          <w:rFonts w:ascii="Courier New" w:cs="Courier New" w:eastAsia="Courier New" w:hAnsi="Courier New"/>
          <w:sz w:val="14"/>
          <w:szCs w:val="14"/>
          <w:color w:val="auto"/>
        </w:rPr>
        <w:t>USE OF ESTIMATES --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that affect revenues and expenses during the periods reported. Actual results may differ from the estimates. Significant estimates include amounts due to and from Central Garden and Pet Company (Central Garden -- See Note 3), allowance for doubtful accounts, inventory reserves, impairment of assets, payables, and allocations of costs, assets and certain liabilities.</w:t>
      </w:r>
    </w:p>
    <w:p>
      <w:pPr>
        <w:spacing w:after="0" w:line="16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CONCENTRATION OF CREDIT RISK -- Financial instruments that potentially subject the Brands to concentrations of credit risk consist primarily of accounts receivable. A significant portion of accounts receivable is due from Central Garden (Note 3). Other accounts receivable are due principally from major retailers, including mass merchandisers, home centers, warehouse clubs and national and regional chains. Ongoing credit evaluation of customer financial condition is performed and the amount of credit is limited when deemed necessary.</w:t>
      </w:r>
    </w:p>
    <w:p>
      <w:pPr>
        <w:spacing w:after="0" w:line="34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REVENUE RECOGNITION -- For shipments under the Central Garden Alliance Agreement (Note 3), sales and accounts receivable are recognized when product is shipped from a manufacturing location or from the safety stock warehouse to either a direct account, Central Garden branch, agent, or sub-distributor, and inventory is relieved accordingly. Other sales and accounts receivable are recognized when product is shipped from a manufacturing location. Related distributor program costs and expenses are recognized at the time revenue is recognized. Provisions for estimated returns and allowances are recorded at the time of shipment.</w:t>
      </w:r>
    </w:p>
    <w:p>
      <w:pPr>
        <w:spacing w:after="0" w:line="32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14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PROPERTY, PLANT AND EQUIPMENT -- is recorded at cost. The cost of plant and equipment is depreciated over average periods of 20 years for buildings and improvements, 5 to 10 years for machinery and equipment, and 3 to 15 years for office furnishings, fixtures, vehicles, and land improvements utilizing the straight-line method.</w:t>
      </w:r>
    </w:p>
    <w:p>
      <w:pPr>
        <w:spacing w:after="0" w:line="342"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INVENTORY VALUATION -- Inventories are stated at cost or market, whichever is less. Standard cost, which approximates actual cost, is used to value finished goods inventory. Standard cost includes direct labor and raw materials, and manufacturing overhead based on budgeted capacity. Raw materials are valued at the lesser of cost or replacement cost. The cost of certain inventories (primarily inventory maintained in the United States) is determined using the last-in, first-out ("LIFO") method, which generally reflects the effects of changing prices on cost of goods sold sooner than other inventory cost methods. Approximately, 89.5% and 90.3% of the inventory balance is determined using the LIFO method at December 31, 1997 and September 30, 1998, respectively. The cost of other inventory generally is determined by using the first-in, first-out ("FIFO") method.</w:t>
      </w:r>
    </w:p>
    <w:p>
      <w:pPr>
        <w:spacing w:after="0" w:line="200" w:lineRule="exact"/>
        <w:rPr>
          <w:sz w:val="20"/>
          <w:szCs w:val="20"/>
          <w:color w:val="auto"/>
        </w:rPr>
      </w:pPr>
    </w:p>
    <w:p>
      <w:pPr>
        <w:spacing w:after="0" w:line="30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Brands inventory cost data is combined with similar data from other Solaris products for purposes of applying the LIFO method of accounting. Brands has been allocated a pro rata portion of the LIFO reserve based on the relative inventory levels of Solaris.</w:t>
      </w:r>
    </w:p>
    <w:p>
      <w:pPr>
        <w:spacing w:after="0" w:line="34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INTANGIBLE ASSETS -- Goodwill, which arose from Monsanto's acquisition of the Ortho product line in 1993, is included in the accompanying statements and represents approximately 89% of the Brands' goodwill balance as of September 30, 1998. Such goodwill is being amortized over 20 years. Goodwill arising from other acquisitions and identifiable intangible assets such as trademarks and non-competition agreements is amortized over the estimated periods of benefit (3 to 20 years).</w:t>
      </w:r>
    </w:p>
    <w:p>
      <w:pPr>
        <w:spacing w:after="0" w:line="34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LONG-LIVED ASSETS -- Impairment tests of long-lived assets are made when conditions indicate a possible loss. Such impairment tests are based on a comparison of undiscounted cash flows to the recorded value of the asset. If an impairment is indicated, the asset value is written down to its net realizable value, using an appropriate discount rate. During 1998, management determined goodwill related to the White Swan acquisition had been impaired as the undiscounted expected future cash flows were less than the carrying value of the related asset. Such write-down related to assets to be held and used and is included in amortization of intangibles on the statement of sales, cost of sales and direct expenses.</w:t>
      </w:r>
    </w:p>
    <w:p>
      <w:pPr>
        <w:spacing w:after="0" w:line="200" w:lineRule="exact"/>
        <w:rPr>
          <w:sz w:val="20"/>
          <w:szCs w:val="20"/>
          <w:color w:val="auto"/>
        </w:rPr>
      </w:pPr>
    </w:p>
    <w:p>
      <w:pPr>
        <w:spacing w:after="0" w:line="31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ADVERTISING -- Advertising costs are expensed as incurred. Advertising expense for the year ended December 31, 1997 and the nine months ended September 30, 1998 and 1997 was $8,110, $5,122 and $8,380, respectively.</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CURRENCY TRANSLATION -- Assets and liabilities of foreign operations are translated into U.S. dollars at current exchange rates as of the dates of the statements of net assets to be sold indicated. Sales, cost of sales, and direct operating expenses are translated into U.S. dollars at average exchange rates for the applicable periods as indicated. Transaction gains and losses were not significant for the applicable periods as indicated.</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TECHNICAL EXPENSES -- Technical expenses include product registration fees, tonnage taxes, direct regulatory costs, personnel and related support and product development costs. Product development costs totaled $2.2 million, $ 1.5 million, and $1.2 million for the year ended December 31, 1997, and the nine-month periods ended September 30, 1997 and 1998,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TRANSACTIONS WITH CENTRAL GARDEN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1995, Solaris entered into an exclusive agency and distributor agreement with Central Garden (the "Alliance Agreement") which expires September 30, 1999. On June 26, 1998, Solaris notified Central Garden of its intention not to extend the Alliance Agreement beyond that date. Solaris distributed approximately 74, 74 and 70 percent of total sales volume of Brands products through Central Garden for the year ended December 31, 1997, and the nine-month periods ended September 30, 1997 and 1998, respectively. Total fees to Central Garden for distributor program costs and expenses, which include costs for warehousing, sales representatives, merchandising, account management, and other related costs allocated to Brands were $28.7 million, $24.8 million and $23.5 million during the year ended December 31, 1997 and the nine-month periods ended September 30, 1997 and 1998, respectively. Payables to</w:t>
      </w:r>
    </w:p>
    <w:p>
      <w:pPr>
        <w:sectPr>
          <w:pgSz w:w="11900" w:h="16838" w:orient="portrait"/>
          <w:cols w:equalWidth="0" w:num="1">
            <w:col w:w="10239"/>
          </w:cols>
          <w:pgMar w:left="220" w:top="281" w:right="1440" w:bottom="1440" w:gutter="0" w:footer="0" w:header="0"/>
        </w:sectPr>
      </w:pP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Central Garden associated with the distributor program of $2.9 million and $5.2 million at December 31, 1997 and September 30, 1998, respectively, are included in accrued liabilities.</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Net accounts receivable from Central Garden were $30.9 million at December 31, 1997 and $23.1 million at September 30, 1998.</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of September 30, 1998, Central Garden informed Solaris of approximately $10 million of items under dispute, which generally represent amounts alleged by Central Garden as due from Solaris or a reduction in amounts claimed by Solaris as due from Central Garden. The ultimate resolution of such disputed amounts cannot presently be determined. It is reasonably possible that such resolution will result in additional material expenses to be recognized in the operating results of the Brands in the near-term. Under the Agreement, Monsanto has agreed to indemnify Scotts for any subsequent adverse adjustments in excess of $2 million to the recorded Brand receivable/payable balances with Central Garden as of the Closing 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ACQUISITIONS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Solaris acquired the assets of Phostrogen, Limited and Defender Products Garden PTY, Limited, on January 1, 1997 and April 5, 1997, respectively. The assets and operations resulting from these acquisitions are included in these financial statements from their respective dates of acquisition. The acquisitions were accounted for using the purchase method, and the respective assets and liabilities have been recorded at their estimated fair values at the dates of acquisition. The excess of each purchase price over the fair value of identifiable net assets acquired has been recorded as goodwill and is being amortized on a straight-line basis over 15 years. The purchase price allocations, as of the acquisition dates, are summarized as follows (in millions):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PHOSTROGEN</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DEFENDER</w:t>
            </w:r>
          </w:p>
        </w:tc>
      </w:tr>
      <w:tr>
        <w:trPr>
          <w:trHeight w:val="168"/>
        </w:trPr>
        <w:tc>
          <w:tcPr>
            <w:tcW w:w="474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7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Goodwill.............................................</w:t>
            </w: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spacing w:after="0"/>
              <w:rPr>
                <w:sz w:val="24"/>
                <w:szCs w:val="24"/>
                <w:color w:val="auto"/>
              </w:rPr>
            </w:pP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assets.........................................</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w:t>
            </w:r>
          </w:p>
        </w:tc>
        <w:tc>
          <w:tcPr>
            <w:tcW w:w="8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$2</w:t>
            </w:r>
          </w:p>
        </w:tc>
      </w:tr>
      <w:tr>
        <w:trPr>
          <w:trHeight w:val="168"/>
        </w:trPr>
        <w:tc>
          <w:tcPr>
            <w:tcW w:w="47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Purchase price.....................................</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w:t>
            </w:r>
          </w:p>
        </w:tc>
        <w:tc>
          <w:tcPr>
            <w:tcW w:w="8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$2</w:t>
            </w:r>
          </w:p>
        </w:tc>
      </w:tr>
      <w:tr>
        <w:trPr>
          <w:trHeight w:val="168"/>
        </w:trPr>
        <w:tc>
          <w:tcPr>
            <w:tcW w:w="474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effects of such acquisitions were not significant for the periods presented in the accompanying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INVENTORY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consist of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3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SEPTEMBER 30,</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(UNAUDITED)</w:t>
            </w:r>
          </w:p>
        </w:tc>
      </w:tr>
      <w:tr>
        <w:trPr>
          <w:trHeight w:val="336"/>
        </w:trPr>
        <w:tc>
          <w:tcPr>
            <w:tcW w:w="42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Finished goods.................................</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$63.4</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$56.8</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Packaging supplies.............................</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9.5</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Raw materials..................................</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17.9</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Inventory, at FIFO cost........................</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90.7</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73.9</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Excess of FIFO over LIFO.......................</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$85.6</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$68.8</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Inventories at FIFO approximate current cost. LIFO costs relating to inventory acquired from Chevron in 1993 are based upon amounts assigned in accordance with Accounting Principles Board Opinion No. 16. Brands finished goods inventories of $12.6 million and $16.0 million at December 31, 1997 and September 30, 1998 are held by Central Garden in safety stock warehouses under consignment and recorded as inventory as of such dates.</w:t>
      </w:r>
    </w:p>
    <w:p>
      <w:pPr>
        <w:sectPr>
          <w:pgSz w:w="11900" w:h="16838" w:orient="portrait"/>
          <w:cols w:equalWidth="0" w:num="1">
            <w:col w:w="10239"/>
          </w:cols>
          <w:pgMar w:left="220" w:top="281" w:right="1440" w:bottom="1440" w:gutter="0" w:footer="0" w:header="0"/>
        </w:sectPr>
      </w:pP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PROPERTY PLANT AND EQUIPMENT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 consist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3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SEPTEMBER 30,</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(UNAUDITED)</w:t>
            </w:r>
          </w:p>
        </w:tc>
      </w:tr>
      <w:tr>
        <w:trPr>
          <w:trHeight w:val="336"/>
        </w:trPr>
        <w:tc>
          <w:tcPr>
            <w:tcW w:w="42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Land...........................................</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$ 1.4</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$ 1.5</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Buildings and improvements.....................</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7.1</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Machinery and equipment........................</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18.5</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19.4</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Office furnishings, fixtures and equipment.....</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Construction in process........................</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Less accumulated depreciation..................</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12.7</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Net............................................</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$26.7</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$27.6</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Depreciation expense totaled approximately $3.3 million for the year ended December 31, 1997 of which $1.8 million was included in cost of goods sold and $1.5 million was included in operating expenses. For the nine-month periods ended September 30, 1998 and 1997 depreciation expense totaled approximately $2.6 million and $2.4 million, respectively, of which $1.4 million and $1.3 million was included in cost of goods sold and $1.2 million and $1.1 million was included in operating expenses,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INTANGIBLE AND OTHER ASSETS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and other assets consist of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3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SEPTEMBER 30,</w:t>
            </w:r>
          </w:p>
        </w:tc>
      </w:tr>
      <w:tr>
        <w:trPr>
          <w:trHeight w:val="168"/>
        </w:trPr>
        <w:tc>
          <w:tcPr>
            <w:tcW w:w="420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1997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20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(UNAUDITED)</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Goodwill.......................................</w:t>
            </w: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$164.6</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Trademarks and trade names.....................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53.5</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Noncompetition agreement.......................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16.2</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16.2</w:t>
            </w:r>
          </w:p>
        </w:tc>
      </w:tr>
      <w:tr>
        <w:trPr>
          <w:trHeight w:val="168"/>
        </w:trPr>
        <w:tc>
          <w:tcPr>
            <w:tcW w:w="420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234.3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accumulated amortization of intangibles...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55.1</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64.7</w:t>
            </w:r>
          </w:p>
        </w:tc>
      </w:tr>
      <w:tr>
        <w:trPr>
          <w:trHeight w:val="168"/>
        </w:trPr>
        <w:tc>
          <w:tcPr>
            <w:tcW w:w="420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$179.2</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$166.7</w:t>
            </w:r>
          </w:p>
        </w:tc>
      </w:tr>
      <w:tr>
        <w:trPr>
          <w:trHeight w:val="168"/>
        </w:trPr>
        <w:tc>
          <w:tcPr>
            <w:tcW w:w="420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00" w:type="dxa"/>
            <w:vAlign w:val="bottom"/>
          </w:tcPr>
          <w:p>
            <w:pPr>
              <w:spacing w:after="0"/>
              <w:rPr>
                <w:sz w:val="20"/>
                <w:szCs w:val="20"/>
                <w:color w:val="auto"/>
              </w:rPr>
            </w:pPr>
            <w:r>
              <w:rPr>
                <w:rFonts w:ascii="Courier New" w:cs="Courier New" w:eastAsia="Courier New" w:hAnsi="Courier New"/>
                <w:sz w:val="15"/>
                <w:szCs w:val="15"/>
                <w:color w:val="auto"/>
              </w:rPr>
              <w:t>8.  ACCRUED LIABILITIES</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Accrued liabilities consist of (in millions):</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73"/>
        </w:trPr>
        <w:tc>
          <w:tcPr>
            <w:tcW w:w="420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3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SEPTEMBER 30,</w:t>
            </w:r>
          </w:p>
        </w:tc>
      </w:tr>
      <w:tr>
        <w:trPr>
          <w:trHeight w:val="168"/>
        </w:trPr>
        <w:tc>
          <w:tcPr>
            <w:tcW w:w="420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1997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20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(UNAUDITED)</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Distributor Program............................</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$11.2</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11.0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$22.2</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00" w:type="dxa"/>
            <w:vAlign w:val="bottom"/>
          </w:tcPr>
          <w:p>
            <w:pPr>
              <w:ind w:left="3420"/>
              <w:spacing w:after="0"/>
              <w:rPr>
                <w:sz w:val="20"/>
                <w:szCs w:val="20"/>
                <w:color w:val="auto"/>
              </w:rPr>
            </w:pPr>
            <w:r>
              <w:rPr>
                <w:rFonts w:ascii="Courier New" w:cs="Courier New" w:eastAsia="Courier New" w:hAnsi="Courier New"/>
                <w:sz w:val="15"/>
                <w:szCs w:val="15"/>
                <w:color w:val="auto"/>
              </w:rPr>
              <w:t>10</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left="360" w:hanging="350"/>
        <w:spacing w:after="0"/>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Solaris has contractual obligations including supply, manufacturing, and purchase agreements that require minimum annual payments. Total future annual commitments under these arrangements to be assumed by the Buyer are as follows (in millions):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1998........................................................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Solaris is the lessee under several operating leases primarily for office space and research facilities. Future minimum rental payments under such operating leases that have non-concellable terms beyond one year and that are to be assumed by the Buyer are as follows (in millions):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1998........................................................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2000........................................................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2001........................................................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2002........................................................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Thereafter..................................................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5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5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Monsanto is a party to a number of lawsuits and claims relating to Solaris and the Brands. Such matters relate to product liability, government regulation, including environmental issues, and other matters. Although the results of litigation cannot be predicted with certainty, management's belief, based upon the advice of Monsanto's legal counsel, is that the final outcome of such litigation will not have a material adverse effect on the Brands' financial statements.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connection with the acquisition of White Swan Ltd. in 1996, Solaris is required to make additional acquisition payments each year through December 31, 2003, based upon attainment of certain gross margin thresholds. Any additional acquisition payments would be recorded as additional goodwill. Through September 30, 1998, no additional payments were required.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 3 concerning disputed amounts with Central Garden.</w:t>
      </w:r>
    </w:p>
    <w:p>
      <w:pPr>
        <w:spacing w:after="0" w:line="166"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AGREEMENT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November 11, 1998, Monsanto and Buyer entered into an Amended and Restated Exclusive Agency and Marketing Agreement whereby Buyer agreed to serve as Monsanto's exclusive agent for the Roundup product line. Buyer agreed to provide certain services, as defined, in connection with the marketing, sales and distribution of Roundup products within certain defined markets (primarily North America, Europe and Australia).</w:t>
      </w:r>
    </w:p>
    <w:p>
      <w:pPr>
        <w:spacing w:after="0" w:line="168" w:lineRule="exact"/>
        <w:rPr>
          <w:sz w:val="20"/>
          <w:szCs w:val="20"/>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INFORMATION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accompanying unaudited financial information as of September 30, 1998 and for the nine-month periods ended September 30, 1997 and 1998 reflect all adjustments which are, in the opinion of management, necessary to a fair statement of the results of the interim periods presented. Such adjustments are of a normal, recurring nature. Results for interim periods may not be indicative of results for a full year.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13</w:t>
      </w:r>
    </w:p>
    <w:p>
      <w:pPr>
        <w:spacing w:after="0" w:line="237" w:lineRule="auto"/>
        <w:rPr>
          <w:sz w:val="20"/>
          <w:szCs w:val="20"/>
          <w:color w:val="auto"/>
        </w:rPr>
      </w:pPr>
      <w:r>
        <w:rPr>
          <w:rFonts w:ascii="Courier New" w:cs="Courier New" w:eastAsia="Courier New" w:hAnsi="Courier New"/>
          <w:sz w:val="15"/>
          <w:szCs w:val="15"/>
          <w:color w:val="auto"/>
        </w:rPr>
        <w:t>ITEM 7(b) PRO FORMA FINANCIAL INFORMATION</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right="4460"/>
        <w:spacing w:after="0" w:line="255" w:lineRule="auto"/>
        <w:rPr>
          <w:sz w:val="20"/>
          <w:szCs w:val="20"/>
          <w:color w:val="auto"/>
        </w:rPr>
      </w:pPr>
      <w:r>
        <w:rPr>
          <w:rFonts w:ascii="Courier New" w:cs="Courier New" w:eastAsia="Courier New" w:hAnsi="Courier New"/>
          <w:sz w:val="14"/>
          <w:szCs w:val="14"/>
          <w:color w:val="auto"/>
        </w:rPr>
        <w:t>The following unaudited proforma combined financial information gives effect to the Ortho Acquisition, the acquisition of Rhone-Poulenc Jardin (the consumer lawn and garden division of Rhone-Poulenc S.A. and related entities, herein referred to as the "RPJ Acquisition"), the marketing agreement with Monsanto with respect to consumer Roundup(R) products (the "Roundup Marketing Agreement"), the private placement by the Registrant of its 8 5/8% Senior Subordinated Notes and the Registrant's new credit facility which provides for aggregate borrowings of up to $1.025 billion (the "New Credit Facility").</w:t>
      </w:r>
    </w:p>
    <w:p>
      <w:pPr>
        <w:spacing w:after="0" w:line="166"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On January 21, 1999, the Company acquired substantially all of the non-Roundup assets of the Solaris Division of Monsanto for approximately $300 million plus an amount for normalized working capital at the acquisition date. Based on the estimate of working capital received from Monsanto, the Company made an additional payment of $39.9 million at the closing date.</w:t>
      </w:r>
    </w:p>
    <w:p>
      <w:pPr>
        <w:spacing w:after="0" w:line="174" w:lineRule="exact"/>
        <w:rPr>
          <w:sz w:val="20"/>
          <w:szCs w:val="20"/>
          <w:color w:val="auto"/>
        </w:rPr>
      </w:pPr>
    </w:p>
    <w:p>
      <w:pPr>
        <w:ind w:right="4380"/>
        <w:spacing w:after="0" w:line="255" w:lineRule="auto"/>
        <w:rPr>
          <w:sz w:val="20"/>
          <w:szCs w:val="20"/>
          <w:color w:val="auto"/>
        </w:rPr>
      </w:pPr>
      <w:r>
        <w:rPr>
          <w:rFonts w:ascii="Courier New" w:cs="Courier New" w:eastAsia="Courier New" w:hAnsi="Courier New"/>
          <w:sz w:val="14"/>
          <w:szCs w:val="14"/>
          <w:color w:val="auto"/>
        </w:rPr>
        <w:t>In December 1998, the Company entered into the New Credit Facility. This facility substantially increased the borrowing capacity available to the Company compared to the previously existing credit facility, providing term loan facilities in the aggregate amount of $525 million and a revolving credit facility in the amount of $500 million. In January 1999, the Company issued $330 million of 8 5/8% Senior Subordinated Notes due in 2009 in a private placement. Proceeds from this note offering, along with borrowings under the New Credit Facility, were used to fund the Ortho Acquisition and to repurchase the Company's then outstanding 9 7/8% Senior Subordinated Notes ($99.5 million).</w:t>
      </w:r>
    </w:p>
    <w:p>
      <w:pPr>
        <w:spacing w:after="0" w:line="165" w:lineRule="exact"/>
        <w:rPr>
          <w:sz w:val="20"/>
          <w:szCs w:val="20"/>
          <w:color w:val="auto"/>
        </w:rPr>
      </w:pPr>
    </w:p>
    <w:p>
      <w:pPr>
        <w:ind w:right="4380"/>
        <w:spacing w:after="0" w:line="236" w:lineRule="auto"/>
        <w:rPr>
          <w:sz w:val="20"/>
          <w:szCs w:val="20"/>
          <w:color w:val="auto"/>
        </w:rPr>
      </w:pPr>
      <w:r>
        <w:rPr>
          <w:rFonts w:ascii="Courier New" w:cs="Courier New" w:eastAsia="Courier New" w:hAnsi="Courier New"/>
          <w:sz w:val="15"/>
          <w:szCs w:val="15"/>
          <w:color w:val="auto"/>
        </w:rPr>
        <w:t>On October 7, 1998, the Company acquired RPJ for approximately $147 million. RPJ includes the assets and liabilities of Rhone-Poulenc Jardin SA, Celaflor GmbH and Celaflor Handelsgesellschaft. In consideration for the acquired businesses, the Company issued non-interest bearing notes of $12.5 million to the seller. The remaining purchase price was paid to the seller from funds borrowed under the Company's New Credit Facility.</w:t>
      </w:r>
    </w:p>
    <w:p>
      <w:pPr>
        <w:spacing w:after="0" w:line="175" w:lineRule="exact"/>
        <w:rPr>
          <w:sz w:val="20"/>
          <w:szCs w:val="20"/>
          <w:color w:val="auto"/>
        </w:rPr>
      </w:pPr>
    </w:p>
    <w:p>
      <w:pPr>
        <w:ind w:right="4380"/>
        <w:spacing w:after="0" w:line="236" w:lineRule="auto"/>
        <w:rPr>
          <w:sz w:val="20"/>
          <w:szCs w:val="20"/>
          <w:color w:val="auto"/>
        </w:rPr>
      </w:pPr>
      <w:r>
        <w:rPr>
          <w:rFonts w:ascii="Courier New" w:cs="Courier New" w:eastAsia="Courier New" w:hAnsi="Courier New"/>
          <w:sz w:val="15"/>
          <w:szCs w:val="15"/>
          <w:color w:val="auto"/>
        </w:rPr>
        <w:t>In connection with the RPJ acquisition, the Company entered into a Research and Development Access Rights Agreement with Rhone-Poulenc. In exchange for the rights provided under the agreement, the Company will make four annual payments of 39 million French Francs each beginning on October 1, 1999 (the present value of the payments is approximately $23.2 million).</w:t>
      </w:r>
    </w:p>
    <w:p>
      <w:pPr>
        <w:spacing w:after="0" w:line="174" w:lineRule="exact"/>
        <w:rPr>
          <w:sz w:val="20"/>
          <w:szCs w:val="20"/>
          <w:color w:val="auto"/>
        </w:rPr>
      </w:pPr>
    </w:p>
    <w:p>
      <w:pPr>
        <w:ind w:right="4380"/>
        <w:spacing w:after="0" w:line="236" w:lineRule="auto"/>
        <w:rPr>
          <w:sz w:val="20"/>
          <w:szCs w:val="20"/>
          <w:color w:val="auto"/>
        </w:rPr>
      </w:pPr>
      <w:r>
        <w:rPr>
          <w:rFonts w:ascii="Courier New" w:cs="Courier New" w:eastAsia="Courier New" w:hAnsi="Courier New"/>
          <w:sz w:val="15"/>
          <w:szCs w:val="15"/>
          <w:color w:val="auto"/>
        </w:rPr>
        <w:t>Effective September 30, 1998, the Company entered into the Roundup Marketing Agreement with Monsanto. The agreement provides the Company with exclusive international marketing and agency rights to Monsanto's consumer Roundup herbicide products. The Company is entitled to receive an annual commission from Monsanto in consideration for the performance of its duties as agent. In consideration for the rights granted under the agreement, the Company paid a marketing fee of $32 million to Monsanto, the funds for which were borrowed under the New Credit Facility.</w:t>
      </w:r>
    </w:p>
    <w:p>
      <w:pPr>
        <w:spacing w:after="0" w:line="177" w:lineRule="exact"/>
        <w:rPr>
          <w:sz w:val="20"/>
          <w:szCs w:val="20"/>
          <w:color w:val="auto"/>
        </w:rPr>
      </w:pPr>
    </w:p>
    <w:p>
      <w:pPr>
        <w:ind w:right="4380"/>
        <w:spacing w:after="0" w:line="255" w:lineRule="auto"/>
        <w:rPr>
          <w:sz w:val="20"/>
          <w:szCs w:val="20"/>
          <w:color w:val="auto"/>
        </w:rPr>
      </w:pPr>
      <w:r>
        <w:rPr>
          <w:rFonts w:ascii="Courier New" w:cs="Courier New" w:eastAsia="Courier New" w:hAnsi="Courier New"/>
          <w:sz w:val="14"/>
          <w:szCs w:val="14"/>
          <w:color w:val="auto"/>
        </w:rPr>
        <w:t>The following pro forma statement of income is presented as if the Ortho Acquisitions, the RPJ acquisition, and the Roundup Marketing Agreement, (the "Transactions"), and the private placement by the Registrant of its 8.625% Senior Subordinated Notes had occurred and the Registrant's new credit facility which provides for aggregate borrowings of up to $1.025 billion (the "New Credit Facility") was in place on October 1, 1997. The following pro forma balance sheet gives effect to the Transactions, the New Credit Facility and the private placement by the Registrant of its 8.625% Senior Subordinated Notes and the use of proceeds therefrom as if they had occurred on September 30, 1998. The accompanying pro forma information is presented for illustrative purposes and is not necessarily indicative of the financial position or results of operations which would actually have been reported had the above transactions been in effect during the periods presented or which may be reported in the future.</w:t>
      </w:r>
    </w:p>
    <w:p>
      <w:pPr>
        <w:spacing w:after="0" w:line="164" w:lineRule="exact"/>
        <w:rPr>
          <w:sz w:val="20"/>
          <w:szCs w:val="20"/>
          <w:color w:val="auto"/>
        </w:rPr>
      </w:pPr>
    </w:p>
    <w:p>
      <w:pPr>
        <w:ind w:right="4540"/>
        <w:spacing w:after="0" w:line="235" w:lineRule="auto"/>
        <w:rPr>
          <w:sz w:val="20"/>
          <w:szCs w:val="20"/>
          <w:color w:val="auto"/>
        </w:rPr>
      </w:pPr>
      <w:r>
        <w:rPr>
          <w:rFonts w:ascii="Courier New" w:cs="Courier New" w:eastAsia="Courier New" w:hAnsi="Courier New"/>
          <w:sz w:val="15"/>
          <w:szCs w:val="15"/>
          <w:color w:val="auto"/>
        </w:rPr>
        <w:t>There are no results of operations for either the Ortho Acquisition or the RPJ Acquisition, nor any commissions earned under the Roundup Marketing Agreement, which are included in the Company's historical results for the twelve months ended September 30, 1998.</w:t>
      </w:r>
    </w:p>
    <w:p>
      <w:pPr>
        <w:spacing w:after="0" w:line="33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SCOTTS COMPANY</w:t>
      </w:r>
    </w:p>
    <w:p>
      <w:pPr>
        <w:spacing w:after="0" w:line="335"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UNAUDITED PRO FORMA COMBINED STATEMENT OF INCOME</w:t>
      </w:r>
    </w:p>
    <w:p>
      <w:pPr>
        <w:jc w:val="center"/>
        <w:ind w:right="4460"/>
        <w:spacing w:after="0" w:line="237" w:lineRule="auto"/>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6"/>
              </w:rPr>
              <w:t>FOR THE YEAR ENDED SEPTEMBER 30, 1998</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7300" w:type="dxa"/>
            <w:vAlign w:val="bottom"/>
            <w:gridSpan w:val="7"/>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IMPACT OF</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IMPACT OF</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SCOTTS</w:t>
            </w:r>
          </w:p>
        </w:tc>
        <w:tc>
          <w:tcPr>
            <w:tcW w:w="740" w:type="dxa"/>
            <w:vAlign w:val="bottom"/>
          </w:tcPr>
          <w:p>
            <w:pPr>
              <w:spacing w:after="0"/>
              <w:rPr>
                <w:sz w:val="14"/>
                <w:szCs w:val="14"/>
                <w:color w:val="auto"/>
              </w:rPr>
            </w:pP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RPJ</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RPJ</w:t>
            </w:r>
          </w:p>
        </w:tc>
        <w:tc>
          <w:tcPr>
            <w:tcW w:w="9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ORTHO</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ORTHO</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OTHER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SCOTTS</w:t>
            </w:r>
          </w:p>
        </w:tc>
      </w:tr>
      <w:tr>
        <w:trPr>
          <w:trHeight w:val="168"/>
        </w:trPr>
        <w:tc>
          <w:tcPr>
            <w:tcW w:w="20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HISTORICAL</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RPJ(1)</w:t>
            </w:r>
          </w:p>
        </w:tc>
        <w:tc>
          <w:tcPr>
            <w:tcW w:w="1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ADJUSTMENTS</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1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ORTHO(1) ADJUSTMENTS</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2060" w:type="dxa"/>
            <w:vAlign w:val="bottom"/>
          </w:tcPr>
          <w:p>
            <w:pPr>
              <w:spacing w:after="0"/>
              <w:rPr>
                <w:sz w:val="14"/>
                <w:szCs w:val="14"/>
                <w:color w:val="auto"/>
              </w:rPr>
            </w:pP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Sales..................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$1,113.0</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$144.3</w:t>
            </w:r>
          </w:p>
        </w:tc>
        <w:tc>
          <w:tcPr>
            <w:tcW w:w="1220" w:type="dxa"/>
            <w:vAlign w:val="bottom"/>
          </w:tcPr>
          <w:p>
            <w:pPr>
              <w:spacing w:after="0"/>
              <w:rPr>
                <w:sz w:val="24"/>
                <w:szCs w:val="24"/>
                <w:color w:val="auto"/>
              </w:rPr>
            </w:pP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$144.3</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$211.4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$ 46.8(2)</w:t>
            </w: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$269.2</w:t>
            </w:r>
          </w:p>
        </w:tc>
        <w:tc>
          <w:tcPr>
            <w:tcW w:w="11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$1,526.5</w:t>
            </w:r>
          </w:p>
        </w:tc>
      </w:tr>
      <w:tr>
        <w:trPr>
          <w:trHeight w:val="168"/>
        </w:trPr>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11.0(3)</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Cost of sales..........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715.0</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75.4</w:t>
            </w:r>
          </w:p>
        </w:tc>
        <w:tc>
          <w:tcPr>
            <w:tcW w:w="122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21.2(2)</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157.7</w:t>
            </w:r>
          </w:p>
        </w:tc>
        <w:tc>
          <w:tcPr>
            <w:tcW w:w="11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948.1</w:t>
            </w:r>
          </w:p>
        </w:tc>
      </w:tr>
      <w:tr>
        <w:trPr>
          <w:trHeight w:val="168"/>
        </w:trPr>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6.7(3)</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Gross profit...........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398.0</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68.9</w:t>
            </w:r>
          </w:p>
        </w:tc>
        <w:tc>
          <w:tcPr>
            <w:tcW w:w="122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82.6</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28.9</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111.5</w:t>
            </w:r>
          </w:p>
        </w:tc>
        <w:tc>
          <w:tcPr>
            <w:tcW w:w="11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578.4</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commission earned</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 agency</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ectPr>
          <w:pgSz w:w="11900" w:h="16838" w:orient="portrait"/>
          <w:cols w:equalWidth="0" w:num="1">
            <w:col w:w="11380"/>
          </w:cols>
          <w:pgMar w:left="220" w:top="281" w:right="29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agreement............</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SG&amp;A...................</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271.6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55.7</w:t>
            </w:r>
          </w:p>
        </w:tc>
        <w:tc>
          <w:tcPr>
            <w:tcW w:w="122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25.6(2)</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goodwill and</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intangibles....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(12.3)(9)</w:t>
            </w:r>
          </w:p>
        </w:tc>
      </w:tr>
      <w:tr>
        <w:trPr>
          <w:trHeight w:val="168"/>
        </w:trPr>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charges........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Other expense, net.....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from</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operations.........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taxes................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taxes................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37.0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3.2</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(3.5)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5.8</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$ 15.6</w:t>
            </w:r>
          </w:p>
        </w:tc>
      </w:tr>
      <w:tr>
        <w:trPr>
          <w:trHeight w:val="168"/>
        </w:trPr>
        <w:tc>
          <w:tcPr>
            <w:tcW w:w="21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440" w:right="1320" w:hanging="343"/>
        <w:spacing w:after="0" w:line="236" w:lineRule="auto"/>
        <w:tabs>
          <w:tab w:leader="none" w:pos="44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results of operations for the Ortho and RPJ businesses for the twelve months ended September 30, 1998. The statement of income data for RPJ have been translated from French Francs to U.S. Dollars using the average exchange rate for the twelve months ended September 30, 1998 of FF 5.97: USD 1.</w:t>
      </w:r>
    </w:p>
    <w:p>
      <w:pPr>
        <w:spacing w:after="0" w:line="173" w:lineRule="exact"/>
        <w:rPr>
          <w:rFonts w:ascii="Courier New" w:cs="Courier New" w:eastAsia="Courier New" w:hAnsi="Courier New"/>
          <w:sz w:val="15"/>
          <w:szCs w:val="15"/>
          <w:color w:val="auto"/>
        </w:rPr>
      </w:pPr>
    </w:p>
    <w:p>
      <w:pPr>
        <w:ind w:left="440" w:right="1240" w:hanging="343"/>
        <w:spacing w:after="0" w:line="236" w:lineRule="auto"/>
        <w:tabs>
          <w:tab w:leader="none" w:pos="44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historical financial statements for the Ortho business reflect certain amounts paid to distributions and agents for distribution and merchandising activities as reductions of net sales. This adjustment reflects the reclassification of these amounts to cost of sales or selling, general and administrative expenses, as appropriate, to conform with the Company's presentation.</w:t>
      </w:r>
    </w:p>
    <w:p>
      <w:pPr>
        <w:spacing w:after="0" w:line="174" w:lineRule="exact"/>
        <w:rPr>
          <w:rFonts w:ascii="Courier New" w:cs="Courier New" w:eastAsia="Courier New" w:hAnsi="Courier New"/>
          <w:sz w:val="15"/>
          <w:szCs w:val="15"/>
          <w:color w:val="auto"/>
        </w:rPr>
      </w:pPr>
    </w:p>
    <w:p>
      <w:pPr>
        <w:ind w:left="440" w:right="1400" w:hanging="343"/>
        <w:spacing w:after="0" w:line="235" w:lineRule="auto"/>
        <w:tabs>
          <w:tab w:leader="none" w:pos="44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 to sales and cost of sales on certain shipments to distributors. The Company intends to reflect these shipments as inventory until such inventory is subsequently shipped to retailer locations. The adjustment is as follows:</w:t>
      </w:r>
    </w:p>
    <w:p>
      <w:pPr>
        <w:spacing w:after="0" w:line="169"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w w:val="98"/>
              </w:rPr>
              <w:t>Estimated increase in revenue............</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sales as a percentage</w:t>
            </w:r>
          </w:p>
        </w:tc>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of</w:t>
            </w:r>
          </w:p>
        </w:tc>
        <w:tc>
          <w:tcPr>
            <w:tcW w:w="560" w:type="dxa"/>
            <w:vAlign w:val="bottom"/>
          </w:tcPr>
          <w:p>
            <w:pPr>
              <w:spacing w:after="0"/>
              <w:rPr>
                <w:sz w:val="14"/>
                <w:szCs w:val="14"/>
                <w:color w:val="auto"/>
              </w:rPr>
            </w:pPr>
          </w:p>
        </w:tc>
      </w:tr>
      <w:tr>
        <w:trPr>
          <w:trHeight w:val="168"/>
        </w:trPr>
        <w:tc>
          <w:tcPr>
            <w:tcW w:w="2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sales for the Ortho business</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6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7"/>
              </w:rPr>
              <w:t>for fiscal 1998........................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w:t>
            </w:r>
          </w:p>
        </w:tc>
      </w:tr>
      <w:tr>
        <w:trPr>
          <w:trHeight w:val="168"/>
        </w:trPr>
        <w:tc>
          <w:tcPr>
            <w:tcW w:w="2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Estimated increase in cost of</w:t>
            </w:r>
          </w:p>
        </w:tc>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$ 6.7</w:t>
            </w:r>
          </w:p>
        </w:tc>
      </w:tr>
    </w:tbl>
    <w:p>
      <w:pPr>
        <w:spacing w:after="0" w:line="173" w:lineRule="exact"/>
        <w:rPr>
          <w:sz w:val="20"/>
          <w:szCs w:val="20"/>
          <w:color w:val="auto"/>
        </w:rPr>
      </w:pPr>
    </w:p>
    <w:p>
      <w:pPr>
        <w:ind w:left="440" w:right="1580" w:hanging="343"/>
        <w:spacing w:after="0" w:line="235"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estimated increase in cost of sales resulting from change in basis for Ortho inventory from LIFO to FIFO as described in note 3 to "-- Unaudited Pro Forma Combined Balance Sheet."</w:t>
      </w:r>
    </w:p>
    <w:p>
      <w:pPr>
        <w:spacing w:after="0" w:line="173" w:lineRule="exact"/>
        <w:rPr>
          <w:rFonts w:ascii="Courier New" w:cs="Courier New" w:eastAsia="Courier New" w:hAnsi="Courier New"/>
          <w:sz w:val="15"/>
          <w:szCs w:val="15"/>
          <w:color w:val="auto"/>
        </w:rPr>
      </w:pPr>
    </w:p>
    <w:p>
      <w:pPr>
        <w:ind w:left="440" w:right="1240" w:hanging="343"/>
        <w:spacing w:after="0" w:line="255"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estimated commission that would have been earned for the 1998 Program Year (the twelve months ended September 30, 1998) under the applicable provisions of the Roundup Marketing Agreement relating to the calculation of the Company's commission with respect to the first Program Year (1999), applying such calculation to the unaudited earnings of the consumer Roundup business for the twelve months ended September 30, 1998. Based on the earnings of the Roundup business for the twelve months ended September 30, 1998, the Company would have earned a net commission of $35.0 million if the commission structure for the first Program Year (fiscal 1999) had been in effect for that period. Also, the Contribution Payment for the 1998 Program Year is assumed to be the same as the Contribution Payment for the 1999 Program Year. See "The Transactions -- Roundup Marketing Agreement -- Commission Structure" included in the Registrant's Form 8-K dated January 7, 1999 and incorporated by reference herein.</w:t>
      </w:r>
    </w:p>
    <w:p>
      <w:pPr>
        <w:spacing w:after="0" w:line="164" w:lineRule="exact"/>
        <w:rPr>
          <w:sz w:val="20"/>
          <w:szCs w:val="20"/>
          <w:color w:val="auto"/>
        </w:rPr>
      </w:pPr>
    </w:p>
    <w:p>
      <w:pPr>
        <w:ind w:right="1240"/>
        <w:spacing w:after="0" w:line="255" w:lineRule="auto"/>
        <w:rPr>
          <w:sz w:val="20"/>
          <w:szCs w:val="20"/>
          <w:color w:val="auto"/>
        </w:rPr>
      </w:pPr>
      <w:r>
        <w:rPr>
          <w:rFonts w:ascii="Courier New" w:cs="Courier New" w:eastAsia="Courier New" w:hAnsi="Courier New"/>
          <w:sz w:val="14"/>
          <w:szCs w:val="14"/>
          <w:color w:val="auto"/>
        </w:rPr>
        <w:t>The agreement requires the Company to make fixed annual payments to Monsanto as a contribution against the overall expenses of the Roundup business. The annual fixed payment is defined as $20 million, however, portions of the annual payments for the first three years of the agreement are deferred. No payment was required for the first year (fiscal 1999), a payment of $5 million is required for the second year and a payment of $15 million is required for the third year so that a total of $40 million of the contribution payments are deferred. Beginning in the fifth year of the agreement, the annual payments to Monsanto increase to at least $25 million, which include per annum charges at 8%. The annual payments may be increased above $25 million if certain significant earnings targets are achieved. If all of the deferred contribution amounts are paid prior to 2018, the annual contribution payments revert to $20 million. Regardless of whether the deferred contribution amounts are paid, all contribution payments cease entirely in 2018.</w:t>
      </w:r>
    </w:p>
    <w:p>
      <w:pPr>
        <w:spacing w:after="0" w:line="332" w:lineRule="exact"/>
        <w:rPr>
          <w:sz w:val="20"/>
          <w:szCs w:val="20"/>
          <w:color w:val="auto"/>
        </w:rPr>
      </w:pPr>
    </w:p>
    <w:p>
      <w:pPr>
        <w:ind w:right="1240"/>
        <w:spacing w:after="0" w:line="236" w:lineRule="auto"/>
        <w:rPr>
          <w:sz w:val="20"/>
          <w:szCs w:val="20"/>
          <w:color w:val="auto"/>
        </w:rPr>
      </w:pPr>
      <w:r>
        <w:rPr>
          <w:rFonts w:ascii="Courier New" w:cs="Courier New" w:eastAsia="Courier New" w:hAnsi="Courier New"/>
          <w:sz w:val="15"/>
          <w:szCs w:val="15"/>
          <w:color w:val="auto"/>
        </w:rPr>
        <w:t>The Company will recognize a charge each year associated with the annual contribution payments equal to the required payment for that year. The Company will not recognize a charge for the portions of the contribution payments that are deferred until such time that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amounts are never paid even if the agreement is not terminated prior to 2018 unless significant earnings targets are exceeded.</w:t>
      </w:r>
    </w:p>
    <w:p>
      <w:pPr>
        <w:spacing w:after="0" w:line="179" w:lineRule="exact"/>
        <w:rPr>
          <w:sz w:val="20"/>
          <w:szCs w:val="20"/>
          <w:color w:val="auto"/>
        </w:rPr>
      </w:pPr>
    </w:p>
    <w:p>
      <w:pPr>
        <w:ind w:right="1240"/>
        <w:spacing w:after="0" w:line="261" w:lineRule="auto"/>
        <w:rPr>
          <w:sz w:val="20"/>
          <w:szCs w:val="20"/>
          <w:color w:val="auto"/>
        </w:rPr>
      </w:pPr>
      <w:r>
        <w:rPr>
          <w:rFonts w:ascii="Courier New" w:cs="Courier New" w:eastAsia="Courier New" w:hAnsi="Courier New"/>
          <w:sz w:val="14"/>
          <w:szCs w:val="14"/>
          <w:color w:val="auto"/>
        </w:rPr>
        <w:t>The express terms of the agreement permit the Company to terminate the agreement only upon Material Breach, Material Fraud or Material Willful Misconduct by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(35.0)(5)</w:t>
            </w:r>
          </w:p>
        </w:tc>
        <w:tc>
          <w:tcPr>
            <w:tcW w:w="9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(35.0)</w:t>
            </w:r>
          </w:p>
        </w:tc>
      </w:tr>
      <w:tr>
        <w:trPr>
          <w:trHeight w:val="168"/>
        </w:trPr>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84.6</w:t>
            </w:r>
          </w:p>
        </w:tc>
        <w:tc>
          <w:tcPr>
            <w:tcW w:w="128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411.9(6)</w:t>
            </w:r>
          </w:p>
        </w:tc>
      </w:tr>
      <w:tr>
        <w:trPr>
          <w:trHeight w:val="505"/>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3.2(10)</w:t>
            </w: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27.4</w:t>
            </w:r>
          </w:p>
        </w:tc>
      </w:tr>
      <w:tr>
        <w:trPr>
          <w:trHeight w:val="505"/>
        </w:trPr>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17.2</w:t>
            </w:r>
          </w:p>
        </w:tc>
      </w:tr>
      <w:tr>
        <w:trPr>
          <w:trHeight w:val="168"/>
        </w:trPr>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21.4</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33.4</w:t>
            </w: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152.5</w:t>
            </w:r>
          </w:p>
        </w:tc>
      </w:tr>
      <w:tr>
        <w:trPr>
          <w:trHeight w:val="168"/>
        </w:trPr>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52.2(11)</w:t>
            </w:r>
          </w:p>
        </w:tc>
        <w:tc>
          <w:tcPr>
            <w:tcW w:w="9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84.6</w:t>
            </w:r>
          </w:p>
        </w:tc>
      </w:tr>
      <w:tr>
        <w:trPr>
          <w:trHeight w:val="168"/>
        </w:trPr>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21.4</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(18.8)</w:t>
            </w: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67.9</w:t>
            </w:r>
          </w:p>
        </w:tc>
      </w:tr>
      <w:tr>
        <w:trPr>
          <w:trHeight w:val="336"/>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(2.8)(12)</w:t>
            </w: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27.4</w:t>
            </w:r>
          </w:p>
        </w:tc>
      </w:tr>
      <w:tr>
        <w:trPr>
          <w:trHeight w:val="168"/>
        </w:trPr>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$ 21.4</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$(16.0)</w:t>
            </w: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4"/>
              </w:rPr>
              <w:t>$   40.5</w:t>
            </w:r>
          </w:p>
        </w:tc>
      </w:tr>
      <w:tr>
        <w:trPr>
          <w:trHeight w:val="168"/>
        </w:trPr>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4"/>
              </w:rPr>
              <w:t>========</w:t>
            </w:r>
          </w:p>
        </w:tc>
      </w:tr>
    </w:tbl>
    <w:p>
      <w:pPr>
        <w:sectPr>
          <w:pgSz w:w="11900" w:h="16838" w:orient="portrait"/>
          <w:cols w:equalWidth="0" w:num="2">
            <w:col w:w="8240" w:space="260"/>
            <w:col w:w="3040"/>
          </w:cols>
          <w:pgMar w:left="220" w:top="135" w:right="139" w:bottom="0" w:gutter="0" w:footer="0" w:header="0"/>
        </w:sectPr>
      </w:pPr>
    </w:p>
    <w:bookmarkStart w:id="16" w:name="page17"/>
    <w:bookmarkEnd w:id="16"/>
    <w:p>
      <w:pPr>
        <w:ind w:right="3239"/>
        <w:spacing w:after="0" w:line="237" w:lineRule="auto"/>
        <w:rPr>
          <w:sz w:val="20"/>
          <w:szCs w:val="20"/>
          <w:color w:val="auto"/>
        </w:rPr>
      </w:pPr>
      <w:r>
        <w:rPr>
          <w:rFonts w:ascii="Courier New" w:cs="Courier New" w:eastAsia="Courier New" w:hAnsi="Courier New"/>
          <w:sz w:val="15"/>
          <w:szCs w:val="15"/>
          <w:color w:val="auto"/>
        </w:rPr>
        <w:t>Monsanto, as such terms are defined in the agreement, or upon the sale of the Roundup business by Monsanto. In such instances, the agreement permits the Company to avoid payment of any deferred contribution and related per annum charge. Our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w:t>
      </w:r>
    </w:p>
    <w:p>
      <w:pPr>
        <w:spacing w:after="0" w:line="17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At September 30, 1998, deferred contribution payments and related per annum charges were approximately $20.7 million, as calculated on a pro forma basis. This amount is considered a contingent obligation and has not been reflected in the pro forma financial information as of and for the year then ended.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14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left="440" w:right="3679" w:hanging="343"/>
        <w:spacing w:after="0" w:line="256"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estimates that an additional $1.5 million of administrative costs (e.g., legal, payroll, risk management, tax department, human resources, information systems, etc.) will be necessary to support the Ortho business. These costs have not been reflected in the pro forma statement of income because they are not factually supportable.</w:t>
      </w:r>
    </w:p>
    <w:p>
      <w:pPr>
        <w:spacing w:after="0" w:line="163" w:lineRule="exact"/>
        <w:rPr>
          <w:rFonts w:ascii="Courier New" w:cs="Courier New" w:eastAsia="Courier New" w:hAnsi="Courier New"/>
          <w:sz w:val="14"/>
          <w:szCs w:val="14"/>
          <w:color w:val="auto"/>
        </w:rPr>
      </w:pPr>
    </w:p>
    <w:p>
      <w:pPr>
        <w:ind w:left="440" w:right="3399" w:hanging="343"/>
        <w:spacing w:after="0" w:line="235"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adjustment to amortization of goodwill and other intangibles resulting from an allocation of the purchase price of the RPJ business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Purchase price (including transaction</w:t>
            </w:r>
          </w:p>
        </w:tc>
        <w:tc>
          <w:tcPr>
            <w:tcW w:w="780" w:type="dxa"/>
            <w:vAlign w:val="bottom"/>
          </w:tcPr>
          <w:p>
            <w:pPr>
              <w:spacing w:after="0"/>
              <w:rPr>
                <w:sz w:val="14"/>
                <w:szCs w:val="14"/>
                <w:color w:val="auto"/>
              </w:rPr>
            </w:pPr>
          </w:p>
        </w:tc>
      </w:tr>
      <w:tr>
        <w:trPr>
          <w:trHeight w:val="168"/>
        </w:trPr>
        <w:tc>
          <w:tcPr>
            <w:tcW w:w="4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costs of $4.5 million).........................</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$147.0</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amounts allocated to tangible assets and</w:t>
            </w:r>
          </w:p>
        </w:tc>
        <w:tc>
          <w:tcPr>
            <w:tcW w:w="780" w:type="dxa"/>
            <w:vAlign w:val="bottom"/>
          </w:tcPr>
          <w:p>
            <w:pPr>
              <w:spacing w:after="0"/>
              <w:rPr>
                <w:sz w:val="14"/>
                <w:szCs w:val="14"/>
                <w:color w:val="auto"/>
              </w:rPr>
            </w:pPr>
          </w:p>
        </w:tc>
      </w:tr>
      <w:tr>
        <w:trPr>
          <w:trHeight w:val="168"/>
        </w:trPr>
        <w:tc>
          <w:tcPr>
            <w:tcW w:w="4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liabilities....................................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4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 allocated to goodwill and other</w:t>
            </w:r>
          </w:p>
        </w:tc>
        <w:tc>
          <w:tcPr>
            <w:tcW w:w="780" w:type="dxa"/>
            <w:vAlign w:val="bottom"/>
          </w:tcPr>
          <w:p>
            <w:pPr>
              <w:spacing w:after="0"/>
              <w:rPr>
                <w:sz w:val="14"/>
                <w:szCs w:val="14"/>
                <w:color w:val="auto"/>
              </w:rPr>
            </w:pPr>
          </w:p>
        </w:tc>
      </w:tr>
      <w:tr>
        <w:trPr>
          <w:trHeight w:val="168"/>
        </w:trPr>
        <w:tc>
          <w:tcPr>
            <w:tcW w:w="4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intangibles....................................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133.9</w:t>
            </w:r>
          </w:p>
        </w:tc>
      </w:tr>
      <w:tr>
        <w:trPr>
          <w:trHeight w:val="168"/>
        </w:trPr>
        <w:tc>
          <w:tcPr>
            <w:tcW w:w="4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Average useful life (in years)...................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w:t>
            </w:r>
          </w:p>
        </w:tc>
      </w:tr>
      <w:tr>
        <w:trPr>
          <w:trHeight w:val="168"/>
        </w:trPr>
        <w:tc>
          <w:tcPr>
            <w:tcW w:w="4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amortization included in historical RPJ</w:t>
            </w:r>
          </w:p>
        </w:tc>
        <w:tc>
          <w:tcPr>
            <w:tcW w:w="780" w:type="dxa"/>
            <w:vAlign w:val="bottom"/>
          </w:tcPr>
          <w:p>
            <w:pPr>
              <w:spacing w:after="0"/>
              <w:rPr>
                <w:sz w:val="14"/>
                <w:szCs w:val="14"/>
                <w:color w:val="auto"/>
              </w:rPr>
            </w:pPr>
          </w:p>
        </w:tc>
      </w:tr>
      <w:tr>
        <w:trPr>
          <w:trHeight w:val="168"/>
        </w:trPr>
        <w:tc>
          <w:tcPr>
            <w:tcW w:w="4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financial statements...........................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2.0</w:t>
            </w:r>
          </w:p>
        </w:tc>
      </w:tr>
    </w:tbl>
    <w:p>
      <w:pPr>
        <w:spacing w:after="0" w:line="341"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The average useful life of 31.0 years reflects the valuation of the RPJ business assigning a useful life of 40 years to intangibles such as tradenames and goodwill and shorter lives to intangibles such as customer relationships, workforce and supply agreements.</w:t>
      </w:r>
    </w:p>
    <w:p>
      <w:pPr>
        <w:spacing w:after="0" w:line="175" w:lineRule="exact"/>
        <w:rPr>
          <w:sz w:val="20"/>
          <w:szCs w:val="20"/>
          <w:color w:val="auto"/>
        </w:rPr>
      </w:pPr>
    </w:p>
    <w:p>
      <w:pPr>
        <w:ind w:left="440" w:right="3759" w:hanging="343"/>
        <w:spacing w:after="0" w:line="234"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amortization of amounts to be paid under the Access Rights Agreement over the minimum term of the agreement (15 years).</w:t>
      </w:r>
    </w:p>
    <w:p>
      <w:pPr>
        <w:spacing w:after="0" w:line="173" w:lineRule="exact"/>
        <w:rPr>
          <w:rFonts w:ascii="Courier New" w:cs="Courier New" w:eastAsia="Courier New" w:hAnsi="Courier New"/>
          <w:sz w:val="15"/>
          <w:szCs w:val="15"/>
          <w:color w:val="auto"/>
        </w:rPr>
      </w:pPr>
    </w:p>
    <w:p>
      <w:pPr>
        <w:ind w:left="440" w:right="3399" w:hanging="343"/>
        <w:spacing w:after="0" w:line="235"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adjustment to amortization of goodwill and other intangibles resulting from an allocation of the estimated purchase price of the Ortho business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Estimated purchase price (including estimated</w:t>
            </w:r>
          </w:p>
        </w:tc>
        <w:tc>
          <w:tcPr>
            <w:tcW w:w="780" w:type="dxa"/>
            <w:vAlign w:val="bottom"/>
          </w:tcPr>
          <w:p>
            <w:pPr>
              <w:spacing w:after="0"/>
              <w:rPr>
                <w:sz w:val="14"/>
                <w:szCs w:val="14"/>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transaction costs of $10.0 million)..........</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amounts allocated to tangible assets and</w:t>
            </w:r>
          </w:p>
        </w:tc>
        <w:tc>
          <w:tcPr>
            <w:tcW w:w="780" w:type="dxa"/>
            <w:vAlign w:val="bottom"/>
          </w:tcPr>
          <w:p>
            <w:pPr>
              <w:spacing w:after="0"/>
              <w:rPr>
                <w:sz w:val="14"/>
                <w:szCs w:val="14"/>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liabilities..................................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(116.0)</w:t>
            </w:r>
          </w:p>
        </w:tc>
      </w:tr>
      <w:tr>
        <w:trPr>
          <w:trHeight w:val="168"/>
        </w:trPr>
        <w:tc>
          <w:tcPr>
            <w:tcW w:w="4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 allocated to goodwill and other</w:t>
            </w:r>
          </w:p>
        </w:tc>
        <w:tc>
          <w:tcPr>
            <w:tcW w:w="780" w:type="dxa"/>
            <w:vAlign w:val="bottom"/>
          </w:tcPr>
          <w:p>
            <w:pPr>
              <w:spacing w:after="0"/>
              <w:rPr>
                <w:sz w:val="14"/>
                <w:szCs w:val="14"/>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intangibles..................................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194.0</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Estimated average useful life (in years).......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w:t>
            </w:r>
          </w:p>
        </w:tc>
      </w:tr>
      <w:tr>
        <w:trPr>
          <w:trHeight w:val="168"/>
        </w:trPr>
        <w:tc>
          <w:tcPr>
            <w:tcW w:w="4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amortization included in historical Ortho</w:t>
            </w:r>
          </w:p>
        </w:tc>
        <w:tc>
          <w:tcPr>
            <w:tcW w:w="780" w:type="dxa"/>
            <w:vAlign w:val="bottom"/>
          </w:tcPr>
          <w:p>
            <w:pPr>
              <w:spacing w:after="0"/>
              <w:rPr>
                <w:sz w:val="14"/>
                <w:szCs w:val="14"/>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financial statements.........................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w:t>
            </w:r>
          </w:p>
        </w:tc>
      </w:tr>
      <w:tr>
        <w:trPr>
          <w:trHeight w:val="168"/>
        </w:trPr>
        <w:tc>
          <w:tcPr>
            <w:tcW w:w="4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w:t>
            </w:r>
          </w:p>
        </w:tc>
      </w:tr>
    </w:tbl>
    <w:p>
      <w:pPr>
        <w:spacing w:after="0" w:line="200" w:lineRule="exact"/>
        <w:rPr>
          <w:sz w:val="20"/>
          <w:szCs w:val="20"/>
          <w:color w:val="auto"/>
        </w:rPr>
      </w:pPr>
    </w:p>
    <w:p>
      <w:pPr>
        <w:spacing w:after="0" w:line="309" w:lineRule="exact"/>
        <w:rPr>
          <w:sz w:val="20"/>
          <w:szCs w:val="20"/>
          <w:color w:val="auto"/>
        </w:rPr>
      </w:pPr>
    </w:p>
    <w:p>
      <w:pPr>
        <w:ind w:left="620" w:right="3239"/>
        <w:spacing w:after="0" w:line="255" w:lineRule="auto"/>
        <w:rPr>
          <w:sz w:val="20"/>
          <w:szCs w:val="20"/>
          <w:color w:val="auto"/>
        </w:rPr>
      </w:pPr>
      <w:r>
        <w:rPr>
          <w:rFonts w:ascii="Courier New" w:cs="Courier New" w:eastAsia="Courier New" w:hAnsi="Courier New"/>
          <w:sz w:val="14"/>
          <w:szCs w:val="14"/>
          <w:color w:val="auto"/>
        </w:rPr>
        <w:t>A final determination of the purchase price for the Ortho business has not been completed as of the date hereof. Accordingly, the allocation of the anticipated purchase price is based on management's estimates and assumes that the book value of fixed assets reasonably approximates their fair value. The excess of the purchase price over the value of tangible assets generally is assumed to represent goodwill with an estimated useful life of 40 years, however certain other intangible assets (e.g., trademarks, patents, etc.) may be identified in the valuation process which have useful lives of less than 40 years. Accordingly, the excess purchase price over the value of tangible assets is being amortized over an average life of 35 years.</w:t>
      </w:r>
    </w:p>
    <w:p>
      <w:pPr>
        <w:spacing w:after="0" w:line="165" w:lineRule="exact"/>
        <w:rPr>
          <w:sz w:val="20"/>
          <w:szCs w:val="20"/>
          <w:color w:val="auto"/>
        </w:rPr>
      </w:pPr>
    </w:p>
    <w:p>
      <w:pPr>
        <w:ind w:left="620" w:right="3239"/>
        <w:spacing w:after="0" w:line="236" w:lineRule="auto"/>
        <w:rPr>
          <w:sz w:val="20"/>
          <w:szCs w:val="20"/>
          <w:color w:val="auto"/>
        </w:rPr>
      </w:pPr>
      <w:r>
        <w:rPr>
          <w:rFonts w:ascii="Courier New" w:cs="Courier New" w:eastAsia="Courier New" w:hAnsi="Courier New"/>
          <w:sz w:val="15"/>
          <w:szCs w:val="15"/>
          <w:color w:val="auto"/>
        </w:rPr>
        <w:t>In addition, the estimated purchase price does not address any adjustment for the level of normalized working capital as of the closing date of the Ortho Acquisition. It is unlikely that any portion of such adjustment would be amortized. Rather it will be reflected as an adjustment to working capital. The Registrant has</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type w:val="continuous"/>
        </w:sectPr>
      </w:pPr>
    </w:p>
    <w:bookmarkStart w:id="18" w:name="page19"/>
    <w:bookmarkEnd w:id="18"/>
    <w:p>
      <w:pPr>
        <w:ind w:left="27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left="530" w:right="3239"/>
        <w:spacing w:after="0" w:line="236" w:lineRule="auto"/>
        <w:rPr>
          <w:sz w:val="20"/>
          <w:szCs w:val="20"/>
          <w:color w:val="auto"/>
        </w:rPr>
      </w:pPr>
      <w:r>
        <w:rPr>
          <w:rFonts w:ascii="Courier New" w:cs="Courier New" w:eastAsia="Courier New" w:hAnsi="Courier New"/>
          <w:sz w:val="15"/>
          <w:szCs w:val="15"/>
          <w:color w:val="auto"/>
        </w:rPr>
        <w:t>received an estimate of normalized working capital of $125.9 million from Monsanto, which estimate resulted in an additional payment to Monsanto of $39.9 million as of the closing of the Ortho Acquisition. The Company and Monsanto are still in discussion regarding the actual amount of normalized working capital. See "The Transactions -- Ortho Acquisition" in the Registrant's Form 8-K dated January 7, 1999 and incorporated by reference herein.</w:t>
      </w:r>
    </w:p>
    <w:p>
      <w:pPr>
        <w:spacing w:after="0" w:line="176" w:lineRule="exact"/>
        <w:rPr>
          <w:sz w:val="20"/>
          <w:szCs w:val="20"/>
          <w:color w:val="auto"/>
        </w:rPr>
      </w:pPr>
    </w:p>
    <w:p>
      <w:pPr>
        <w:ind w:left="530" w:right="3319" w:hanging="443"/>
        <w:spacing w:after="0" w:line="235" w:lineRule="auto"/>
        <w:tabs>
          <w:tab w:leader="none" w:pos="5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amortization over a term of 10 years (the Company's estimate of the likely term of the agreement) of the $32.0 million payment paid by the Company to Monsanto in connection with the marketing rights under the Roundup Marketing Agreement.</w:t>
      </w:r>
    </w:p>
    <w:p>
      <w:pPr>
        <w:spacing w:after="0" w:line="175" w:lineRule="exact"/>
        <w:rPr>
          <w:rFonts w:ascii="Courier New" w:cs="Courier New" w:eastAsia="Courier New" w:hAnsi="Courier New"/>
          <w:sz w:val="15"/>
          <w:szCs w:val="15"/>
          <w:color w:val="auto"/>
        </w:rPr>
      </w:pPr>
    </w:p>
    <w:p>
      <w:pPr>
        <w:ind w:left="530" w:right="3319" w:hanging="443"/>
        <w:spacing w:after="0" w:line="255" w:lineRule="auto"/>
        <w:tabs>
          <w:tab w:leader="none" w:pos="53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net adjustment to interest expense as a result of the anticipated bank borrowings under the New Credit Facility and a private placement of $330 million aggregate principal amount of the Registrant's 8.625% Senior Subordinated Notes calculated as follows. The assumed interest rates for each type of borrowing are based on the current market rates plus the appropriate spread for the respective borrowing.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43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Revolving Credit Facility(a)....................</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Pound Sterling Term Loan(b).....................</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French Franc Term Loan(c).......................</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Deutschemark Term Loan(d).......................</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Tranche B Term Loan(e)..........................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Tranche C Term Loan(f)..........................</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Notes offered hereby(g).........................</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RPJ Seller Notes(h).............................</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Amortization of rate locks(i)...................</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Amortization of deferred financing costs(j).....</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Interest on remaining indebtedness..............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43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 forma interest expense...................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84.6</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Less interest on refinanced indebtedness(k).....</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Less interest on remaining indebtedness.........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43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adjustment...............................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w:t>
            </w:r>
          </w:p>
        </w:tc>
      </w:tr>
    </w:tbl>
    <w:p>
      <w:pPr>
        <w:spacing w:after="0" w:line="200" w:lineRule="exact"/>
        <w:rPr>
          <w:sz w:val="20"/>
          <w:szCs w:val="20"/>
          <w:color w:val="auto"/>
        </w:rPr>
      </w:pPr>
    </w:p>
    <w:p>
      <w:pPr>
        <w:spacing w:after="0" w:line="303" w:lineRule="exact"/>
        <w:rPr>
          <w:sz w:val="20"/>
          <w:szCs w:val="20"/>
          <w:color w:val="auto"/>
        </w:rPr>
      </w:pPr>
    </w:p>
    <w:p>
      <w:pPr>
        <w:ind w:left="170" w:hanging="170"/>
        <w:spacing w:after="0"/>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jc w:val="both"/>
        <w:ind w:left="790" w:right="3239" w:hanging="353"/>
        <w:spacing w:after="0" w:line="235" w:lineRule="auto"/>
        <w:tabs>
          <w:tab w:leader="none" w:pos="7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Revolving Credit Facility based on assumed average borrowings of $128.4 million bearing an assumed average interest rate of 7.93%.</w:t>
      </w:r>
    </w:p>
    <w:p>
      <w:pPr>
        <w:spacing w:after="0" w:line="173" w:lineRule="exact"/>
        <w:rPr>
          <w:rFonts w:ascii="Courier New" w:cs="Courier New" w:eastAsia="Courier New" w:hAnsi="Courier New"/>
          <w:sz w:val="15"/>
          <w:szCs w:val="15"/>
          <w:color w:val="auto"/>
        </w:rPr>
      </w:pPr>
    </w:p>
    <w:p>
      <w:pPr>
        <w:ind w:left="790" w:right="3319" w:hanging="353"/>
        <w:spacing w:after="0" w:line="235" w:lineRule="auto"/>
        <w:tabs>
          <w:tab w:leader="none" w:pos="7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Pound Sterling Term Loan based on assumed average borrowings of $120.0 million bearing an assumed interest rate of 9.10%.</w:t>
      </w:r>
    </w:p>
    <w:p>
      <w:pPr>
        <w:spacing w:after="0" w:line="173" w:lineRule="exact"/>
        <w:rPr>
          <w:rFonts w:ascii="Courier New" w:cs="Courier New" w:eastAsia="Courier New" w:hAnsi="Courier New"/>
          <w:sz w:val="15"/>
          <w:szCs w:val="15"/>
          <w:color w:val="auto"/>
        </w:rPr>
      </w:pPr>
    </w:p>
    <w:p>
      <w:pPr>
        <w:ind w:left="790" w:right="3499" w:hanging="353"/>
        <w:spacing w:after="0" w:line="235" w:lineRule="auto"/>
        <w:tabs>
          <w:tab w:leader="none" w:pos="7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French Franc Term Loan based on assumed average borrowings of $57.0 million bearing an assumed interest rate of 6.06%.</w:t>
      </w:r>
    </w:p>
    <w:p>
      <w:pPr>
        <w:spacing w:after="0" w:line="173" w:lineRule="exact"/>
        <w:rPr>
          <w:rFonts w:ascii="Courier New" w:cs="Courier New" w:eastAsia="Courier New" w:hAnsi="Courier New"/>
          <w:sz w:val="15"/>
          <w:szCs w:val="15"/>
          <w:color w:val="auto"/>
        </w:rPr>
      </w:pPr>
    </w:p>
    <w:p>
      <w:pPr>
        <w:ind w:left="790" w:right="3239" w:hanging="353"/>
        <w:spacing w:after="0" w:line="235" w:lineRule="auto"/>
        <w:tabs>
          <w:tab w:leader="none" w:pos="7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Deutschemark Term Loan based on assumed average borrowings of $56.0 million bearing an assumed interest rate of 5.98%.</w:t>
      </w:r>
    </w:p>
    <w:p>
      <w:pPr>
        <w:spacing w:after="0" w:line="173" w:lineRule="exact"/>
        <w:rPr>
          <w:rFonts w:ascii="Courier New" w:cs="Courier New" w:eastAsia="Courier New" w:hAnsi="Courier New"/>
          <w:sz w:val="15"/>
          <w:szCs w:val="15"/>
          <w:color w:val="auto"/>
        </w:rPr>
      </w:pPr>
    </w:p>
    <w:p>
      <w:pPr>
        <w:ind w:left="790" w:right="3239" w:hanging="353"/>
        <w:spacing w:after="0" w:line="235" w:lineRule="auto"/>
        <w:tabs>
          <w:tab w:leader="none" w:pos="7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Tranche B Term Loan based on assumed average borrowings of $96.6 million bearing an assumed interest rate of 8.53%.</w:t>
      </w:r>
    </w:p>
    <w:p>
      <w:pPr>
        <w:spacing w:after="0" w:line="173" w:lineRule="exact"/>
        <w:rPr>
          <w:rFonts w:ascii="Courier New" w:cs="Courier New" w:eastAsia="Courier New" w:hAnsi="Courier New"/>
          <w:sz w:val="15"/>
          <w:szCs w:val="15"/>
          <w:color w:val="auto"/>
        </w:rPr>
      </w:pPr>
    </w:p>
    <w:p>
      <w:pPr>
        <w:ind w:left="790" w:right="3759" w:hanging="353"/>
        <w:spacing w:after="0" w:line="235" w:lineRule="auto"/>
        <w:tabs>
          <w:tab w:leader="none" w:pos="7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Tranche C Term Loan based on assumed average borrowings of $120.0 million bearing an assumed interest rate of 8.78%.</w:t>
      </w:r>
    </w:p>
    <w:p>
      <w:pPr>
        <w:spacing w:after="0" w:line="173" w:lineRule="exact"/>
        <w:rPr>
          <w:rFonts w:ascii="Courier New" w:cs="Courier New" w:eastAsia="Courier New" w:hAnsi="Courier New"/>
          <w:sz w:val="15"/>
          <w:szCs w:val="15"/>
          <w:color w:val="auto"/>
        </w:rPr>
      </w:pPr>
    </w:p>
    <w:p>
      <w:pPr>
        <w:ind w:left="790" w:right="3679" w:hanging="353"/>
        <w:spacing w:after="0" w:line="234" w:lineRule="auto"/>
        <w:tabs>
          <w:tab w:leader="none" w:pos="7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the $330.0 million fixed rate 8.625% Senior Subordinated Notes.</w:t>
      </w:r>
    </w:p>
    <w:p>
      <w:pPr>
        <w:spacing w:after="0" w:line="173" w:lineRule="exact"/>
        <w:rPr>
          <w:rFonts w:ascii="Courier New" w:cs="Courier New" w:eastAsia="Courier New" w:hAnsi="Courier New"/>
          <w:sz w:val="15"/>
          <w:szCs w:val="15"/>
          <w:color w:val="auto"/>
        </w:rPr>
      </w:pPr>
    </w:p>
    <w:p>
      <w:pPr>
        <w:ind w:left="790" w:right="3239" w:hanging="353"/>
        <w:spacing w:after="0" w:line="234" w:lineRule="auto"/>
        <w:tabs>
          <w:tab w:leader="none" w:pos="7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amounts due the seller of the RPJ business using an assumed interest rate of 9.14%.</w:t>
      </w:r>
    </w:p>
    <w:p>
      <w:pPr>
        <w:spacing w:after="0" w:line="173" w:lineRule="exact"/>
        <w:rPr>
          <w:rFonts w:ascii="Courier New" w:cs="Courier New" w:eastAsia="Courier New" w:hAnsi="Courier New"/>
          <w:sz w:val="15"/>
          <w:szCs w:val="15"/>
          <w:color w:val="auto"/>
        </w:rPr>
      </w:pPr>
    </w:p>
    <w:p>
      <w:pPr>
        <w:ind w:left="790" w:right="3239" w:hanging="353"/>
        <w:spacing w:after="0" w:line="255" w:lineRule="auto"/>
        <w:tabs>
          <w:tab w:leader="none" w:pos="79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amortization of amounts deferred under treasury rate locks. In fiscal 1998, the Company entered into two interest rate locks to hedge its anticipated interest rate exposure on the Senior Subordinated Notes offering. The total amount paid to settle the rate locks was $12.9 million, which has been recorded as a reduction in the carrying value of the Senior Subordinated Notes and is being amortized on a straight-line basis over the term of these notes (10 years).</w:t>
      </w:r>
    </w:p>
    <w:p>
      <w:pPr>
        <w:spacing w:after="0" w:line="166" w:lineRule="exact"/>
        <w:rPr>
          <w:rFonts w:ascii="Courier New" w:cs="Courier New" w:eastAsia="Courier New" w:hAnsi="Courier New"/>
          <w:sz w:val="14"/>
          <w:szCs w:val="14"/>
          <w:color w:val="auto"/>
        </w:rPr>
      </w:pPr>
    </w:p>
    <w:p>
      <w:pPr>
        <w:ind w:left="790" w:right="3239" w:hanging="353"/>
        <w:spacing w:after="0" w:line="236" w:lineRule="auto"/>
        <w:tabs>
          <w:tab w:leader="none" w:pos="7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amortization of deferred financing costs. Deferred financing costs include costs to secure the New Credit Facility of $15 million and costs incurred in connection with the offering of the $330 million Senior Subordinated Notes of $11 million. These costs are assumed to be amortized on a straight-line basis over the term of the New Credit Facility and the Notes, which is approximately 8.1 years on a combined basis.</w:t>
      </w:r>
    </w:p>
    <w:p>
      <w:pPr>
        <w:spacing w:after="0" w:line="175" w:lineRule="exact"/>
        <w:rPr>
          <w:rFonts w:ascii="Courier New" w:cs="Courier New" w:eastAsia="Courier New" w:hAnsi="Courier New"/>
          <w:sz w:val="15"/>
          <w:szCs w:val="15"/>
          <w:color w:val="auto"/>
        </w:rPr>
      </w:pPr>
    </w:p>
    <w:p>
      <w:pPr>
        <w:ind w:left="790" w:right="3319" w:hanging="353"/>
        <w:spacing w:after="0" w:line="235" w:lineRule="auto"/>
        <w:tabs>
          <w:tab w:leader="none" w:pos="7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refinancing of $97.1 million of Senior Subordinated Notes bearing interest at 9.875% and $282.1 million of average borrowings under the previous credit facility bearing on average interest rate of 7.43%.</w:t>
      </w:r>
    </w:p>
    <w:p>
      <w:pPr>
        <w:sectPr>
          <w:pgSz w:w="11900" w:h="16838" w:orient="portrait"/>
          <w:cols w:equalWidth="0" w:num="1">
            <w:col w:w="10229"/>
          </w:cols>
          <w:pgMar w:left="230" w:top="281" w:right="1440" w:bottom="0" w:gutter="0" w:footer="0" w:header="0"/>
        </w:sectPr>
      </w:pPr>
    </w:p>
    <w:bookmarkStart w:id="19" w:name="page20"/>
    <w:bookmarkEnd w:id="19"/>
    <w:p>
      <w:pPr>
        <w:ind w:left="22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639"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An increase or decrease of 0.125% in the assumed interest rate would change the pro forma interest expense on floating rate debt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Revolving Credit Facility...................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Pound Sterling Term Loan....................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French Franc Term Loan......................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Deutschemark Term Loan......................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Tranche B Term Loan.........................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Tranche C Term Loan.........................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40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40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40" w:right="3319" w:hanging="430"/>
        <w:spacing w:after="0" w:line="235"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an estimated provision for income taxes on a combined pro forma basis using the effective tax rate for the Registrant on a stand-alone basis for fiscal 1998 of 40.3%.</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17</w:t>
      </w:r>
    </w:p>
    <w:p>
      <w:pPr>
        <w:jc w:val="center"/>
        <w:ind w:right="4520"/>
        <w:spacing w:after="0" w:line="237" w:lineRule="auto"/>
        <w:rPr>
          <w:sz w:val="20"/>
          <w:szCs w:val="20"/>
          <w:color w:val="auto"/>
        </w:rPr>
      </w:pPr>
      <w:r>
        <w:rPr>
          <w:rFonts w:ascii="Courier New" w:cs="Courier New" w:eastAsia="Courier New" w:hAnsi="Courier New"/>
          <w:sz w:val="15"/>
          <w:szCs w:val="15"/>
          <w:color w:val="auto"/>
        </w:rPr>
        <w:t>UNAUDITED PRO FORMA COMBINED</w:t>
      </w:r>
    </w:p>
    <w:p>
      <w:pPr>
        <w:jc w:val="center"/>
        <w:ind w:right="4620"/>
        <w:spacing w:after="0" w:line="238" w:lineRule="auto"/>
        <w:rPr>
          <w:sz w:val="20"/>
          <w:szCs w:val="20"/>
          <w:color w:val="auto"/>
        </w:rPr>
      </w:pPr>
      <w:r>
        <w:rPr>
          <w:rFonts w:ascii="Courier New" w:cs="Courier New" w:eastAsia="Courier New" w:hAnsi="Courier New"/>
          <w:sz w:val="15"/>
          <w:szCs w:val="15"/>
          <w:color w:val="auto"/>
        </w:rPr>
        <w:t>BALANCE SHEET</w:t>
      </w:r>
    </w:p>
    <w:p>
      <w:pPr>
        <w:jc w:val="center"/>
        <w:ind w:right="4620"/>
        <w:spacing w:after="0" w:line="237" w:lineRule="auto"/>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AS OF SEPTEMBER 30, 1998</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92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3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SCOTTS</w:t>
            </w:r>
          </w:p>
        </w:tc>
        <w:tc>
          <w:tcPr>
            <w:tcW w:w="700" w:type="dxa"/>
            <w:vAlign w:val="bottom"/>
          </w:tcPr>
          <w:p>
            <w:pPr>
              <w:spacing w:after="0"/>
              <w:rPr>
                <w:sz w:val="14"/>
                <w:szCs w:val="14"/>
                <w:color w:val="auto"/>
              </w:rPr>
            </w:pP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RPJ</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IMPACT OF RPJ</w:t>
            </w:r>
          </w:p>
        </w:tc>
        <w:tc>
          <w:tcPr>
            <w:tcW w:w="7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ORTHO</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IMPACT OF ORTHO</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SCOTTS</w:t>
            </w:r>
          </w:p>
        </w:tc>
      </w:tr>
      <w:tr>
        <w:trPr>
          <w:trHeight w:val="168"/>
        </w:trPr>
        <w:tc>
          <w:tcPr>
            <w:tcW w:w="23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HISTORICAL</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RPJ(1)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ADJUSTMENTS</w:t>
            </w:r>
          </w:p>
        </w:tc>
        <w:tc>
          <w:tcPr>
            <w:tcW w:w="1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ACQUISITION</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ORTHO</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ACQUISITION</w:t>
            </w:r>
          </w:p>
        </w:tc>
        <w:tc>
          <w:tcPr>
            <w:tcW w:w="1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ADJUSTMENTS PRO FORMA</w:t>
            </w:r>
          </w:p>
        </w:tc>
      </w:tr>
      <w:tr>
        <w:trPr>
          <w:trHeight w:val="168"/>
        </w:trPr>
        <w:tc>
          <w:tcPr>
            <w:tcW w:w="23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820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7"/>
              </w:rPr>
              <w:t>------  -----------  -------------  ------  -----------  -------------  ----------- ---------</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0.3</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10.9</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pool amounts due from</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affiliates..............</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34.1</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34.1</w:t>
            </w: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Accounts receivable.......</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(26.0)(2)</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42.3</w:t>
            </w: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205.8</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Inventory.................</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177.7</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29.6</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89.7</w:t>
            </w: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297.0</w:t>
            </w:r>
          </w:p>
        </w:tc>
      </w:tr>
      <w:tr>
        <w:trPr>
          <w:trHeight w:val="168"/>
        </w:trPr>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15.8(2)</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Other current assets......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114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w:t>
            </w: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w:t>
            </w:r>
          </w:p>
        </w:tc>
      </w:tr>
      <w:tr>
        <w:trPr>
          <w:trHeight w:val="168"/>
        </w:trPr>
        <w:tc>
          <w:tcPr>
            <w:tcW w:w="23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367.2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91.0</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112.4</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117.5</w:t>
            </w: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575.7</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equipment, net..........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w:t>
            </w:r>
          </w:p>
        </w:tc>
        <w:tc>
          <w:tcPr>
            <w:tcW w:w="114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27.6</w:t>
            </w: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229.0</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intangibles, net........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435.1</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82.2</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51.7(4)</w:t>
            </w: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27.3(6)</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194.0</w:t>
            </w: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786.2</w:t>
            </w:r>
          </w:p>
        </w:tc>
      </w:tr>
      <w:tr>
        <w:trPr>
          <w:trHeight w:val="168"/>
        </w:trPr>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23.2(5)</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Other assets..............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35.9</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114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26.0(7)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w:t>
            </w:r>
          </w:p>
        </w:tc>
      </w:tr>
      <w:tr>
        <w:trPr>
          <w:trHeight w:val="168"/>
        </w:trPr>
        <w:tc>
          <w:tcPr>
            <w:tcW w:w="23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13.0(8)</w:t>
            </w:r>
          </w:p>
        </w:tc>
        <w:tc>
          <w:tcPr>
            <w:tcW w:w="82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assets..........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1,035.2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179.8</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74.9</w:t>
            </w: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254.7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311.8</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32.4</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344.2</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1,673.0</w:t>
            </w:r>
          </w:p>
        </w:tc>
      </w:tr>
      <w:tr>
        <w:trPr>
          <w:trHeight w:val="168"/>
        </w:trPr>
        <w:tc>
          <w:tcPr>
            <w:tcW w:w="23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long-term debt..........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pool amounts due to</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affiliates..............</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24.3</w:t>
            </w: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Bank overdrafts...........</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Accounts payable..........</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77.8</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22.6</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w:t>
            </w:r>
          </w:p>
        </w:tc>
        <w:tc>
          <w:tcPr>
            <w:tcW w:w="114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w:t>
            </w: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114.6</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Accrued liabilities.......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140.8</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(4.1)(2)</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133.2</w:t>
            </w:r>
          </w:p>
        </w:tc>
      </w:tr>
      <w:tr>
        <w:trPr>
          <w:trHeight w:val="168"/>
        </w:trPr>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w:t>
            </w:r>
          </w:p>
        </w:tc>
        <w:tc>
          <w:tcPr>
            <w:tcW w:w="82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(32.0)(9)</w:t>
            </w:r>
          </w:p>
        </w:tc>
        <w:tc>
          <w:tcPr>
            <w:tcW w:w="82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liabilities.........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231.9</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61.4</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w:t>
            </w:r>
          </w:p>
        </w:tc>
        <w:tc>
          <w:tcPr>
            <w:tcW w:w="114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34.2</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287.9</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current portion.........</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359.2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170.2</w:t>
            </w: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170.2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310.0(9)</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(350.1)(9)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922.4</w:t>
            </w:r>
          </w:p>
        </w:tc>
      </w:tr>
      <w:tr>
        <w:trPr>
          <w:trHeight w:val="168"/>
        </w:trPr>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433.1(9)</w:t>
            </w:r>
          </w:p>
        </w:tc>
        <w:tc>
          <w:tcPr>
            <w:tcW w:w="82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liabilities.............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63.3</w:t>
            </w:r>
          </w:p>
        </w:tc>
      </w:tr>
      <w:tr>
        <w:trPr>
          <w:trHeight w:val="168"/>
        </w:trPr>
        <w:tc>
          <w:tcPr>
            <w:tcW w:w="23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631.3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84.5</w:t>
            </w:r>
          </w:p>
        </w:tc>
        <w:tc>
          <w:tcPr>
            <w:tcW w:w="1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170.2</w:t>
            </w: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254.7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310.0</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344.2</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83.0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1,273.6</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Preferred stock...........</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177.3</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Common shares.............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Capital in excess of par..</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208.7</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208.7</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Retained earnings.........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w:t>
            </w:r>
          </w:p>
        </w:tc>
        <w:tc>
          <w:tcPr>
            <w:tcW w:w="1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72.1</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Divisional equity.........</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87.4</w:t>
            </w:r>
          </w:p>
        </w:tc>
        <w:tc>
          <w:tcPr>
            <w:tcW w:w="1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3"/>
              </w:rPr>
              <w:t>(87.4)(10)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foreign</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currency translation</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w:t>
            </w:r>
          </w:p>
        </w:tc>
        <w:tc>
          <w:tcPr>
            <w:tcW w:w="13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3"/>
              </w:rPr>
              <w:t>(7.9)(10)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Treasury stock............</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(55.9)</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Net assets to be sold.....</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(277.6)(10)</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equity..........</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403.9</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95.3</w:t>
            </w:r>
          </w:p>
        </w:tc>
        <w:tc>
          <w:tcPr>
            <w:tcW w:w="1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(95.3)</w:t>
            </w: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277.6</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(277.6)</w:t>
            </w:r>
          </w:p>
        </w:tc>
        <w:tc>
          <w:tcPr>
            <w:tcW w:w="13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399.4</w:t>
            </w:r>
          </w:p>
        </w:tc>
      </w:tr>
      <w:tr>
        <w:trPr>
          <w:trHeight w:val="168"/>
        </w:trPr>
        <w:tc>
          <w:tcPr>
            <w:tcW w:w="23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 equity..........</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$1,035.2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$74.9</w:t>
            </w:r>
          </w:p>
        </w:tc>
        <w:tc>
          <w:tcPr>
            <w:tcW w:w="1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$311.8</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$ 32.4</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$344.2</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$1,673.0</w:t>
            </w:r>
          </w:p>
        </w:tc>
      </w:tr>
      <w:tr>
        <w:trPr>
          <w:trHeight w:val="168"/>
        </w:trPr>
        <w:tc>
          <w:tcPr>
            <w:tcW w:w="23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673"/>
        </w:trPr>
        <w:tc>
          <w:tcPr>
            <w:tcW w:w="232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w:t>
            </w: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540"/>
          </w:cols>
          <w:pgMar w:left="220" w:top="281" w:right="139" w:bottom="1440" w:gutter="0" w:footer="0" w:header="0"/>
        </w:sectPr>
      </w:pPr>
    </w:p>
    <w:bookmarkStart w:id="22" w:name="page23"/>
    <w:bookmarkEnd w:id="22"/>
    <w:p>
      <w:pPr>
        <w:ind w:left="27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left="350" w:right="3239" w:hanging="350"/>
        <w:spacing w:after="0" w:line="236"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sheet data for RPJ as of September 30, 1998 have been translated from French Francs to U.S. Dollars. Assets and liabilities were translated using the exchange rate as of September 30, 1998 of FF 5.60: USD 1. The divisional equity account was translated using an historical exchange rate of FF 6.15: USD 1.</w:t>
      </w:r>
    </w:p>
    <w:p>
      <w:pPr>
        <w:spacing w:after="0" w:line="173" w:lineRule="exact"/>
        <w:rPr>
          <w:rFonts w:ascii="Courier New" w:cs="Courier New" w:eastAsia="Courier New" w:hAnsi="Courier New"/>
          <w:sz w:val="15"/>
          <w:szCs w:val="15"/>
          <w:color w:val="auto"/>
        </w:rPr>
      </w:pPr>
    </w:p>
    <w:p>
      <w:pPr>
        <w:ind w:left="350" w:right="3239" w:hanging="350"/>
        <w:spacing w:after="0" w:line="235"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 to restate inventory and eliminate accounts receivable for the estimated impact of the Company's anticipated revenue recognition policy as described in note 3 to "-- Unaudited Selected Pro Forma Combined Statement of Income and Other Financial Data".</w:t>
      </w:r>
    </w:p>
    <w:p>
      <w:pPr>
        <w:spacing w:after="0" w:line="200" w:lineRule="exact"/>
        <w:rPr>
          <w:sz w:val="20"/>
          <w:szCs w:val="20"/>
          <w:color w:val="auto"/>
        </w:rPr>
      </w:pPr>
    </w:p>
    <w:p>
      <w:pPr>
        <w:spacing w:after="0" w:line="305"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Ortho</w:t>
            </w:r>
          </w:p>
        </w:tc>
        <w:tc>
          <w:tcPr>
            <w:tcW w:w="49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shipments included in accounts receivable.............</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Gross</w:t>
            </w:r>
          </w:p>
        </w:tc>
        <w:tc>
          <w:tcPr>
            <w:tcW w:w="49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profit margin as a % of sales for the Ortho business</w:t>
            </w:r>
          </w:p>
        </w:tc>
        <w:tc>
          <w:tcPr>
            <w:tcW w:w="880" w:type="dxa"/>
            <w:vAlign w:val="bottom"/>
          </w:tcPr>
          <w:p>
            <w:pPr>
              <w:spacing w:after="0"/>
              <w:rPr>
                <w:sz w:val="14"/>
                <w:szCs w:val="14"/>
                <w:color w:val="auto"/>
              </w:rPr>
            </w:pP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for</w:t>
            </w:r>
          </w:p>
        </w:tc>
        <w:tc>
          <w:tcPr>
            <w:tcW w:w="4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fiscal 1998...........................................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w:t>
            </w:r>
          </w:p>
        </w:tc>
      </w:tr>
      <w:tr>
        <w:trPr>
          <w:trHeight w:val="168"/>
        </w:trPr>
        <w:tc>
          <w:tcPr>
            <w:tcW w:w="4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Gross</w:t>
            </w:r>
          </w:p>
        </w:tc>
        <w:tc>
          <w:tcPr>
            <w:tcW w:w="4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profit on shipments that would not be recognized under</w:t>
            </w:r>
          </w:p>
        </w:tc>
        <w:tc>
          <w:tcPr>
            <w:tcW w:w="880" w:type="dxa"/>
            <w:vAlign w:val="bottom"/>
          </w:tcPr>
          <w:p>
            <w:pPr>
              <w:spacing w:after="0"/>
              <w:rPr>
                <w:sz w:val="14"/>
                <w:szCs w:val="14"/>
                <w:color w:val="auto"/>
              </w:rPr>
            </w:pP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4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anticipated revenue recognition policy................</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10.2(a)</w:t>
            </w:r>
          </w:p>
        </w:tc>
      </w:tr>
      <w:tr>
        <w:trPr>
          <w:trHeight w:val="168"/>
        </w:trPr>
        <w:tc>
          <w:tcPr>
            <w:tcW w:w="4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Amount reinstated to inventory..............................</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w:t>
            </w:r>
          </w:p>
        </w:tc>
      </w:tr>
    </w:tbl>
    <w:p>
      <w:pPr>
        <w:spacing w:after="0" w:line="166" w:lineRule="exact"/>
        <w:rPr>
          <w:sz w:val="20"/>
          <w:szCs w:val="20"/>
          <w:color w:val="auto"/>
        </w:rPr>
      </w:pPr>
    </w:p>
    <w:p>
      <w:pPr>
        <w:ind w:left="170" w:hanging="170"/>
        <w:spacing w:after="0"/>
        <w:tabs>
          <w:tab w:leader="none" w:pos="1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690" w:right="3239" w:hanging="340"/>
        <w:spacing w:after="0" w:line="236" w:lineRule="auto"/>
        <w:tabs>
          <w:tab w:leader="none" w:pos="69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effect of the gross profit that would not be recognized under the Company's anticipated revenue recognition policy is reflected as a reduction of the Company's current income tax liability using an assumed tax rate of 40.3%. The remaining amount, net of the tax effect, is reflected as a reduction of retained earnings.</w:t>
      </w:r>
    </w:p>
    <w:p>
      <w:pPr>
        <w:spacing w:after="0" w:line="342" w:lineRule="exact"/>
        <w:rPr>
          <w:sz w:val="20"/>
          <w:szCs w:val="20"/>
          <w:color w:val="auto"/>
        </w:rPr>
      </w:pPr>
    </w:p>
    <w:p>
      <w:pPr>
        <w:ind w:left="350" w:right="3239" w:hanging="350"/>
        <w:spacing w:after="0" w:line="235"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 to convert LIFO basis inventory in historical Ortho financial statements to the FIFO basis which management anticipates adopting for Ortho inventory upon acquisition.</w:t>
      </w:r>
    </w:p>
    <w:p>
      <w:pPr>
        <w:spacing w:after="0" w:line="173" w:lineRule="exact"/>
        <w:rPr>
          <w:rFonts w:ascii="Courier New" w:cs="Courier New" w:eastAsia="Courier New" w:hAnsi="Courier New"/>
          <w:sz w:val="15"/>
          <w:szCs w:val="15"/>
          <w:color w:val="auto"/>
        </w:rPr>
      </w:pPr>
    </w:p>
    <w:p>
      <w:pPr>
        <w:ind w:left="350" w:right="3239" w:hanging="350"/>
        <w:spacing w:after="0" w:line="234"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net adjustment to goodwill and other intangibles as a result of the RPJ Acquisition as follows:</w:t>
      </w:r>
    </w:p>
    <w:p>
      <w:pPr>
        <w:spacing w:after="0" w:line="200" w:lineRule="exact"/>
        <w:rPr>
          <w:sz w:val="20"/>
          <w:szCs w:val="20"/>
          <w:color w:val="auto"/>
        </w:rPr>
      </w:pPr>
    </w:p>
    <w:p>
      <w:pPr>
        <w:spacing w:after="0" w:line="303"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5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Net amount of purchase price allocated to goodwill and other</w:t>
            </w:r>
          </w:p>
        </w:tc>
        <w:tc>
          <w:tcPr>
            <w:tcW w:w="70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intangibles (see note 7 to " --</w:t>
            </w:r>
          </w:p>
        </w:tc>
        <w:tc>
          <w:tcPr>
            <w:tcW w:w="2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Unaudited Selected Pro</w:t>
            </w:r>
          </w:p>
        </w:tc>
        <w:tc>
          <w:tcPr>
            <w:tcW w:w="700" w:type="dxa"/>
            <w:vAlign w:val="bottom"/>
          </w:tcPr>
          <w:p>
            <w:pPr>
              <w:spacing w:after="0"/>
              <w:rPr>
                <w:sz w:val="14"/>
                <w:szCs w:val="14"/>
                <w:color w:val="auto"/>
              </w:rPr>
            </w:pPr>
          </w:p>
        </w:tc>
      </w:tr>
      <w:tr>
        <w:trPr>
          <w:trHeight w:val="168"/>
        </w:trPr>
        <w:tc>
          <w:tcPr>
            <w:tcW w:w="54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Forma Combined Statement of Income")......................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$133.9</w:t>
            </w:r>
          </w:p>
        </w:tc>
      </w:tr>
      <w:tr>
        <w:trPr>
          <w:trHeight w:val="168"/>
        </w:trPr>
        <w:tc>
          <w:tcPr>
            <w:tcW w:w="54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Goodwill and other intangibles included in historical RPJ</w:t>
            </w:r>
          </w:p>
        </w:tc>
        <w:tc>
          <w:tcPr>
            <w:tcW w:w="700" w:type="dxa"/>
            <w:vAlign w:val="bottom"/>
          </w:tcPr>
          <w:p>
            <w:pPr>
              <w:spacing w:after="0"/>
              <w:rPr>
                <w:sz w:val="14"/>
                <w:szCs w:val="14"/>
                <w:color w:val="auto"/>
              </w:rPr>
            </w:pPr>
          </w:p>
        </w:tc>
      </w:tr>
      <w:tr>
        <w:trPr>
          <w:trHeight w:val="168"/>
        </w:trPr>
        <w:tc>
          <w:tcPr>
            <w:tcW w:w="54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balance sheet.............................................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82.2</w:t>
            </w:r>
          </w:p>
        </w:tc>
      </w:tr>
      <w:tr>
        <w:trPr>
          <w:trHeight w:val="168"/>
        </w:trPr>
        <w:tc>
          <w:tcPr>
            <w:tcW w:w="29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Pro forma adjustment...................................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$ 51.7</w:t>
            </w:r>
          </w:p>
        </w:tc>
      </w:tr>
    </w:tbl>
    <w:p>
      <w:pPr>
        <w:spacing w:after="0" w:line="341" w:lineRule="exact"/>
        <w:rPr>
          <w:sz w:val="20"/>
          <w:szCs w:val="20"/>
          <w:color w:val="auto"/>
        </w:rPr>
      </w:pPr>
    </w:p>
    <w:p>
      <w:pPr>
        <w:ind w:left="350" w:right="3239" w:hanging="350"/>
        <w:spacing w:after="0" w:line="234"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intangible asset for present value of payments to be made under the Access Rights Agreement.</w:t>
      </w:r>
    </w:p>
    <w:p>
      <w:pPr>
        <w:spacing w:after="0" w:line="173" w:lineRule="exact"/>
        <w:rPr>
          <w:rFonts w:ascii="Courier New" w:cs="Courier New" w:eastAsia="Courier New" w:hAnsi="Courier New"/>
          <w:sz w:val="15"/>
          <w:szCs w:val="15"/>
          <w:color w:val="auto"/>
        </w:rPr>
      </w:pPr>
    </w:p>
    <w:p>
      <w:pPr>
        <w:ind w:left="350" w:right="3239" w:hanging="350"/>
        <w:spacing w:after="0" w:line="234"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net adjustment to goodwill and other intangibles as a result of the Ortho Acquisition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5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Net amount of purchase price allocated to goodwill and other</w:t>
            </w:r>
          </w:p>
        </w:tc>
        <w:tc>
          <w:tcPr>
            <w:tcW w:w="70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intangibles (see note 8 to " --</w:t>
            </w:r>
          </w:p>
        </w:tc>
        <w:tc>
          <w:tcPr>
            <w:tcW w:w="2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Unaudited Selected Pro</w:t>
            </w:r>
          </w:p>
        </w:tc>
        <w:tc>
          <w:tcPr>
            <w:tcW w:w="700" w:type="dxa"/>
            <w:vAlign w:val="bottom"/>
          </w:tcPr>
          <w:p>
            <w:pPr>
              <w:spacing w:after="0"/>
              <w:rPr>
                <w:sz w:val="14"/>
                <w:szCs w:val="14"/>
                <w:color w:val="auto"/>
              </w:rPr>
            </w:pPr>
          </w:p>
        </w:tc>
      </w:tr>
      <w:tr>
        <w:trPr>
          <w:trHeight w:val="168"/>
        </w:trPr>
        <w:tc>
          <w:tcPr>
            <w:tcW w:w="54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Forma Combined Statement of Income")......................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$194.0</w:t>
            </w:r>
          </w:p>
        </w:tc>
      </w:tr>
      <w:tr>
        <w:trPr>
          <w:trHeight w:val="168"/>
        </w:trPr>
        <w:tc>
          <w:tcPr>
            <w:tcW w:w="54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Goodwill and other intangibles included in historical Ortho</w:t>
            </w:r>
          </w:p>
        </w:tc>
        <w:tc>
          <w:tcPr>
            <w:tcW w:w="700" w:type="dxa"/>
            <w:vAlign w:val="bottom"/>
          </w:tcPr>
          <w:p>
            <w:pPr>
              <w:spacing w:after="0"/>
              <w:rPr>
                <w:sz w:val="14"/>
                <w:szCs w:val="14"/>
                <w:color w:val="auto"/>
              </w:rPr>
            </w:pPr>
          </w:p>
        </w:tc>
      </w:tr>
      <w:tr>
        <w:trPr>
          <w:trHeight w:val="168"/>
        </w:trPr>
        <w:tc>
          <w:tcPr>
            <w:tcW w:w="54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balance sheet.............................................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166.7</w:t>
            </w:r>
          </w:p>
        </w:tc>
      </w:tr>
      <w:tr>
        <w:trPr>
          <w:trHeight w:val="168"/>
        </w:trPr>
        <w:tc>
          <w:tcPr>
            <w:tcW w:w="29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Pro forma adjustment...................................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$ 27.3</w:t>
            </w:r>
          </w:p>
        </w:tc>
      </w:tr>
    </w:tbl>
    <w:p>
      <w:pPr>
        <w:spacing w:after="0" w:line="200" w:lineRule="exact"/>
        <w:rPr>
          <w:sz w:val="20"/>
          <w:szCs w:val="20"/>
          <w:color w:val="auto"/>
        </w:rPr>
      </w:pPr>
    </w:p>
    <w:p>
      <w:pPr>
        <w:spacing w:after="0" w:line="309" w:lineRule="exact"/>
        <w:rPr>
          <w:sz w:val="20"/>
          <w:szCs w:val="20"/>
          <w:color w:val="auto"/>
        </w:rPr>
      </w:pPr>
    </w:p>
    <w:p>
      <w:pPr>
        <w:ind w:left="350" w:right="3399" w:hanging="350"/>
        <w:spacing w:after="0" w:line="258" w:lineRule="auto"/>
        <w:tabs>
          <w:tab w:leader="none" w:pos="35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estimated transaction costs incurred to secure the New Credit Facility of $15 million and costs incurred in connection with the offering of the $330 million Senior Subordinated Notes of $11 million.</w:t>
      </w:r>
    </w:p>
    <w:p>
      <w:pPr>
        <w:spacing w:after="0" w:line="161" w:lineRule="exact"/>
        <w:rPr>
          <w:rFonts w:ascii="Courier New" w:cs="Courier New" w:eastAsia="Courier New" w:hAnsi="Courier New"/>
          <w:sz w:val="14"/>
          <w:szCs w:val="14"/>
          <w:color w:val="auto"/>
        </w:rPr>
      </w:pPr>
    </w:p>
    <w:p>
      <w:pPr>
        <w:ind w:left="350" w:right="3319" w:hanging="350"/>
        <w:spacing w:after="0" w:line="258" w:lineRule="auto"/>
        <w:tabs>
          <w:tab w:leader="none" w:pos="35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1998, the Company entered into two interest rate locks to hedge its anticipated interest rate exposure on the Senior Subordinated Notes offering. The total amount paid to settle the rate locks was $12.9 million.</w:t>
      </w:r>
    </w:p>
    <w:p>
      <w:pPr>
        <w:sectPr>
          <w:pgSz w:w="11900" w:h="16838" w:orient="portrait"/>
          <w:cols w:equalWidth="0" w:num="1">
            <w:col w:w="10229"/>
          </w:cols>
          <w:pgMar w:left="230" w:top="281" w:right="1440" w:bottom="1440" w:gutter="0" w:footer="0" w:header="0"/>
        </w:sectPr>
      </w:pPr>
    </w:p>
    <w:p>
      <w:pPr>
        <w:spacing w:after="0" w:line="32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281" w:right="1440" w:bottom="1440" w:gutter="0" w:footer="0" w:header="0"/>
          <w:type w:val="continuous"/>
        </w:sectPr>
      </w:pPr>
    </w:p>
    <w:bookmarkStart w:id="23" w:name="page24"/>
    <w:bookmarkEnd w:id="23"/>
    <w:p>
      <w:pPr>
        <w:ind w:left="270"/>
        <w:spacing w:after="0"/>
        <w:rPr>
          <w:sz w:val="20"/>
          <w:szCs w:val="20"/>
          <w:color w:val="auto"/>
        </w:rPr>
      </w:pPr>
      <w:r>
        <w:rPr>
          <w:rFonts w:ascii="Courier New" w:cs="Courier New" w:eastAsia="Courier New" w:hAnsi="Courier New"/>
          <w:sz w:val="15"/>
          <w:szCs w:val="15"/>
          <w:color w:val="auto"/>
        </w:rPr>
        <w:t>19</w:t>
      </w:r>
    </w:p>
    <w:p>
      <w:pPr>
        <w:spacing w:after="0" w:line="341" w:lineRule="exact"/>
        <w:rPr>
          <w:sz w:val="20"/>
          <w:szCs w:val="20"/>
          <w:color w:val="auto"/>
        </w:rPr>
      </w:pPr>
    </w:p>
    <w:p>
      <w:pPr>
        <w:ind w:left="350" w:right="3499" w:hanging="350"/>
        <w:spacing w:after="0" w:line="261" w:lineRule="auto"/>
        <w:tabs>
          <w:tab w:leader="none" w:pos="3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summarizes the sources and uses of cash in connection with the Transactions, the New Credit Facility and this offering:</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5" w:lineRule="exact"/>
        <w:rPr>
          <w:rFonts w:ascii="Courier New" w:cs="Courier New" w:eastAsia="Courier New" w:hAnsi="Courier New"/>
          <w:sz w:val="14"/>
          <w:szCs w:val="14"/>
          <w:color w:val="auto"/>
        </w:rPr>
      </w:pPr>
    </w:p>
    <w:p>
      <w:pPr>
        <w:ind w:left="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Sources:</w:t>
      </w:r>
    </w:p>
    <w:tbl>
      <w:tblPr>
        <w:tblLayout w:type="fixed"/>
        <w:tblInd w:w="350" w:type="dxa"/>
        <w:tblCellMar>
          <w:top w:w="0" w:type="dxa"/>
          <w:left w:w="0" w:type="dxa"/>
          <w:bottom w:w="0" w:type="dxa"/>
          <w:right w:w="0" w:type="dxa"/>
        </w:tblCellMar>
      </w:tblPr>
      <w:tr>
        <w:trPr>
          <w:trHeight w:val="168"/>
        </w:trPr>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Credit Facility:</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Revolving Credit Facility..............................</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Pound Sterling Term Loan...............................</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French Franc Term Loan.................................</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57.0</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Deutschemark Term Loan.................................</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Tranche B Term Loan....................................</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140.0</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Tranche C Term Loan....................................</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RPJ Seller Notes.......................................</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8.625% Senior Subordinated Notes.......................</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330.0</w:t>
            </w:r>
          </w:p>
        </w:tc>
      </w:tr>
      <w:tr>
        <w:trPr>
          <w:trHeight w:val="168"/>
        </w:trPr>
        <w:tc>
          <w:tcPr>
            <w:tcW w:w="542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sources........................................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913.3</w:t>
            </w:r>
          </w:p>
        </w:tc>
      </w:tr>
      <w:tr>
        <w:trPr>
          <w:trHeight w:val="168"/>
        </w:trPr>
        <w:tc>
          <w:tcPr>
            <w:tcW w:w="5420" w:type="dxa"/>
            <w:vAlign w:val="bottom"/>
          </w:tcPr>
          <w:p>
            <w:pPr>
              <w:jc w:val="right"/>
              <w:ind w:right="4907"/>
              <w:spacing w:after="0" w:line="168" w:lineRule="exact"/>
              <w:rPr>
                <w:sz w:val="20"/>
                <w:szCs w:val="20"/>
                <w:color w:val="auto"/>
              </w:rPr>
            </w:pPr>
            <w:r>
              <w:rPr>
                <w:rFonts w:ascii="Courier New" w:cs="Courier New" w:eastAsia="Courier New" w:hAnsi="Courier New"/>
                <w:sz w:val="15"/>
                <w:szCs w:val="15"/>
                <w:color w:val="auto"/>
                <w:w w:val="93"/>
              </w:rPr>
              <w:t>Uses:</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Ortho Acquisition (a).....................................</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Ortho transaction costs...................................</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RPJ Acquisition...........................................</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142.5</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Acquire rights under Access Rights Agreement..............</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RPJ transaction costs.....................................</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Roundup Marketing Fee.....................................</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w:t>
            </w:r>
          </w:p>
        </w:tc>
      </w:tr>
      <w:tr>
        <w:trPr>
          <w:trHeight w:val="168"/>
        </w:trPr>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Repayment of existing indebtedness:</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Old Credit Facility....................................</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253.5</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 7/8% Senior Subordinated Notes (b)...................</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108.7</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Settle treasury rate locks................................</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Transaction costs (c).....................................</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542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uses...........................................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913.3</w:t>
            </w:r>
          </w:p>
        </w:tc>
      </w:tr>
    </w:tbl>
    <w:p>
      <w:pPr>
        <w:spacing w:after="0" w:line="200" w:lineRule="exact"/>
        <w:rPr>
          <w:sz w:val="20"/>
          <w:szCs w:val="20"/>
          <w:color w:val="auto"/>
        </w:rPr>
      </w:pPr>
    </w:p>
    <w:p>
      <w:pPr>
        <w:spacing w:after="0" w:line="303" w:lineRule="exact"/>
        <w:rPr>
          <w:sz w:val="20"/>
          <w:szCs w:val="20"/>
          <w:color w:val="auto"/>
        </w:rPr>
      </w:pPr>
    </w:p>
    <w:p>
      <w:pPr>
        <w:ind w:left="170" w:hanging="170"/>
        <w:spacing w:after="0"/>
        <w:tabs>
          <w:tab w:leader="none" w:pos="1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90" w:right="3319" w:hanging="353"/>
        <w:spacing w:after="0" w:line="234" w:lineRule="auto"/>
        <w:tabs>
          <w:tab w:leader="none" w:pos="79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any adjustment for the level of normalized working capital as of the closing date of the Ortho Acquisition. See "The</w:t>
      </w:r>
    </w:p>
    <w:p>
      <w:pPr>
        <w:spacing w:after="0" w:line="5" w:lineRule="exact"/>
        <w:rPr>
          <w:sz w:val="20"/>
          <w:szCs w:val="20"/>
          <w:color w:val="auto"/>
        </w:rPr>
      </w:pPr>
    </w:p>
    <w:p>
      <w:pPr>
        <w:ind w:left="790" w:right="3399"/>
        <w:spacing w:after="0" w:line="234" w:lineRule="auto"/>
        <w:rPr>
          <w:sz w:val="20"/>
          <w:szCs w:val="20"/>
          <w:color w:val="auto"/>
        </w:rPr>
      </w:pPr>
      <w:r>
        <w:rPr>
          <w:rFonts w:ascii="Courier New" w:cs="Courier New" w:eastAsia="Courier New" w:hAnsi="Courier New"/>
          <w:sz w:val="15"/>
          <w:szCs w:val="15"/>
          <w:color w:val="auto"/>
        </w:rPr>
        <w:t>Transactions -- Ortho Acquisition" in the Registrant's Form 8-K dated January 7, 1999 and incorporated by reference herein.</w:t>
      </w:r>
    </w:p>
    <w:p>
      <w:pPr>
        <w:spacing w:after="0" w:line="341" w:lineRule="exact"/>
        <w:rPr>
          <w:sz w:val="20"/>
          <w:szCs w:val="20"/>
          <w:color w:val="auto"/>
        </w:rPr>
      </w:pPr>
    </w:p>
    <w:p>
      <w:pPr>
        <w:ind w:left="790" w:right="3239" w:hanging="353"/>
        <w:spacing w:after="0" w:line="255" w:lineRule="auto"/>
        <w:tabs>
          <w:tab w:leader="none" w:pos="79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redemption of 97.1% of the currently outstanding 9 7/8% Senior Subordinated Notes at a redemption premium of 107.258% and accrued interest of $4.5 million. The difference between the estimated amount to be paid to retire this portion of these notes and their carrying value ($96.6 million) represents an extraordinary loss on the retirement of $7.6 million. The after-tax amount of the loss of $4.5 million is reflected as a reduction in retained earnings. The estimated tax effect (using a tax rate of 40.3%) is reflected as a reduction in the Company's current income tax liability.</w:t>
      </w:r>
    </w:p>
    <w:p>
      <w:pPr>
        <w:spacing w:after="0" w:line="165" w:lineRule="exact"/>
        <w:rPr>
          <w:rFonts w:ascii="Courier New" w:cs="Courier New" w:eastAsia="Courier New" w:hAnsi="Courier New"/>
          <w:sz w:val="14"/>
          <w:szCs w:val="14"/>
          <w:color w:val="auto"/>
        </w:rPr>
      </w:pPr>
    </w:p>
    <w:p>
      <w:pPr>
        <w:ind w:left="790" w:right="3239" w:hanging="353"/>
        <w:spacing w:after="0" w:line="236" w:lineRule="auto"/>
        <w:tabs>
          <w:tab w:leader="none" w:pos="79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costs consist of costs to secure the New Credit Facility of $15 million and costs, including discounts and commissions, in connection with the offering of the 8.625% Senior Subordinated Notes of $11 million. Costs associated with the New Credit Facility and the Notes offering ($26.0 million combined) are included in Other Assets in the pro forma balance sheet (see footnote (6)).</w:t>
      </w:r>
    </w:p>
    <w:p>
      <w:pPr>
        <w:spacing w:after="0" w:line="343" w:lineRule="exact"/>
        <w:rPr>
          <w:rFonts w:ascii="Courier New" w:cs="Courier New" w:eastAsia="Courier New" w:hAnsi="Courier New"/>
          <w:sz w:val="15"/>
          <w:szCs w:val="15"/>
          <w:color w:val="auto"/>
        </w:rPr>
      </w:pPr>
    </w:p>
    <w:p>
      <w:pPr>
        <w:ind w:left="430" w:right="4019" w:hanging="430"/>
        <w:spacing w:after="0" w:line="234" w:lineRule="auto"/>
        <w:tabs>
          <w:tab w:leader="none" w:pos="4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historical equity of the RPJ and Ortho businesses.</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20</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33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EXHIBIT NUMBER</w:t>
      </w:r>
      <w:r>
        <w:rPr>
          <w:sz w:val="20"/>
          <w:szCs w:val="20"/>
          <w:color w:val="auto"/>
        </w:rPr>
        <w:tab/>
      </w:r>
      <w:r>
        <w:rPr>
          <w:rFonts w:ascii="Courier New" w:cs="Courier New" w:eastAsia="Courier New" w:hAnsi="Courier New"/>
          <w:sz w:val="14"/>
          <w:szCs w:val="14"/>
          <w:color w:val="auto"/>
        </w:rPr>
        <w:t>DESCRIPTION</w:t>
      </w:r>
    </w:p>
    <w:p>
      <w:pPr>
        <w:spacing w:after="0"/>
        <w:tabs>
          <w:tab w:leader="none" w:pos="19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1760" w:hanging="1313"/>
        <w:spacing w:after="0" w:line="236" w:lineRule="auto"/>
        <w:tabs>
          <w:tab w:leader="none" w:pos="17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Purchase Agreement dated as of November 11, 1998, by and between The Scotts Company and Monsanto Company, a copy of which is attached to the Registrant's Form 10-K filed December 21, 1998 as Exhibit 2(d) and incorporated by reference herein.</w:t>
      </w:r>
    </w:p>
    <w:p>
      <w:pPr>
        <w:spacing w:after="0" w:line="174" w:lineRule="exact"/>
        <w:rPr>
          <w:sz w:val="20"/>
          <w:szCs w:val="20"/>
          <w:color w:val="auto"/>
        </w:rPr>
      </w:pPr>
    </w:p>
    <w:p>
      <w:pPr>
        <w:ind w:left="3420" w:right="1920" w:hanging="3060"/>
        <w:spacing w:after="0" w:line="703" w:lineRule="auto"/>
        <w:tabs>
          <w:tab w:leader="none" w:pos="175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Press Release issued January 21, 1999 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2">
            <w:col w:w="6920" w:space="520"/>
            <w:col w:w="279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Exhibit 99</w:t>
      </w:r>
    </w:p>
    <w:p>
      <w:pPr>
        <w:ind w:left="60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SCOTTS COMPLETES ORTHO(R) ACQUISITION</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CLOSES $330 MILLION NOTE OFFERING</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Marysville, Ohio, January 21, 1999 -- The Scotts Company (NYSE:SMG) today announced that it has completed the acquisition of the assets of the non-Roundup(R) consumer lawn and garden business of Monsanto Company (NYSE:MTC), including its Ortho(R) product line, for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 million.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acquisition of assets also includes the Weed-B-Gon(R), Rose Pride(R), and Home Defense(R) product lines in the U.S.; Green Cross(R) the leading consumer pesticides business in Canada; Phostrogen(R) in the U.K.; and Defender(R) in Australia.</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"This acquisition essentially completes our plan to become a global leader in every major consumer lawn and garden category in virtually all significant markets in the world," said Charles M. Berger, Scotts' Chairman, President and Chief Executive Officer. "Our top priority now is to create greater value for shareholders by extending our proven consumer pull strategies to the new brands that we have added to our global portfolio and by realizing the potential for integration synergies from all of our recent acquisitions."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Ortho business, we expect synergies to result in annual cost savings of $18 million to $27 million by fiscal year 2001," said James Hagedorn, President, Scotts North America. "The cost savings will come from integrating selling activities and administrative functions, streamlining distribution, combining regulatory and research activities, achieving purchasing economies, rationalizing non-core operations and other initiatives. We plan to reinvest $15 million to $20 million of savings to generate profitable growth for the Ortho business through increased advertising, new product launches and various integration activities."</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Scotts also said today that is has closed its previously announced offering of $330 million of 10-year 8-5/8% Senior Subordinated Notes due 2009. The net proceeds from the offering, together with borrowings under Scotts' bank facility, were used to fund the payment to Monsanto</w:t>
      </w:r>
    </w:p>
    <w:p>
      <w:pPr>
        <w:sectPr>
          <w:pgSz w:w="11900" w:h="16838" w:orient="portrait"/>
          <w:cols w:equalWidth="0" w:num="1">
            <w:col w:w="10239"/>
          </w:cols>
          <w:pgMar w:left="220" w:top="135"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Company for the Ortho acquisition and to repurchase approximately 97% of the Company's $100 million outstanding 9-7/8% Senior Subordinated Notes due August 1, 2004.</w:t>
      </w:r>
    </w:p>
    <w:p>
      <w:pPr>
        <w:spacing w:after="0" w:line="174" w:lineRule="exact"/>
        <w:rPr>
          <w:sz w:val="20"/>
          <w:szCs w:val="20"/>
          <w:color w:val="auto"/>
        </w:rPr>
      </w:pPr>
    </w:p>
    <w:p>
      <w:pPr>
        <w:ind w:right="3839" w:firstLine="437"/>
        <w:spacing w:after="0" w:line="261" w:lineRule="auto"/>
        <w:rPr>
          <w:sz w:val="20"/>
          <w:szCs w:val="20"/>
          <w:color w:val="auto"/>
        </w:rPr>
      </w:pPr>
      <w:r>
        <w:rPr>
          <w:rFonts w:ascii="Courier New" w:cs="Courier New" w:eastAsia="Courier New" w:hAnsi="Courier New"/>
          <w:sz w:val="14"/>
          <w:szCs w:val="14"/>
          <w:color w:val="auto"/>
        </w:rPr>
        <w:t>Salomon Smith Barney was the lead manager of the offering, and Chase Securities, Inc., and Credit Lyonnais Securities were the co-managers.</w:t>
      </w:r>
    </w:p>
    <w:p>
      <w:pPr>
        <w:spacing w:after="0" w:line="160"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Scotts Company is the world's leading supplier of consumer products for lawn and garden care, with a full range of products for professional turf care and horticulture as well. The company owns what are by far the industry's most recognized brands. In the U.S., consumer awareness of the company's Scotts(R), Miracle-Gro(R) and Ortho(R) brands outscores the nearest competitors in their categories by several times, as does awareness of the consumer Roundup(R) brand which is owned by Monsanto. Scotts has entered into an agreement with Monsanto to be the exclusive marketing agent for consumer Roundup(R) worldwide. In the U.K., Scotts' brands include Weedol(R) and Pathclear(R), the top-selling consumer herbicides; Evergreen(R), the leading lawn fertilizer line; the Levington(R) line of lawn and garden products; and Miracle-Gro(R), the leading plant fertilizer. The Company's leading brands in continental Europe include KB(R) and Fertiligene(R) in France and NexaLotte(R) and Celaflor(R) in Germany.</w:t>
      </w:r>
    </w:p>
    <w:p>
      <w:pPr>
        <w:spacing w:after="0" w:line="174" w:lineRule="exact"/>
        <w:rPr>
          <w:sz w:val="20"/>
          <w:szCs w:val="20"/>
          <w:color w:val="auto"/>
        </w:rPr>
      </w:pPr>
    </w:p>
    <w:p>
      <w:pPr>
        <w:jc w:val="both"/>
        <w:ind w:right="3399" w:firstLine="437"/>
        <w:spacing w:after="0" w:line="255" w:lineRule="auto"/>
        <w:rPr>
          <w:sz w:val="20"/>
          <w:szCs w:val="20"/>
          <w:color w:val="auto"/>
        </w:rPr>
      </w:pPr>
      <w:r>
        <w:rPr>
          <w:rFonts w:ascii="Courier New" w:cs="Courier New" w:eastAsia="Courier New" w:hAnsi="Courier New"/>
          <w:sz w:val="14"/>
          <w:szCs w:val="14"/>
          <w:color w:val="auto"/>
        </w:rPr>
        <w:t>Statement under the Private Securities Litigation Act of 1995: Certain of the statements contained in this press release, including, but not limited to, information regarding the future economic performance and financial condition of the company, the plans and objectives of the company's management, and the company's assumptions regarding such performance and plans are forward looking in nature. Actual results could differ from the forward looking information in this release, due to a variety of factors, including, but not limited to:</w:t>
      </w:r>
    </w:p>
    <w:p>
      <w:pPr>
        <w:spacing w:after="0" w:line="166" w:lineRule="exact"/>
        <w:rPr>
          <w:sz w:val="20"/>
          <w:szCs w:val="20"/>
          <w:color w:val="auto"/>
        </w:rPr>
      </w:pPr>
    </w:p>
    <w:p>
      <w:pPr>
        <w:ind w:left="440" w:right="3679" w:hanging="430"/>
        <w:spacing w:after="0" w:line="234" w:lineRule="auto"/>
        <w:tabs>
          <w:tab w:leader="none" w:pos="17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marketplace acceptance of the Company's "pull" advertising marketing strategies;</w:t>
      </w:r>
    </w:p>
    <w:p>
      <w:pPr>
        <w:spacing w:after="0" w:line="173" w:lineRule="exact"/>
        <w:rPr>
          <w:rFonts w:ascii="Courier New" w:cs="Courier New" w:eastAsia="Courier New" w:hAnsi="Courier New"/>
          <w:sz w:val="15"/>
          <w:szCs w:val="15"/>
          <w:color w:val="auto"/>
        </w:rPr>
      </w:pPr>
    </w:p>
    <w:p>
      <w:pPr>
        <w:ind w:left="440" w:right="3499" w:hanging="430"/>
        <w:spacing w:after="0" w:line="234" w:lineRule="auto"/>
        <w:tabs>
          <w:tab w:leader="none" w:pos="17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maintain profit margins and to produce products and add production capacity on a timely basis;</w:t>
      </w:r>
    </w:p>
    <w:p>
      <w:pPr>
        <w:spacing w:after="0" w:line="173" w:lineRule="exact"/>
        <w:rPr>
          <w:rFonts w:ascii="Courier New" w:cs="Courier New" w:eastAsia="Courier New" w:hAnsi="Courier New"/>
          <w:sz w:val="15"/>
          <w:szCs w:val="15"/>
          <w:color w:val="auto"/>
        </w:rPr>
      </w:pPr>
    </w:p>
    <w:p>
      <w:pPr>
        <w:ind w:left="440" w:right="3319" w:hanging="430"/>
        <w:spacing w:after="0" w:line="234" w:lineRule="auto"/>
        <w:tabs>
          <w:tab w:leader="none" w:pos="17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in the North American and European consumer and professional segments;</w:t>
      </w:r>
    </w:p>
    <w:p>
      <w:pPr>
        <w:spacing w:after="0" w:line="173" w:lineRule="exact"/>
        <w:rPr>
          <w:rFonts w:ascii="Courier New" w:cs="Courier New" w:eastAsia="Courier New" w:hAnsi="Courier New"/>
          <w:sz w:val="15"/>
          <w:szCs w:val="15"/>
          <w:color w:val="auto"/>
        </w:rPr>
      </w:pPr>
    </w:p>
    <w:p>
      <w:pPr>
        <w:ind w:left="440" w:right="3139" w:hanging="430"/>
        <w:spacing w:after="0" w:line="234" w:lineRule="auto"/>
        <w:tabs>
          <w:tab w:leader="none" w:pos="17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between and the recent consolidation within the retail outlets selling the Company's products;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Public perceptions regarding the safety of the Company's products;</w:t>
      </w:r>
    </w:p>
    <w:p>
      <w:pPr>
        <w:spacing w:after="0" w:line="172" w:lineRule="exact"/>
        <w:rPr>
          <w:rFonts w:ascii="Courier New" w:cs="Courier New" w:eastAsia="Courier New" w:hAnsi="Courier New"/>
          <w:sz w:val="15"/>
          <w:szCs w:val="15"/>
          <w:color w:val="auto"/>
        </w:rPr>
      </w:pPr>
    </w:p>
    <w:p>
      <w:pPr>
        <w:ind w:left="440" w:right="3139" w:hanging="430"/>
        <w:spacing w:after="0" w:line="234" w:lineRule="auto"/>
        <w:tabs>
          <w:tab w:leader="none" w:pos="17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economic conditions, interest rates and currency exchange rates in the countries in which the company operates;</w:t>
      </w:r>
    </w:p>
    <w:p>
      <w:pPr>
        <w:spacing w:after="0" w:line="173" w:lineRule="exact"/>
        <w:rPr>
          <w:rFonts w:ascii="Courier New" w:cs="Courier New" w:eastAsia="Courier New" w:hAnsi="Courier New"/>
          <w:sz w:val="15"/>
          <w:szCs w:val="15"/>
          <w:color w:val="auto"/>
        </w:rPr>
      </w:pPr>
    </w:p>
    <w:p>
      <w:pPr>
        <w:ind w:left="440" w:right="3239" w:hanging="430"/>
        <w:spacing w:after="0" w:line="235" w:lineRule="auto"/>
        <w:tabs>
          <w:tab w:leader="none" w:pos="17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improve processes and business practices to keep pace with the economic, competitive and technological environment, including successful completion of the Company's Enterprise Resource Planning project;</w:t>
      </w:r>
    </w:p>
    <w:p>
      <w:pPr>
        <w:spacing w:after="0" w:line="175" w:lineRule="exact"/>
        <w:rPr>
          <w:rFonts w:ascii="Courier New" w:cs="Courier New" w:eastAsia="Courier New" w:hAnsi="Courier New"/>
          <w:sz w:val="15"/>
          <w:szCs w:val="15"/>
          <w:color w:val="auto"/>
        </w:rPr>
      </w:pPr>
    </w:p>
    <w:p>
      <w:pPr>
        <w:ind w:left="440" w:right="3579" w:hanging="430"/>
        <w:spacing w:after="0" w:line="235" w:lineRule="auto"/>
        <w:tabs>
          <w:tab w:leader="none" w:pos="17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ability, and that of its third party suppliers and customers, to address information technology issues related to the year 2000; and</w:t>
      </w:r>
    </w:p>
    <w:p>
      <w:pPr>
        <w:spacing w:after="0" w:line="16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ability to integrate several recent acquisitions.</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p>
    <w:sectPr>
      <w:pgSz w:w="11900" w:h="16838" w:orient="portrait"/>
      <w:cols w:equalWidth="0" w:num="1">
        <w:col w:w="10239"/>
      </w:cols>
      <w:pgMar w:left="220" w:top="2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2"/>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9"/>
    </w:lvl>
  </w:abstractNum>
  <w:abstractNum w:abstractNumId="3">
    <w:nsid w:val="DED7263"/>
    <w:multiLevelType w:val="hybridMultilevel"/>
    <w:lvl w:ilvl="0">
      <w:lvlJc w:val="left"/>
      <w:lvlText w:val="%1."/>
      <w:numFmt w:val="decimal"/>
      <w:start w:val="10"/>
    </w:lvl>
  </w:abstractNum>
  <w:abstractNum w:abstractNumId="4">
    <w:nsid w:val="7FDCC233"/>
    <w:multiLevelType w:val="hybridMultilevel"/>
    <w:lvl w:ilvl="0">
      <w:lvlJc w:val="left"/>
      <w:lvlText w:val="%1."/>
      <w:numFmt w:val="decimal"/>
      <w:start w:val="11"/>
    </w:lvl>
  </w:abstractNum>
  <w:abstractNum w:abstractNumId="5">
    <w:nsid w:val="1BEFD79F"/>
    <w:multiLevelType w:val="hybridMultilevel"/>
    <w:lvl w:ilvl="0">
      <w:lvlJc w:val="left"/>
      <w:lvlText w:val="-"/>
      <w:numFmt w:val="bullet"/>
      <w:start w:val="1"/>
    </w:lvl>
    <w:lvl w:ilvl="1">
      <w:lvlJc w:val="left"/>
      <w:lvlText w:val="(%2)"/>
      <w:numFmt w:val="decimal"/>
      <w:start w:val="1"/>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8"/>
    </w:lvl>
  </w:abstractNum>
  <w:abstractNum w:abstractNumId="9">
    <w:nsid w:val="25E45D32"/>
    <w:multiLevelType w:val="hybridMultilevel"/>
    <w:lvl w:ilvl="0">
      <w:lvlJc w:val="left"/>
      <w:lvlText w:val="(%1)"/>
      <w:numFmt w:val="decimal"/>
      <w:start w:val="10"/>
    </w:lvl>
  </w:abstractNum>
  <w:abstractNum w:abstractNumId="10">
    <w:nsid w:val="519B500D"/>
    <w:multiLevelType w:val="hybridMultilevel"/>
    <w:lvl w:ilvl="0">
      <w:lvlJc w:val="left"/>
      <w:lvlText w:val="-"/>
      <w:numFmt w:val="bullet"/>
      <w:start w:val="1"/>
    </w:lvl>
    <w:lvl w:ilvl="1">
      <w:lvlJc w:val="left"/>
      <w:lvlText w:val="(%2)"/>
      <w:numFmt w:val="lowerLetter"/>
      <w:start w:val="1"/>
    </w:lvl>
  </w:abstractNum>
  <w:abstractNum w:abstractNumId="11">
    <w:nsid w:val="431BD7B7"/>
    <w:multiLevelType w:val="hybridMultilevel"/>
    <w:lvl w:ilvl="0">
      <w:lvlJc w:val="left"/>
      <w:lvlText w:val="(%1)"/>
      <w:numFmt w:val="decimal"/>
      <w:start w:val="12"/>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lvl w:ilvl="1">
      <w:lvlJc w:val="left"/>
      <w:lvlText w:val="(%2)"/>
      <w:numFmt w:val="lowerLetter"/>
      <w:start w:val="1"/>
    </w:lvl>
  </w:abstractNum>
  <w:abstractNum w:abstractNumId="14">
    <w:nsid w:val="257130A3"/>
    <w:multiLevelType w:val="hybridMultilevel"/>
    <w:lvl w:ilvl="0">
      <w:lvlJc w:val="left"/>
      <w:lvlText w:val="(%1)"/>
      <w:numFmt w:val="decimal"/>
      <w:start w:val="3"/>
    </w:lvl>
  </w:abstractNum>
  <w:abstractNum w:abstractNumId="15">
    <w:nsid w:val="62BBD95A"/>
    <w:multiLevelType w:val="hybridMultilevel"/>
    <w:lvl w:ilvl="0">
      <w:lvlJc w:val="left"/>
      <w:lvlText w:val="(%1)"/>
      <w:numFmt w:val="decimal"/>
      <w:start w:val="5"/>
    </w:lvl>
  </w:abstractNum>
  <w:abstractNum w:abstractNumId="16">
    <w:nsid w:val="436C6125"/>
    <w:multiLevelType w:val="hybridMultilevel"/>
    <w:lvl w:ilvl="0">
      <w:lvlJc w:val="left"/>
      <w:lvlText w:val="(%1)"/>
      <w:numFmt w:val="decimal"/>
      <w:start w:val="7"/>
    </w:lvl>
  </w:abstractNum>
  <w:abstractNum w:abstractNumId="17">
    <w:nsid w:val="628C895D"/>
    <w:multiLevelType w:val="hybridMultilevel"/>
    <w:lvl w:ilvl="0">
      <w:lvlJc w:val="left"/>
      <w:lvlText w:val="(%1)"/>
      <w:numFmt w:val="decimal"/>
      <w:start w:val="9"/>
    </w:lvl>
  </w:abstractNum>
  <w:abstractNum w:abstractNumId="18">
    <w:nsid w:val="333AB105"/>
    <w:multiLevelType w:val="hybridMultilevel"/>
    <w:lvl w:ilvl="0">
      <w:lvlJc w:val="left"/>
      <w:lvlText w:val="-"/>
      <w:numFmt w:val="bullet"/>
      <w:start w:val="1"/>
    </w:lvl>
    <w:lvl w:ilvl="1">
      <w:lvlJc w:val="left"/>
      <w:lvlText w:val="(%2)"/>
      <w:numFmt w:val="lowerLetter"/>
      <w:start w:val="1"/>
    </w:lvl>
  </w:abstractNum>
  <w:abstractNum w:abstractNumId="19">
    <w:nsid w:val="721DA317"/>
    <w:multiLevelType w:val="hybridMultilevel"/>
    <w:lvl w:ilvl="0">
      <w:lvlJc w:val="left"/>
      <w:lvlText w:val="%1"/>
      <w:numFmt w:val="decimal"/>
      <w:start w:val="1"/>
    </w:lvl>
    <w:lvl w:ilvl="1">
      <w:lvlJc w:val="left"/>
      <w:lvlText w:val="(%2)"/>
      <w:numFmt w:val="lowerLetter"/>
      <w:start w:val="2"/>
    </w:lvl>
  </w:abstractNum>
  <w:abstractNum w:abstractNumId="20">
    <w:nsid w:val="2443A858"/>
    <w:multiLevelType w:val="hybridMultilevel"/>
    <w:lvl w:ilvl="0">
      <w:lvlJc w:val="left"/>
      <w:lvlText w:val="(%1)"/>
      <w:numFmt w:val="decimal"/>
      <w:start w:val="10"/>
    </w:lvl>
    <w:lvl w:ilvl="1">
      <w:lvlJc w:val="left"/>
      <w:lvlText w:val="%2"/>
      <w:numFmt w:val="lowerLetter"/>
      <w:start w:val="1"/>
    </w:lvl>
  </w:abstractNum>
  <w:abstractNum w:abstractNumId="21">
    <w:nsid w:val="2D1D5AE9"/>
    <w:multiLevelType w:val="hybridMultilevel"/>
    <w:lvl w:ilvl="0">
      <w:lvlJc w:val="left"/>
      <w:lvlText w:val="2"/>
      <w:numFmt w:val="bullet"/>
      <w:start w:val="1"/>
    </w:lvl>
  </w:abstractNum>
  <w:abstractNum w:abstractNumId="22">
    <w:nsid w:val="6763845E"/>
    <w:multiLevelType w:val="hybridMultilevel"/>
    <w:lvl w:ilvl="0">
      <w:lvlJc w:val="left"/>
      <w:lvlText w:val="%1"/>
      <w:numFmt w:val="decimal"/>
      <w:start w:val="99"/>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2019-12-20T06:18:57Z</dcterms:created>
  <dcterms:modified xsi:type="dcterms:W3CDTF">2019-12-20T06:18:57Z</dcterms:modified>
</cp:coreProperties>
</file>