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The Scotts Miracle-Gro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810186106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Rob McMahon &amp; Ivan Smith</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Hagedorn Partnership, L.P., 44 South Bayles Avenue, Suite 218</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Port Washington, NY, 11050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(000) 000-0000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Louis Rambo</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Proskauer Rose, LLP, 1001 Pennsylvania Avenue NW, Suite 600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20004-2533</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 416-6800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11/19/2025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0"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ectPr>
          <w:pgSz w:w="11900" w:h="16838" w:orient="portrait"/>
          <w:cols w:equalWidth="0" w:num="1">
            <w:col w:w="11240"/>
          </w:cols>
          <w:pgMar w:left="320" w:top="866" w:right="339" w:bottom="0" w:gutter="0" w:footer="0" w:header="0"/>
          <w:type w:val="continuous"/>
        </w:sectPr>
      </w:pPr>
    </w:p>
    <w:bookmarkStart w:id="1" w:name="page2"/>
    <w:bookmarkEnd w:id="1"/>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Hagedorn Partnership,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63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57" w:orient="portrait"/>
          <w:cols w:equalWidth="0" w:num="2">
            <w:col w:w="1060" w:space="60"/>
            <w:col w:w="8979"/>
          </w:cols>
          <w:pgMar w:left="360" w:top="63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Katherine Hagedorn Littlefield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ectPr>
          <w:pgSz w:w="11900" w:h="16857" w:orient="portrait"/>
          <w:cols w:equalWidth="0" w:num="1">
            <w:col w:w="10099"/>
          </w:cols>
          <w:pgMar w:left="360" w:top="639" w:right="1440" w:bottom="0" w:gutter="0" w:footer="0" w:header="0"/>
          <w:type w:val="continuous"/>
        </w:sectPr>
      </w:pPr>
    </w:p>
    <w:bookmarkStart w:id="2" w:name="page3"/>
    <w:bookmarkEnd w:id="2"/>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6,940.00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13,224,581.00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James Hagedorn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10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134,625.46</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1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13,217,641.00</w:t>
            </w:r>
          </w:p>
        </w:tc>
        <w:tc>
          <w:tcPr>
            <w:tcW w:w="0" w:type="dxa"/>
            <w:vAlign w:val="bottom"/>
          </w:tcPr>
          <w:p>
            <w:pPr>
              <w:spacing w:after="0"/>
              <w:rPr>
                <w:sz w:val="1"/>
                <w:szCs w:val="1"/>
                <w:color w:val="auto"/>
              </w:rPr>
            </w:pPr>
          </w:p>
        </w:tc>
      </w:tr>
      <w:tr>
        <w:trPr>
          <w:trHeight w:val="148"/>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c>
          <w:tcPr>
            <w:tcW w:w="2100" w:type="dxa"/>
            <w:vAlign w:val="bottom"/>
          </w:tcPr>
          <w:p>
            <w:pPr>
              <w:ind w:left="8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bl>
    <w:p>
      <w:pPr>
        <w:sectPr>
          <w:pgSz w:w="11900" w:h="16849"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Person</w:t>
      </w:r>
    </w:p>
    <w:p>
      <w:pPr>
        <w:spacing w:after="0" w:line="15"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2"/>
          <w:szCs w:val="22"/>
          <w:color w:val="auto"/>
        </w:rPr>
        <w:t>With:</w:t>
      </w:r>
      <w:r>
        <w:rPr>
          <w:sz w:val="20"/>
          <w:szCs w:val="20"/>
          <w:color w:val="auto"/>
        </w:rPr>
        <w:tab/>
      </w:r>
      <w:r>
        <w:rPr>
          <w:rFonts w:ascii="Times New Roman" w:cs="Times New Roman" w:eastAsia="Times New Roman" w:hAnsi="Times New Roman"/>
          <w:sz w:val="22"/>
          <w:szCs w:val="22"/>
          <w:color w:val="auto"/>
        </w:rPr>
        <w:t>134,625.46</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13,352,266.00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23.1 %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Nathan Baxter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66,536.11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66,536.11</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13,284,177.00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23.0 %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Robert Hagedorn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144"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2" w:right="1440" w:bottom="14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112" w:right="1440" w:bottom="144" w:gutter="0" w:footer="0" w:header="0"/>
          <w:type w:val="continuous"/>
        </w:sect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810186106</w:t>
      </w:r>
    </w:p>
    <w:p>
      <w:pPr>
        <w:sectPr>
          <w:pgSz w:w="11900" w:h="16838" w:orient="portrait"/>
          <w:cols w:equalWidth="0" w:num="1">
            <w:col w:w="10099"/>
          </w:cols>
          <w:pgMar w:left="360" w:top="112" w:right="1440" w:bottom="144" w:gutter="0" w:footer="0" w:header="0"/>
          <w:type w:val="continuous"/>
        </w:sectPr>
      </w:pPr>
    </w:p>
    <w:bookmarkStart w:id="5" w:name="page6"/>
    <w:bookmarkEnd w:id="5"/>
    <w:p>
      <w:pPr>
        <w:spacing w:after="0" w:line="31"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Susan Hagedorn</w:t>
      </w:r>
    </w:p>
    <w:p>
      <w:pPr>
        <w:spacing w:after="0" w:line="44"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69" w:orient="portrait"/>
          <w:cols w:equalWidth="0" w:num="1">
            <w:col w:w="11160"/>
          </w:cols>
          <w:pgMar w:left="360" w:top="111" w:right="379" w:bottom="0" w:gutter="0" w:footer="0" w:header="0"/>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13,217,641.00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13,217,641.00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69" w:orient="portrait"/>
          <w:cols w:equalWidth="0" w:num="2">
            <w:col w:w="1060" w:space="60"/>
            <w:col w:w="10040"/>
          </w:cols>
          <w:pgMar w:left="360" w:top="111" w:right="37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 $0.01 par value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The Scotts Miracle-Gro Company</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14111 Scottslawn Road, Marysville, OHIO , 43041.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By this Amendment No. 8, the Hagedorn Partnership. L.P. (the "Partnership") and the other Reporting Persons (as</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defined below) further amend and supplement the responses to Items 1, 2, 3, 4, 5, 6 and 7 of the Statement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Schedule 13D, as heretofore amended (the "Schedule 13D"), filed with respect to the common shares, $0.01 par value per share (the "Shares"), of The Scotts Miracle-Gro Company (formerly "The Scotts Company"), an Ohio corporation</w:t>
      </w:r>
    </w:p>
    <w:p>
      <w:pPr>
        <w:spacing w:after="0" w:line="2" w:lineRule="exact"/>
        <w:rPr>
          <w:sz w:val="20"/>
          <w:szCs w:val="20"/>
          <w:color w:val="auto"/>
        </w:rPr>
      </w:pPr>
    </w:p>
    <w:p>
      <w:pPr>
        <w:ind w:right="1200" w:firstLine="952"/>
        <w:spacing w:after="0" w:line="286" w:lineRule="auto"/>
        <w:rPr>
          <w:sz w:val="20"/>
          <w:szCs w:val="20"/>
          <w:color w:val="auto"/>
        </w:rPr>
      </w:pPr>
      <w:r>
        <w:rPr>
          <w:rFonts w:ascii="Times New Roman" w:cs="Times New Roman" w:eastAsia="Times New Roman" w:hAnsi="Times New Roman"/>
          <w:sz w:val="22"/>
          <w:szCs w:val="22"/>
          <w:color w:val="auto"/>
        </w:rPr>
        <w:t>(the "Issuer"). Capitalized terms not otherwise defined have the meanings set forth in the Schedule 13D. Item 2. Identity and Background</w:t>
      </w:r>
    </w:p>
    <w:p>
      <w:pPr>
        <w:sectPr>
          <w:pgSz w:w="11900" w:h="16869" w:orient="portrait"/>
          <w:cols w:equalWidth="0" w:num="1">
            <w:col w:w="11160"/>
          </w:cols>
          <w:pgMar w:left="360" w:top="111" w:right="379" w:bottom="0" w:gutter="0" w:footer="0" w:header="0"/>
          <w:type w:val="continuous"/>
        </w:sectPr>
      </w:pPr>
    </w:p>
    <w:bookmarkStart w:id="6" w:name="page7"/>
    <w:bookmarkEnd w:id="6"/>
    <w:p>
      <w:pPr>
        <w:ind w:left="920" w:right="10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2 of the Schedule 13D is hereby amended and supplemented as follows: This Schedule 13D is filed by the Hagedorn Partnership, L.P. (the "Partnership"), and James Hagedorn, Katherine Hagedorn Littlefield, Nathan Baxter, Robert Hagedorn, and Susan Hagedorn (the "General Partners," and together with the Partnership, the "Reporting Persons"), each of whom serve as a General Partner of the Partnership.</w:t>
      </w:r>
    </w:p>
    <w:p>
      <w:pPr>
        <w:spacing w:after="0" w:line="14"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address of the Partnership is 44 South Bayles Avenue, Suite 218, Port Washington, NY 11050. The principal business address of the General Partners is set forth in Schedule I hereto.</w:t>
      </w:r>
    </w:p>
    <w:p>
      <w:pPr>
        <w:spacing w:after="0" w:line="17" w:lineRule="exact"/>
        <w:rPr>
          <w:rFonts w:ascii="Times New Roman" w:cs="Times New Roman" w:eastAsia="Times New Roman" w:hAnsi="Times New Roman"/>
          <w:sz w:val="39"/>
          <w:szCs w:val="39"/>
          <w:color w:val="auto"/>
          <w:vertAlign w:val="subscript"/>
        </w:rPr>
      </w:pPr>
    </w:p>
    <w:p>
      <w:pPr>
        <w:ind w:left="920" w:right="1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principal business of the Partnership is holding the securities of the Issuer. The principal business of the General Partners is set forth in Schedule I hereto.</w:t>
      </w:r>
    </w:p>
    <w:p>
      <w:pPr>
        <w:spacing w:after="0" w:line="17" w:lineRule="exact"/>
        <w:rPr>
          <w:rFonts w:ascii="Times New Roman" w:cs="Times New Roman" w:eastAsia="Times New Roman" w:hAnsi="Times New Roman"/>
          <w:sz w:val="39"/>
          <w:szCs w:val="39"/>
          <w:color w:val="auto"/>
          <w:vertAlign w:val="subscript"/>
        </w:rPr>
      </w:pPr>
    </w:p>
    <w:p>
      <w:pPr>
        <w:ind w:left="920" w:right="102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Partnership or the General Partners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Partnership or the General Partners was a party to a civil proceeding of a</w:t>
      </w:r>
    </w:p>
    <w:p>
      <w:pPr>
        <w:spacing w:after="0" w:line="14" w:lineRule="exact"/>
        <w:rPr>
          <w:rFonts w:ascii="Times New Roman" w:cs="Times New Roman" w:eastAsia="Times New Roman" w:hAnsi="Times New Roman"/>
          <w:sz w:val="39"/>
          <w:szCs w:val="39"/>
          <w:color w:val="auto"/>
          <w:vertAlign w:val="subscript"/>
        </w:rPr>
      </w:pPr>
    </w:p>
    <w:p>
      <w:pPr>
        <w:ind w:left="920" w:right="20" w:hanging="912"/>
        <w:spacing w:after="0" w:line="184" w:lineRule="auto"/>
        <w:tabs>
          <w:tab w:leader="none" w:pos="92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right="3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Partnership is a Delaware limited partnership. Each of the General Partners is a citizen of the United States of America.</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280"/>
        <w:spacing w:after="0" w:line="244"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Pursuant to the Issuer's Restructuring Merger, consumated on March 18, 2005, each of the shares of The Scotts Co. held by the Partnership were automatically converted into shares of the Issuer.</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46" w:lineRule="auto"/>
        <w:rPr>
          <w:sz w:val="20"/>
          <w:szCs w:val="20"/>
          <w:color w:val="auto"/>
        </w:rPr>
      </w:pPr>
      <w:r>
        <w:rPr>
          <w:rFonts w:ascii="Times New Roman" w:cs="Times New Roman" w:eastAsia="Times New Roman" w:hAnsi="Times New Roman"/>
          <w:sz w:val="21"/>
          <w:szCs w:val="21"/>
          <w:color w:val="auto"/>
        </w:rPr>
        <w:t>Item 4 of the Schedule 13D is hereby amended and supplemented as follows: The Partnership acquired the Shares for investment purposes. James Hagedorn serves as the Chairman and Chief Executive Officer of the Issuer. Nathan Baxter serves as President and Chief Operating Officer of the Issuer. Katherine Hagedorn Littlefield is a member of the Issuer's board of directors. On March 6, 2025, the Partnership, on behalf of Katherine Hagedorn Littlefield, terminated a Rule 10b5-1 trading arrangement originally adopted on March 15, 2024 that provided for the sale of up to 250,000 Shares if certain price targets were met. No transactions were completed under the trading arrangement prior to its early termination. The information set forth in Item 5 and Item 6 of this Amendment No. 8 is incorporated by reference to this Item 4. Except as set forth in this Schedule 13D, none of the Partnership or the General Partners has any plans or proposals which would result in any of the matters set forth in Items 4(a)-(j) of Schedule 13D.</w:t>
      </w:r>
    </w:p>
    <w:p>
      <w:pPr>
        <w:spacing w:after="0" w:line="1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44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 of the Schedule 13D is hereby amended and supplemented as follows: See rows (11) and (13) of the cover pages to this Schedule 13D, incorporated by reference to this Item 5(a).</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See rows (7) through (10) of the cover pages to this Schedule 13D, incorporated by reference to this Item 5(b). The</w:t>
      </w:r>
    </w:p>
    <w:p>
      <w:pPr>
        <w:spacing w:after="0" w:line="14" w:lineRule="exact"/>
        <w:rPr>
          <w:rFonts w:ascii="Times New Roman" w:cs="Times New Roman" w:eastAsia="Times New Roman" w:hAnsi="Times New Roman"/>
          <w:sz w:val="39"/>
          <w:szCs w:val="39"/>
          <w:color w:val="auto"/>
          <w:vertAlign w:val="subscript"/>
        </w:rPr>
      </w:pPr>
    </w:p>
    <w:p>
      <w:pPr>
        <w:ind w:left="920" w:right="640" w:hanging="912"/>
        <w:spacing w:after="0" w:line="184"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percentages set forth on the cover pages to this Schedule 13D are based on 57,738,577 outstanding Shares, as reported in the Issuer's Quarterly Report on Form 10-Q filed with the Securities and Exchange Commission on August 6, 2025.</w:t>
      </w:r>
    </w:p>
    <w:p>
      <w:pPr>
        <w:spacing w:after="0" w:line="18" w:lineRule="exact"/>
        <w:rPr>
          <w:rFonts w:ascii="Times New Roman" w:cs="Times New Roman" w:eastAsia="Times New Roman" w:hAnsi="Times New Roman"/>
          <w:sz w:val="42"/>
          <w:szCs w:val="42"/>
          <w:color w:val="auto"/>
          <w:vertAlign w:val="subscript"/>
        </w:rPr>
      </w:pPr>
    </w:p>
    <w:p>
      <w:pPr>
        <w:ind w:left="920" w:right="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Schedule II with respect to transactions in the Issuer's securities by the Reporting Persons is incorporated by reference to this Item 5(c).</w:t>
      </w:r>
    </w:p>
    <w:p>
      <w:pPr>
        <w:spacing w:after="0" w:line="17" w:lineRule="exact"/>
        <w:rPr>
          <w:rFonts w:ascii="Times New Roman" w:cs="Times New Roman" w:eastAsia="Times New Roman" w:hAnsi="Times New Roman"/>
          <w:sz w:val="39"/>
          <w:szCs w:val="39"/>
          <w:color w:val="auto"/>
          <w:vertAlign w:val="subscript"/>
        </w:rPr>
      </w:pPr>
    </w:p>
    <w:p>
      <w:pPr>
        <w:ind w:left="920" w:right="620" w:hanging="912"/>
        <w:spacing w:after="0" w:line="185" w:lineRule="auto"/>
        <w:tabs>
          <w:tab w:leader="none" w:pos="92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Pursuant to the Partnership Agreement (as defined below), the partners of the Partnership have certain rights to receive dividends on the Shares declared by the Issuer and to receive proceeds from the sale of Shares.</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spacing w:after="0" w:line="233" w:lineRule="auto"/>
        <w:rPr>
          <w:sz w:val="20"/>
          <w:szCs w:val="20"/>
          <w:color w:val="auto"/>
        </w:rPr>
      </w:pPr>
      <w:r>
        <w:rPr>
          <w:rFonts w:ascii="Times New Roman" w:cs="Times New Roman" w:eastAsia="Times New Roman" w:hAnsi="Times New Roman"/>
          <w:sz w:val="22"/>
          <w:szCs w:val="22"/>
          <w:color w:val="auto"/>
        </w:rPr>
        <w:t>Item 6 of the Schedule 13D is hereby amended and supplemented as follows: On November 19, 2025, the Partnership amended and restated its Sixth Amended and Restated Agreement of Limited Partnership, as amended and restated on July 1, 2024 (as amended and restated, the "Seventh Amended and Restated Partnership Agreement"). The Seventh Amended and Restated Partnership Agreement provides the partners of the Partnership with the opportunity, if the General Partners or class representative of the respective class of the Partnership so elects, to sell such portion of their respective interests in the Shares of the Issuer held by the Partnership as may be allocated by the General Partners, acting together, subject to certain restrictions. Pursuant to the terms of the Partnership Agreement, in no event shall the partners of the Partnership sell or otherwise transfer Shares if immediately after giving effect to such transfer the aggregate number of Shares owned by the Partnership would represent less than 17% of the aggregate number of Shares then outstanding. In connection with the Partnership's existing credit agreement, the Partnership has pledged as security 1,100,000 Shares held by the Partnership.</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20" w:right="140"/>
        <w:spacing w:after="0" w:line="244" w:lineRule="auto"/>
        <w:rPr>
          <w:sz w:val="20"/>
          <w:szCs w:val="20"/>
          <w:color w:val="auto"/>
        </w:rPr>
      </w:pPr>
      <w:r>
        <w:rPr>
          <w:rFonts w:ascii="Times New Roman" w:cs="Times New Roman" w:eastAsia="Times New Roman" w:hAnsi="Times New Roman"/>
          <w:sz w:val="22"/>
          <w:szCs w:val="22"/>
          <w:color w:val="auto"/>
        </w:rPr>
        <w:t>Item 7 of the Schedule 13D is hereby amended and restated as follows: Exhibit 99.1 Joint Filing Agreement, by and among the Reporting Persons, dated November 21, 2025 Exhibit 99.2 Seventh Amended and Restated Agreement of Limited Partnership, dated November 19, 2025, of Hagedorn Partnership, L.P.</w:t>
      </w:r>
    </w:p>
    <w:p>
      <w:pPr>
        <w:spacing w:after="0" w:line="2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bookmarkStart w:id="7" w:name="page8"/>
    <w:bookmarkEnd w:id="7"/>
    <w:p>
      <w:pPr>
        <w:ind w:left="1440"/>
        <w:spacing w:after="0"/>
        <w:rPr>
          <w:sz w:val="20"/>
          <w:szCs w:val="20"/>
          <w:color w:val="auto"/>
        </w:rPr>
      </w:pPr>
      <w:r>
        <w:rPr>
          <w:rFonts w:ascii="Times New Roman" w:cs="Times New Roman" w:eastAsia="Times New Roman" w:hAnsi="Times New Roman"/>
          <w:sz w:val="22"/>
          <w:szCs w:val="22"/>
          <w:color w:val="auto"/>
        </w:rPr>
        <w:t>Hagedorn Partnership, L.P.</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Name/Title: Susan Hagedorn, Attorney-in-Fact</w:t>
      </w:r>
    </w:p>
    <w:p>
      <w:pPr>
        <w:spacing w:after="0" w:line="56"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Katherine Hagedorn Littlefield</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Name/Title: Susan Hagedorn, Attorney-in-Fact</w:t>
      </w:r>
    </w:p>
    <w:p>
      <w:pPr>
        <w:spacing w:after="0" w:line="56"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James Hagedorn</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Name/Title: Susan Hagedorn, Attorney-in-Fact</w:t>
      </w:r>
    </w:p>
    <w:p>
      <w:pPr>
        <w:spacing w:after="0" w:line="56"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Nathan Baxter</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Name/Title: Susan Hagedorn, Attorney-in-Fact</w:t>
      </w:r>
    </w:p>
    <w:p>
      <w:pPr>
        <w:spacing w:after="0" w:line="56"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Robert Hagedorn</w:t>
      </w:r>
    </w:p>
    <w:p>
      <w:pPr>
        <w:spacing w:after="0" w:line="152"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Name/Title: Susan Hagedorn, Attorney-in-Fact</w:t>
      </w:r>
    </w:p>
    <w:p>
      <w:pPr>
        <w:spacing w:after="0" w:line="56" w:lineRule="exact"/>
        <w:rPr>
          <w:sz w:val="20"/>
          <w:szCs w:val="20"/>
          <w:color w:val="auto"/>
        </w:rPr>
      </w:pPr>
    </w:p>
    <w:p>
      <w:pPr>
        <w:ind w:left="3180"/>
        <w:spacing w:after="0"/>
        <w:tabs>
          <w:tab w:leader="none" w:pos="4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Susan Hagedorn</w:t>
      </w:r>
    </w:p>
    <w:p>
      <w:pPr>
        <w:spacing w:after="0" w:line="152"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Susan Hagedorn</w:t>
      </w:r>
    </w:p>
    <w:p>
      <w:pPr>
        <w:spacing w:after="0" w:line="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Name/Title: Susan Hagedorn</w:t>
      </w:r>
    </w:p>
    <w:p>
      <w:pPr>
        <w:spacing w:after="0" w:line="44" w:lineRule="exact"/>
        <w:rPr>
          <w:sz w:val="20"/>
          <w:szCs w:val="20"/>
          <w:color w:val="auto"/>
        </w:rPr>
      </w:pPr>
    </w:p>
    <w:p>
      <w:pPr>
        <w:ind w:left="1880"/>
        <w:spacing w:after="0"/>
        <w:tabs>
          <w:tab w:leader="none" w:pos="2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11/21/2025</w:t>
      </w:r>
    </w:p>
    <w:p>
      <w:pPr>
        <w:sectPr>
          <w:pgSz w:w="11900" w:h="16838" w:orient="portrait"/>
          <w:cols w:equalWidth="0" w:num="1">
            <w:col w:w="9019"/>
          </w:cols>
          <w:pgMar w:left="1440" w:top="126"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AGREEMENT</w:t>
      </w:r>
    </w:p>
    <w:p>
      <w:pPr>
        <w:spacing w:after="0" w:line="206"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The persons below hereby agree that the Schedule 13D to which this agreement is attached as an exhibit, as well as all future amendments to such Schedule 13D, shall be filed on behalf of each of them. This agreement is intended to satisfy the requirements of Rule 13d-1(k)(1)(iii) under the Securities Exchange Act of 1934.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November 21, 2025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HAGEDORN PARTNERSHIP, 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KATHERINE HAGEDORN LITTLEFIELD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HAGEDORN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NATHAN BAXTER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56030" cy="8890"/>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ROBERT HAGEDORN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SUSAN HAGEDORN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/s/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-10795</wp:posOffset>
            </wp:positionV>
            <wp:extent cx="125603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56030" cy="8255"/>
                    </a:xfrm>
                    <a:prstGeom prst="rect">
                      <a:avLst/>
                    </a:prstGeom>
                    <a:noFill/>
                  </pic:spPr>
                </pic:pic>
              </a:graphicData>
            </a:graphic>
          </wp:anchor>
        </w:drawing>
      </w:r>
    </w:p>
    <w:p>
      <w:pPr>
        <w:spacing w:after="0" w:line="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Name:</w:t>
        <w:tab/>
        <w:t>Susan Hagedorn</w:t>
      </w: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20"/>
          <w:szCs w:val="20"/>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2"/>
          <w:szCs w:val="22"/>
          <w:b w:val="1"/>
          <w:bCs w:val="1"/>
          <w:color w:val="auto"/>
        </w:rPr>
        <w:t>Schedule I</w:t>
      </w:r>
    </w:p>
    <w:p>
      <w:pPr>
        <w:spacing w:after="0" w:line="210" w:lineRule="exact"/>
        <w:rPr>
          <w:sz w:val="20"/>
          <w:szCs w:val="20"/>
          <w:color w:val="auto"/>
        </w:rPr>
      </w:pPr>
    </w:p>
    <w:p>
      <w:pPr>
        <w:ind w:right="520"/>
        <w:spacing w:after="0" w:line="258" w:lineRule="auto"/>
        <w:rPr>
          <w:sz w:val="20"/>
          <w:szCs w:val="20"/>
          <w:color w:val="auto"/>
        </w:rPr>
      </w:pPr>
      <w:r>
        <w:rPr>
          <w:rFonts w:ascii="Times New Roman" w:cs="Times New Roman" w:eastAsia="Times New Roman" w:hAnsi="Times New Roman"/>
          <w:sz w:val="22"/>
          <w:szCs w:val="22"/>
          <w:color w:val="auto"/>
        </w:rPr>
        <w:t>The following sets forth the name, address, and principal occupation of each General Partner. Each is a citizen of the Unites States.</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19"/>
        </w:trPr>
        <w:tc>
          <w:tcPr>
            <w:tcW w:w="1600" w:type="dxa"/>
            <w:vAlign w:val="bottom"/>
            <w:tcBorders>
              <w:top w:val="single" w:sz="8" w:color="auto"/>
              <w:left w:val="single" w:sz="8" w:color="auto"/>
            </w:tcBorders>
          </w:tcPr>
          <w:p>
            <w:pPr>
              <w:spacing w:after="0"/>
              <w:rPr>
                <w:sz w:val="19"/>
                <w:szCs w:val="19"/>
                <w:color w:val="auto"/>
              </w:rPr>
            </w:pPr>
          </w:p>
        </w:tc>
        <w:tc>
          <w:tcPr>
            <w:tcW w:w="2180" w:type="dxa"/>
            <w:vAlign w:val="bottom"/>
            <w:tcBorders>
              <w:top w:val="single" w:sz="8" w:color="auto"/>
              <w:right w:val="single" w:sz="8" w:color="auto"/>
            </w:tcBorders>
            <w:gridSpan w:val="2"/>
          </w:tcPr>
          <w:p>
            <w:pPr>
              <w:jc w:val="center"/>
              <w:ind w:right="1640"/>
              <w:spacing w:after="0" w:line="220" w:lineRule="exact"/>
              <w:rPr>
                <w:sz w:val="20"/>
                <w:szCs w:val="20"/>
                <w:color w:val="auto"/>
              </w:rPr>
            </w:pPr>
            <w:r>
              <w:rPr>
                <w:rFonts w:ascii="Times New Roman" w:cs="Times New Roman" w:eastAsia="Times New Roman" w:hAnsi="Times New Roman"/>
                <w:sz w:val="22"/>
                <w:szCs w:val="22"/>
                <w:b w:val="1"/>
                <w:bCs w:val="1"/>
                <w:color w:val="auto"/>
                <w:w w:val="98"/>
              </w:rPr>
              <w:t>Name</w:t>
            </w:r>
          </w:p>
        </w:tc>
        <w:tc>
          <w:tcPr>
            <w:tcW w:w="3720" w:type="dxa"/>
            <w:vAlign w:val="bottom"/>
            <w:tcBorders>
              <w:top w:val="single" w:sz="8" w:color="auto"/>
              <w:right w:val="single" w:sz="8" w:color="auto"/>
            </w:tcBorders>
            <w:gridSpan w:val="3"/>
          </w:tcPr>
          <w:p>
            <w:pPr>
              <w:jc w:val="center"/>
              <w:ind w:right="60"/>
              <w:spacing w:after="0" w:line="220" w:lineRule="exact"/>
              <w:rPr>
                <w:sz w:val="20"/>
                <w:szCs w:val="20"/>
                <w:color w:val="auto"/>
              </w:rPr>
            </w:pPr>
            <w:r>
              <w:rPr>
                <w:rFonts w:ascii="Times New Roman" w:cs="Times New Roman" w:eastAsia="Times New Roman" w:hAnsi="Times New Roman"/>
                <w:sz w:val="22"/>
                <w:szCs w:val="22"/>
                <w:b w:val="1"/>
                <w:bCs w:val="1"/>
                <w:color w:val="auto"/>
                <w:w w:val="96"/>
              </w:rPr>
              <w:t>Address</w:t>
            </w:r>
          </w:p>
        </w:tc>
        <w:tc>
          <w:tcPr>
            <w:tcW w:w="860" w:type="dxa"/>
            <w:vAlign w:val="bottom"/>
            <w:tcBorders>
              <w:top w:val="single" w:sz="8" w:color="auto"/>
            </w:tcBorders>
          </w:tcPr>
          <w:p>
            <w:pPr>
              <w:spacing w:after="0"/>
              <w:rPr>
                <w:sz w:val="19"/>
                <w:szCs w:val="19"/>
                <w:color w:val="auto"/>
              </w:rPr>
            </w:pPr>
          </w:p>
        </w:tc>
        <w:tc>
          <w:tcPr>
            <w:tcW w:w="2880" w:type="dxa"/>
            <w:vAlign w:val="bottom"/>
            <w:tcBorders>
              <w:top w:val="single" w:sz="8" w:color="auto"/>
              <w:right w:val="single" w:sz="8" w:color="auto"/>
            </w:tcBorders>
            <w:gridSpan w:val="2"/>
          </w:tcPr>
          <w:p>
            <w:pPr>
              <w:jc w:val="center"/>
              <w:ind w:right="900"/>
              <w:spacing w:after="0" w:line="220" w:lineRule="exact"/>
              <w:rPr>
                <w:sz w:val="20"/>
                <w:szCs w:val="20"/>
                <w:color w:val="auto"/>
              </w:rPr>
            </w:pPr>
            <w:r>
              <w:rPr>
                <w:rFonts w:ascii="Times New Roman" w:cs="Times New Roman" w:eastAsia="Times New Roman" w:hAnsi="Times New Roman"/>
                <w:sz w:val="22"/>
                <w:szCs w:val="22"/>
                <w:b w:val="1"/>
                <w:bCs w:val="1"/>
                <w:color w:val="auto"/>
                <w:w w:val="98"/>
              </w:rPr>
              <w:t>Principal Occupation</w:t>
            </w:r>
          </w:p>
        </w:tc>
      </w:tr>
      <w:tr>
        <w:trPr>
          <w:trHeight w:val="165"/>
        </w:trPr>
        <w:tc>
          <w:tcPr>
            <w:tcW w:w="1600" w:type="dxa"/>
            <w:vAlign w:val="bottom"/>
            <w:tcBorders>
              <w:left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spacing w:after="0"/>
              <w:rPr>
                <w:sz w:val="14"/>
                <w:szCs w:val="14"/>
                <w:color w:val="auto"/>
              </w:rPr>
            </w:pPr>
          </w:p>
        </w:tc>
        <w:tc>
          <w:tcPr>
            <w:tcW w:w="164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52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80" w:type="dxa"/>
            <w:vAlign w:val="bottom"/>
            <w:tcBorders>
              <w:top w:val="single" w:sz="8" w:color="auto"/>
              <w:bottom w:val="single" w:sz="8" w:color="auto"/>
            </w:tcBorders>
          </w:tcPr>
          <w:p>
            <w:pPr>
              <w:spacing w:after="0"/>
              <w:rPr>
                <w:sz w:val="14"/>
                <w:szCs w:val="14"/>
                <w:color w:val="auto"/>
              </w:rPr>
            </w:pPr>
          </w:p>
        </w:tc>
        <w:tc>
          <w:tcPr>
            <w:tcW w:w="900" w:type="dxa"/>
            <w:vAlign w:val="bottom"/>
            <w:tcBorders>
              <w:bottom w:val="single" w:sz="8" w:color="auto"/>
              <w:right w:val="single" w:sz="8" w:color="auto"/>
            </w:tcBorders>
          </w:tcPr>
          <w:p>
            <w:pPr>
              <w:spacing w:after="0"/>
              <w:rPr>
                <w:sz w:val="14"/>
                <w:szCs w:val="14"/>
                <w:color w:val="auto"/>
              </w:rPr>
            </w:pPr>
          </w:p>
        </w:tc>
      </w:tr>
      <w:tr>
        <w:trPr>
          <w:trHeight w:val="172"/>
        </w:trPr>
        <w:tc>
          <w:tcPr>
            <w:tcW w:w="3780" w:type="dxa"/>
            <w:vAlign w:val="bottom"/>
            <w:tcBorders>
              <w:left w:val="single" w:sz="8" w:color="auto"/>
              <w:right w:val="single" w:sz="8" w:color="auto"/>
            </w:tcBorders>
            <w:gridSpan w:val="3"/>
          </w:tcPr>
          <w:p>
            <w:pPr>
              <w:jc w:val="center"/>
              <w:ind w:right="20"/>
              <w:spacing w:after="0" w:line="173" w:lineRule="exact"/>
              <w:rPr>
                <w:sz w:val="20"/>
                <w:szCs w:val="20"/>
                <w:color w:val="auto"/>
              </w:rPr>
            </w:pPr>
            <w:r>
              <w:rPr>
                <w:rFonts w:ascii="Times New Roman" w:cs="Times New Roman" w:eastAsia="Times New Roman" w:hAnsi="Times New Roman"/>
                <w:sz w:val="19"/>
                <w:szCs w:val="19"/>
                <w:color w:val="auto"/>
              </w:rPr>
              <w:t>James Hagedorn</w:t>
            </w:r>
          </w:p>
        </w:tc>
        <w:tc>
          <w:tcPr>
            <w:tcW w:w="3720" w:type="dxa"/>
            <w:vAlign w:val="bottom"/>
            <w:tcBorders>
              <w:right w:val="single" w:sz="8" w:color="auto"/>
            </w:tcBorders>
            <w:gridSpan w:val="3"/>
          </w:tcPr>
          <w:p>
            <w:pPr>
              <w:jc w:val="center"/>
              <w:ind w:right="60"/>
              <w:spacing w:after="0" w:line="173" w:lineRule="exact"/>
              <w:rPr>
                <w:sz w:val="20"/>
                <w:szCs w:val="20"/>
                <w:color w:val="auto"/>
              </w:rPr>
            </w:pPr>
            <w:r>
              <w:rPr>
                <w:rFonts w:ascii="Times New Roman" w:cs="Times New Roman" w:eastAsia="Times New Roman" w:hAnsi="Times New Roman"/>
                <w:sz w:val="19"/>
                <w:szCs w:val="19"/>
                <w:color w:val="auto"/>
              </w:rPr>
              <w:t>c/o Scotts Miracle-Gro Co.</w:t>
            </w:r>
          </w:p>
        </w:tc>
        <w:tc>
          <w:tcPr>
            <w:tcW w:w="3740" w:type="dxa"/>
            <w:vAlign w:val="bottom"/>
            <w:tcBorders>
              <w:right w:val="single" w:sz="8" w:color="auto"/>
            </w:tcBorders>
            <w:gridSpan w:val="3"/>
          </w:tcPr>
          <w:p>
            <w:pPr>
              <w:jc w:val="center"/>
              <w:ind w:right="80"/>
              <w:spacing w:after="0" w:line="173" w:lineRule="exact"/>
              <w:rPr>
                <w:sz w:val="20"/>
                <w:szCs w:val="20"/>
                <w:color w:val="auto"/>
              </w:rPr>
            </w:pPr>
            <w:r>
              <w:rPr>
                <w:rFonts w:ascii="Times New Roman" w:cs="Times New Roman" w:eastAsia="Times New Roman" w:hAnsi="Times New Roman"/>
                <w:sz w:val="19"/>
                <w:szCs w:val="19"/>
                <w:color w:val="auto"/>
              </w:rPr>
              <w:t>Chairman and Chief Executive Officer</w:t>
            </w:r>
          </w:p>
        </w:tc>
      </w:tr>
      <w:tr>
        <w:trPr>
          <w:trHeight w:val="243"/>
        </w:trPr>
        <w:tc>
          <w:tcPr>
            <w:tcW w:w="1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color w:val="auto"/>
                <w:w w:val="97"/>
              </w:rPr>
              <w:t>14111 Scottslawn Road,</w:t>
            </w:r>
          </w:p>
        </w:tc>
        <w:tc>
          <w:tcPr>
            <w:tcW w:w="3740" w:type="dxa"/>
            <w:vAlign w:val="bottom"/>
            <w:tcBorders>
              <w:right w:val="single" w:sz="8" w:color="auto"/>
            </w:tcBorders>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color w:val="auto"/>
                <w:w w:val="97"/>
              </w:rPr>
              <w:t>of the Issuer; GP of the Hagedorn</w:t>
            </w:r>
          </w:p>
        </w:tc>
      </w:tr>
      <w:tr>
        <w:trPr>
          <w:trHeight w:val="282"/>
        </w:trPr>
        <w:tc>
          <w:tcPr>
            <w:tcW w:w="160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Marysville, OH 43041</w:t>
            </w:r>
          </w:p>
        </w:tc>
        <w:tc>
          <w:tcPr>
            <w:tcW w:w="860" w:type="dxa"/>
            <w:vAlign w:val="bottom"/>
          </w:tcPr>
          <w:p>
            <w:pPr>
              <w:spacing w:after="0"/>
              <w:rPr>
                <w:sz w:val="24"/>
                <w:szCs w:val="24"/>
                <w:color w:val="auto"/>
              </w:rPr>
            </w:pPr>
          </w:p>
        </w:tc>
        <w:tc>
          <w:tcPr>
            <w:tcW w:w="288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2"/>
                <w:szCs w:val="22"/>
                <w:color w:val="auto"/>
                <w:w w:val="97"/>
              </w:rPr>
              <w:t>Partnership, L.P.</w:t>
            </w:r>
          </w:p>
        </w:tc>
      </w:tr>
      <w:tr>
        <w:trPr>
          <w:trHeight w:val="96"/>
        </w:trPr>
        <w:tc>
          <w:tcPr>
            <w:tcW w:w="160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r>
      <w:tr>
        <w:trPr>
          <w:trHeight w:val="209"/>
        </w:trPr>
        <w:tc>
          <w:tcPr>
            <w:tcW w:w="37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8"/>
              </w:rPr>
              <w:t>Katherine Hagedorn Littlefield</w:t>
            </w:r>
          </w:p>
        </w:tc>
        <w:tc>
          <w:tcPr>
            <w:tcW w:w="3720" w:type="dxa"/>
            <w:vAlign w:val="bottom"/>
            <w:tcBorders>
              <w:right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22"/>
                <w:szCs w:val="22"/>
                <w:color w:val="auto"/>
                <w:w w:val="98"/>
              </w:rPr>
              <w:t>c/o Scotts Miracle-Gro Co.</w:t>
            </w:r>
          </w:p>
        </w:tc>
        <w:tc>
          <w:tcPr>
            <w:tcW w:w="3740" w:type="dxa"/>
            <w:vAlign w:val="bottom"/>
            <w:tcBorders>
              <w:right w:val="single" w:sz="8" w:color="auto"/>
            </w:tcBorders>
            <w:gridSpan w:val="3"/>
          </w:tcPr>
          <w:p>
            <w:pPr>
              <w:jc w:val="center"/>
              <w:ind w:right="80"/>
              <w:spacing w:after="0" w:line="209" w:lineRule="exact"/>
              <w:rPr>
                <w:sz w:val="20"/>
                <w:szCs w:val="20"/>
                <w:color w:val="auto"/>
              </w:rPr>
            </w:pPr>
            <w:r>
              <w:rPr>
                <w:rFonts w:ascii="Times New Roman" w:cs="Times New Roman" w:eastAsia="Times New Roman" w:hAnsi="Times New Roman"/>
                <w:sz w:val="22"/>
                <w:szCs w:val="22"/>
                <w:color w:val="auto"/>
                <w:w w:val="98"/>
              </w:rPr>
              <w:t>Director of the Issuer; GP of the</w:t>
            </w:r>
          </w:p>
        </w:tc>
      </w:tr>
      <w:tr>
        <w:trPr>
          <w:trHeight w:val="243"/>
        </w:trPr>
        <w:tc>
          <w:tcPr>
            <w:tcW w:w="1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color w:val="auto"/>
                <w:w w:val="97"/>
              </w:rPr>
              <w:t>14111 Scottslawn Road,</w:t>
            </w:r>
          </w:p>
        </w:tc>
        <w:tc>
          <w:tcPr>
            <w:tcW w:w="3740" w:type="dxa"/>
            <w:vAlign w:val="bottom"/>
            <w:tcBorders>
              <w:right w:val="single" w:sz="8" w:color="auto"/>
            </w:tcBorders>
            <w:gridSpan w:val="3"/>
          </w:tcPr>
          <w:p>
            <w:pPr>
              <w:jc w:val="center"/>
              <w:ind w:right="20"/>
              <w:spacing w:after="0" w:line="243" w:lineRule="exact"/>
              <w:rPr>
                <w:sz w:val="20"/>
                <w:szCs w:val="20"/>
                <w:color w:val="auto"/>
              </w:rPr>
            </w:pPr>
            <w:r>
              <w:rPr>
                <w:rFonts w:ascii="Times New Roman" w:cs="Times New Roman" w:eastAsia="Times New Roman" w:hAnsi="Times New Roman"/>
                <w:sz w:val="22"/>
                <w:szCs w:val="22"/>
                <w:color w:val="auto"/>
                <w:w w:val="98"/>
              </w:rPr>
              <w:t>Hagedorn Partnership, L.P.</w:t>
            </w:r>
          </w:p>
        </w:tc>
      </w:tr>
      <w:tr>
        <w:trPr>
          <w:trHeight w:val="282"/>
        </w:trPr>
        <w:tc>
          <w:tcPr>
            <w:tcW w:w="160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Marysville, OH 43041</w:t>
            </w: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96"/>
        </w:trPr>
        <w:tc>
          <w:tcPr>
            <w:tcW w:w="160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r>
      <w:tr>
        <w:trPr>
          <w:trHeight w:val="209"/>
        </w:trPr>
        <w:tc>
          <w:tcPr>
            <w:tcW w:w="37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Nathan Baxter</w:t>
            </w:r>
          </w:p>
        </w:tc>
        <w:tc>
          <w:tcPr>
            <w:tcW w:w="3720" w:type="dxa"/>
            <w:vAlign w:val="bottom"/>
            <w:tcBorders>
              <w:right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22"/>
                <w:szCs w:val="22"/>
                <w:color w:val="auto"/>
                <w:w w:val="98"/>
              </w:rPr>
              <w:t>c/o Scotts Miracle-Gro Co.</w:t>
            </w:r>
          </w:p>
        </w:tc>
        <w:tc>
          <w:tcPr>
            <w:tcW w:w="3740" w:type="dxa"/>
            <w:vAlign w:val="bottom"/>
            <w:tcBorders>
              <w:right w:val="single" w:sz="8" w:color="auto"/>
            </w:tcBorders>
            <w:gridSpan w:val="3"/>
          </w:tcPr>
          <w:p>
            <w:pPr>
              <w:jc w:val="center"/>
              <w:ind w:right="40"/>
              <w:spacing w:after="0" w:line="209" w:lineRule="exact"/>
              <w:rPr>
                <w:sz w:val="20"/>
                <w:szCs w:val="20"/>
                <w:color w:val="auto"/>
              </w:rPr>
            </w:pPr>
            <w:r>
              <w:rPr>
                <w:rFonts w:ascii="Times New Roman" w:cs="Times New Roman" w:eastAsia="Times New Roman" w:hAnsi="Times New Roman"/>
                <w:sz w:val="22"/>
                <w:szCs w:val="22"/>
                <w:color w:val="auto"/>
                <w:w w:val="98"/>
              </w:rPr>
              <w:t>President and Chief Operating Officer of</w:t>
            </w:r>
          </w:p>
        </w:tc>
      </w:tr>
      <w:tr>
        <w:trPr>
          <w:trHeight w:val="243"/>
        </w:trPr>
        <w:tc>
          <w:tcPr>
            <w:tcW w:w="1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color w:val="auto"/>
                <w:w w:val="97"/>
              </w:rPr>
              <w:t>14111 Scottslawn Road,</w:t>
            </w:r>
          </w:p>
        </w:tc>
        <w:tc>
          <w:tcPr>
            <w:tcW w:w="3740" w:type="dxa"/>
            <w:vAlign w:val="bottom"/>
            <w:tcBorders>
              <w:right w:val="single" w:sz="8" w:color="auto"/>
            </w:tcBorders>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color w:val="auto"/>
                <w:w w:val="98"/>
              </w:rPr>
              <w:t>the Issuer; GP of the Hagedorn</w:t>
            </w:r>
          </w:p>
        </w:tc>
      </w:tr>
      <w:tr>
        <w:trPr>
          <w:trHeight w:val="282"/>
        </w:trPr>
        <w:tc>
          <w:tcPr>
            <w:tcW w:w="160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Marysville, OH 43041</w:t>
            </w:r>
          </w:p>
        </w:tc>
        <w:tc>
          <w:tcPr>
            <w:tcW w:w="860" w:type="dxa"/>
            <w:vAlign w:val="bottom"/>
          </w:tcPr>
          <w:p>
            <w:pPr>
              <w:spacing w:after="0"/>
              <w:rPr>
                <w:sz w:val="24"/>
                <w:szCs w:val="24"/>
                <w:color w:val="auto"/>
              </w:rPr>
            </w:pPr>
          </w:p>
        </w:tc>
        <w:tc>
          <w:tcPr>
            <w:tcW w:w="288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2"/>
                <w:szCs w:val="22"/>
                <w:color w:val="auto"/>
                <w:w w:val="97"/>
              </w:rPr>
              <w:t>Partnership, L.P.</w:t>
            </w:r>
          </w:p>
        </w:tc>
      </w:tr>
      <w:tr>
        <w:trPr>
          <w:trHeight w:val="96"/>
        </w:trPr>
        <w:tc>
          <w:tcPr>
            <w:tcW w:w="160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r>
      <w:tr>
        <w:trPr>
          <w:trHeight w:val="209"/>
        </w:trPr>
        <w:tc>
          <w:tcPr>
            <w:tcW w:w="3780" w:type="dxa"/>
            <w:vAlign w:val="bottom"/>
            <w:tcBorders>
              <w:left w:val="single" w:sz="8" w:color="auto"/>
              <w:right w:val="single" w:sz="8" w:color="auto"/>
            </w:tcBorders>
            <w:gridSpan w:val="3"/>
          </w:tcPr>
          <w:p>
            <w:pPr>
              <w:jc w:val="center"/>
              <w:ind w:right="20"/>
              <w:spacing w:after="0" w:line="209" w:lineRule="exact"/>
              <w:rPr>
                <w:sz w:val="20"/>
                <w:szCs w:val="20"/>
                <w:color w:val="auto"/>
              </w:rPr>
            </w:pPr>
            <w:r>
              <w:rPr>
                <w:rFonts w:ascii="Times New Roman" w:cs="Times New Roman" w:eastAsia="Times New Roman" w:hAnsi="Times New Roman"/>
                <w:sz w:val="22"/>
                <w:szCs w:val="22"/>
                <w:color w:val="auto"/>
                <w:w w:val="97"/>
              </w:rPr>
              <w:t>Robert Hagedorn</w:t>
            </w:r>
          </w:p>
        </w:tc>
        <w:tc>
          <w:tcPr>
            <w:tcW w:w="3720" w:type="dxa"/>
            <w:vAlign w:val="bottom"/>
            <w:tcBorders>
              <w:right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22"/>
                <w:szCs w:val="22"/>
                <w:color w:val="auto"/>
                <w:w w:val="97"/>
              </w:rPr>
              <w:t>c/o Hagedorn Partnership, L.P.</w:t>
            </w: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3"/>
        </w:trPr>
        <w:tc>
          <w:tcPr>
            <w:tcW w:w="1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color w:val="auto"/>
                <w:w w:val="98"/>
              </w:rPr>
              <w:t>44 South Bayles Avenue, Suite 218,</w:t>
            </w:r>
          </w:p>
        </w:tc>
        <w:tc>
          <w:tcPr>
            <w:tcW w:w="3740" w:type="dxa"/>
            <w:vAlign w:val="bottom"/>
            <w:tcBorders>
              <w:right w:val="single" w:sz="8" w:color="auto"/>
            </w:tcBorders>
            <w:gridSpan w:val="3"/>
          </w:tcPr>
          <w:p>
            <w:pPr>
              <w:jc w:val="center"/>
              <w:ind w:right="20"/>
              <w:spacing w:after="0" w:line="243" w:lineRule="exact"/>
              <w:rPr>
                <w:sz w:val="20"/>
                <w:szCs w:val="20"/>
                <w:color w:val="auto"/>
              </w:rPr>
            </w:pPr>
            <w:r>
              <w:rPr>
                <w:rFonts w:ascii="Times New Roman" w:cs="Times New Roman" w:eastAsia="Times New Roman" w:hAnsi="Times New Roman"/>
                <w:sz w:val="22"/>
                <w:szCs w:val="22"/>
                <w:color w:val="auto"/>
                <w:w w:val="98"/>
              </w:rPr>
              <w:t>GP of the Hagedorn Partnership, L.P.</w:t>
            </w:r>
          </w:p>
        </w:tc>
      </w:tr>
      <w:tr>
        <w:trPr>
          <w:trHeight w:val="282"/>
        </w:trPr>
        <w:tc>
          <w:tcPr>
            <w:tcW w:w="160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Port Washington, NY 11050</w:t>
            </w:r>
          </w:p>
        </w:tc>
        <w:tc>
          <w:tcPr>
            <w:tcW w:w="8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r>
      <w:tr>
        <w:trPr>
          <w:trHeight w:val="96"/>
        </w:trPr>
        <w:tc>
          <w:tcPr>
            <w:tcW w:w="160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r>
      <w:tr>
        <w:trPr>
          <w:trHeight w:val="209"/>
        </w:trPr>
        <w:tc>
          <w:tcPr>
            <w:tcW w:w="3780" w:type="dxa"/>
            <w:vAlign w:val="bottom"/>
            <w:tcBorders>
              <w:left w:val="single" w:sz="8" w:color="auto"/>
              <w:right w:val="single" w:sz="8" w:color="auto"/>
            </w:tcBorders>
            <w:gridSpan w:val="3"/>
          </w:tcPr>
          <w:p>
            <w:pPr>
              <w:jc w:val="center"/>
              <w:ind w:right="40"/>
              <w:spacing w:after="0" w:line="209" w:lineRule="exact"/>
              <w:rPr>
                <w:sz w:val="20"/>
                <w:szCs w:val="20"/>
                <w:color w:val="auto"/>
              </w:rPr>
            </w:pPr>
            <w:r>
              <w:rPr>
                <w:rFonts w:ascii="Times New Roman" w:cs="Times New Roman" w:eastAsia="Times New Roman" w:hAnsi="Times New Roman"/>
                <w:sz w:val="22"/>
                <w:szCs w:val="22"/>
                <w:color w:val="auto"/>
                <w:w w:val="98"/>
              </w:rPr>
              <w:t>Susan Hagedorn</w:t>
            </w:r>
          </w:p>
        </w:tc>
        <w:tc>
          <w:tcPr>
            <w:tcW w:w="3720" w:type="dxa"/>
            <w:vAlign w:val="bottom"/>
            <w:tcBorders>
              <w:right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22"/>
                <w:szCs w:val="22"/>
                <w:color w:val="auto"/>
                <w:w w:val="97"/>
              </w:rPr>
              <w:t>c/o Hagedorn Partnership, L.P.</w:t>
            </w:r>
          </w:p>
        </w:tc>
        <w:tc>
          <w:tcPr>
            <w:tcW w:w="8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r>
      <w:tr>
        <w:trPr>
          <w:trHeight w:val="243"/>
        </w:trPr>
        <w:tc>
          <w:tcPr>
            <w:tcW w:w="1600" w:type="dxa"/>
            <w:vAlign w:val="bottom"/>
            <w:tcBorders>
              <w:left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1640" w:type="dxa"/>
            <w:vAlign w:val="bottom"/>
            <w:tcBorders>
              <w:right w:val="single" w:sz="8" w:color="auto"/>
            </w:tcBorders>
          </w:tcPr>
          <w:p>
            <w:pPr>
              <w:spacing w:after="0"/>
              <w:rPr>
                <w:sz w:val="21"/>
                <w:szCs w:val="21"/>
                <w:color w:val="auto"/>
              </w:rPr>
            </w:pPr>
          </w:p>
        </w:tc>
        <w:tc>
          <w:tcPr>
            <w:tcW w:w="3720" w:type="dxa"/>
            <w:vAlign w:val="bottom"/>
            <w:tcBorders>
              <w:right w:val="single" w:sz="8" w:color="auto"/>
            </w:tcBorders>
            <w:gridSpan w:val="3"/>
          </w:tcPr>
          <w:p>
            <w:pPr>
              <w:jc w:val="center"/>
              <w:ind w:right="60"/>
              <w:spacing w:after="0" w:line="243" w:lineRule="exact"/>
              <w:rPr>
                <w:sz w:val="20"/>
                <w:szCs w:val="20"/>
                <w:color w:val="auto"/>
              </w:rPr>
            </w:pPr>
            <w:r>
              <w:rPr>
                <w:rFonts w:ascii="Times New Roman" w:cs="Times New Roman" w:eastAsia="Times New Roman" w:hAnsi="Times New Roman"/>
                <w:sz w:val="22"/>
                <w:szCs w:val="22"/>
                <w:color w:val="auto"/>
                <w:w w:val="98"/>
              </w:rPr>
              <w:t>44 South Bayles Avenue, Suite 218,</w:t>
            </w:r>
          </w:p>
        </w:tc>
        <w:tc>
          <w:tcPr>
            <w:tcW w:w="3740" w:type="dxa"/>
            <w:vAlign w:val="bottom"/>
            <w:tcBorders>
              <w:right w:val="single" w:sz="8" w:color="auto"/>
            </w:tcBorders>
            <w:gridSpan w:val="3"/>
          </w:tcPr>
          <w:p>
            <w:pPr>
              <w:jc w:val="center"/>
              <w:ind w:right="80"/>
              <w:spacing w:after="0" w:line="243" w:lineRule="exact"/>
              <w:rPr>
                <w:sz w:val="20"/>
                <w:szCs w:val="20"/>
                <w:color w:val="auto"/>
              </w:rPr>
            </w:pPr>
            <w:r>
              <w:rPr>
                <w:rFonts w:ascii="Times New Roman" w:cs="Times New Roman" w:eastAsia="Times New Roman" w:hAnsi="Times New Roman"/>
                <w:sz w:val="22"/>
                <w:szCs w:val="22"/>
                <w:color w:val="auto"/>
                <w:w w:val="97"/>
              </w:rPr>
              <w:t>Chair and GP of the Hagedorn</w:t>
            </w:r>
          </w:p>
        </w:tc>
      </w:tr>
      <w:tr>
        <w:trPr>
          <w:trHeight w:val="282"/>
        </w:trPr>
        <w:tc>
          <w:tcPr>
            <w:tcW w:w="1600" w:type="dxa"/>
            <w:vAlign w:val="bottom"/>
            <w:tcBorders>
              <w:lef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40" w:type="dxa"/>
            <w:vAlign w:val="bottom"/>
            <w:tcBorders>
              <w:right w:val="single" w:sz="8" w:color="auto"/>
            </w:tcBorders>
          </w:tcPr>
          <w:p>
            <w:pPr>
              <w:spacing w:after="0"/>
              <w:rPr>
                <w:sz w:val="24"/>
                <w:szCs w:val="24"/>
                <w:color w:val="auto"/>
              </w:rPr>
            </w:pPr>
          </w:p>
        </w:tc>
        <w:tc>
          <w:tcPr>
            <w:tcW w:w="3720" w:type="dxa"/>
            <w:vAlign w:val="bottom"/>
            <w:tcBorders>
              <w:right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22"/>
                <w:szCs w:val="22"/>
                <w:color w:val="auto"/>
                <w:w w:val="97"/>
              </w:rPr>
              <w:t>Port Washington, NY 11050</w:t>
            </w:r>
          </w:p>
        </w:tc>
        <w:tc>
          <w:tcPr>
            <w:tcW w:w="860" w:type="dxa"/>
            <w:vAlign w:val="bottom"/>
          </w:tcPr>
          <w:p>
            <w:pPr>
              <w:spacing w:after="0"/>
              <w:rPr>
                <w:sz w:val="24"/>
                <w:szCs w:val="24"/>
                <w:color w:val="auto"/>
              </w:rPr>
            </w:pPr>
          </w:p>
        </w:tc>
        <w:tc>
          <w:tcPr>
            <w:tcW w:w="2880" w:type="dxa"/>
            <w:vAlign w:val="bottom"/>
            <w:tcBorders>
              <w:right w:val="single" w:sz="8" w:color="auto"/>
            </w:tcBorders>
            <w:gridSpan w:val="2"/>
          </w:tcPr>
          <w:p>
            <w:pPr>
              <w:jc w:val="center"/>
              <w:ind w:right="880"/>
              <w:spacing w:after="0"/>
              <w:rPr>
                <w:sz w:val="20"/>
                <w:szCs w:val="20"/>
                <w:color w:val="auto"/>
              </w:rPr>
            </w:pPr>
            <w:r>
              <w:rPr>
                <w:rFonts w:ascii="Times New Roman" w:cs="Times New Roman" w:eastAsia="Times New Roman" w:hAnsi="Times New Roman"/>
                <w:sz w:val="22"/>
                <w:szCs w:val="22"/>
                <w:color w:val="auto"/>
                <w:w w:val="97"/>
              </w:rPr>
              <w:t>Partnership, L.P.</w:t>
            </w:r>
          </w:p>
        </w:tc>
      </w:tr>
      <w:tr>
        <w:trPr>
          <w:trHeight w:val="96"/>
        </w:trPr>
        <w:tc>
          <w:tcPr>
            <w:tcW w:w="1600" w:type="dxa"/>
            <w:vAlign w:val="bottom"/>
            <w:tcBorders>
              <w:left w:val="single" w:sz="8" w:color="auto"/>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640" w:type="dxa"/>
            <w:vAlign w:val="bottom"/>
            <w:tcBorders>
              <w:bottom w:val="single" w:sz="8" w:color="auto"/>
              <w:right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980" w:type="dxa"/>
            <w:vAlign w:val="bottom"/>
            <w:tcBorders>
              <w:bottom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r>
      <w:tr>
        <w:trPr>
          <w:trHeight w:val="1837"/>
        </w:trPr>
        <w:tc>
          <w:tcPr>
            <w:tcW w:w="16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23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The following table sets forth the transactions in each class of the Issuer’s securities by the Reporting Persons during the past 60 days.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236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Reporting Person</w:t>
            </w:r>
          </w:p>
        </w:tc>
        <w:tc>
          <w:tcPr>
            <w:tcW w:w="2360" w:type="dxa"/>
            <w:vAlign w:val="bottom"/>
            <w:tcBorders>
              <w:top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Transaction Date</w:t>
            </w:r>
          </w:p>
        </w:tc>
        <w:tc>
          <w:tcPr>
            <w:tcW w:w="24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Transaction Type</w:t>
            </w:r>
          </w:p>
        </w:tc>
        <w:tc>
          <w:tcPr>
            <w:tcW w:w="22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Number of Shares</w:t>
            </w:r>
          </w:p>
        </w:tc>
        <w:tc>
          <w:tcPr>
            <w:tcW w:w="19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Price Per Share</w:t>
            </w:r>
          </w:p>
        </w:tc>
      </w:tr>
      <w:tr>
        <w:trPr>
          <w:trHeight w:val="192"/>
        </w:trPr>
        <w:tc>
          <w:tcPr>
            <w:tcW w:w="2360" w:type="dxa"/>
            <w:vAlign w:val="bottom"/>
            <w:tcBorders>
              <w:left w:val="single" w:sz="8" w:color="auto"/>
              <w:right w:val="single" w:sz="8" w:color="auto"/>
            </w:tcBorders>
          </w:tcPr>
          <w:p>
            <w:pPr>
              <w:ind w:left="120"/>
              <w:spacing w:after="0" w:line="192"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192" w:lineRule="exact"/>
              <w:rPr>
                <w:sz w:val="20"/>
                <w:szCs w:val="20"/>
                <w:color w:val="auto"/>
              </w:rPr>
            </w:pPr>
            <w:r>
              <w:rPr>
                <w:rFonts w:ascii="Times New Roman" w:cs="Times New Roman" w:eastAsia="Times New Roman" w:hAnsi="Times New Roman"/>
                <w:sz w:val="22"/>
                <w:szCs w:val="22"/>
                <w:color w:val="auto"/>
              </w:rPr>
              <w:t>11/13/2025</w:t>
            </w:r>
          </w:p>
        </w:tc>
        <w:tc>
          <w:tcPr>
            <w:tcW w:w="2400" w:type="dxa"/>
            <w:vAlign w:val="bottom"/>
            <w:tcBorders>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22"/>
                <w:szCs w:val="22"/>
                <w:color w:val="auto"/>
              </w:rPr>
              <w:t>Receipt of equity</w:t>
            </w:r>
          </w:p>
        </w:tc>
        <w:tc>
          <w:tcPr>
            <w:tcW w:w="2220" w:type="dxa"/>
            <w:vAlign w:val="bottom"/>
            <w:tcBorders>
              <w:right w:val="single" w:sz="8" w:color="auto"/>
            </w:tcBorders>
          </w:tcPr>
          <w:p>
            <w:pPr>
              <w:ind w:left="80"/>
              <w:spacing w:after="0" w:line="192" w:lineRule="exact"/>
              <w:rPr>
                <w:sz w:val="20"/>
                <w:szCs w:val="20"/>
                <w:color w:val="auto"/>
              </w:rPr>
            </w:pPr>
            <w:r>
              <w:rPr>
                <w:rFonts w:ascii="Times New Roman" w:cs="Times New Roman" w:eastAsia="Times New Roman" w:hAnsi="Times New Roman"/>
                <w:sz w:val="22"/>
                <w:szCs w:val="22"/>
                <w:color w:val="auto"/>
              </w:rPr>
              <w:t>41,353</w:t>
            </w:r>
          </w:p>
        </w:tc>
        <w:tc>
          <w:tcPr>
            <w:tcW w:w="1900" w:type="dxa"/>
            <w:vAlign w:val="bottom"/>
            <w:tcBorders>
              <w:right w:val="single" w:sz="8" w:color="auto"/>
            </w:tcBorders>
          </w:tcPr>
          <w:p>
            <w:pPr>
              <w:ind w:left="100"/>
              <w:spacing w:after="0" w:line="192" w:lineRule="exact"/>
              <w:rPr>
                <w:sz w:val="20"/>
                <w:szCs w:val="20"/>
                <w:color w:val="auto"/>
              </w:rPr>
            </w:pPr>
            <w:r>
              <w:rPr>
                <w:rFonts w:ascii="Times New Roman" w:cs="Times New Roman" w:eastAsia="Times New Roman" w:hAnsi="Times New Roman"/>
                <w:sz w:val="22"/>
                <w:szCs w:val="22"/>
                <w:color w:val="auto"/>
              </w:rPr>
              <w:t>$0</w:t>
            </w:r>
          </w:p>
        </w:tc>
      </w:tr>
      <w:tr>
        <w:trPr>
          <w:trHeight w:val="243"/>
        </w:trPr>
        <w:tc>
          <w:tcPr>
            <w:tcW w:w="236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compensation from</w:t>
            </w:r>
          </w:p>
        </w:tc>
        <w:tc>
          <w:tcPr>
            <w:tcW w:w="22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11/13/2025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Disposition of shares for</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18,216</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$58.40</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tax withholding</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Nathan Baxter</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11/13/2025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Receipt of equity</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28,510</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$0</w:t>
            </w:r>
          </w:p>
        </w:tc>
      </w:tr>
      <w:tr>
        <w:trPr>
          <w:trHeight w:val="243"/>
        </w:trPr>
        <w:tc>
          <w:tcPr>
            <w:tcW w:w="236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compensation from</w:t>
            </w:r>
          </w:p>
        </w:tc>
        <w:tc>
          <w:tcPr>
            <w:tcW w:w="22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Nathan Baxter</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11/13/2025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Disposition of shares for</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12,702</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$58.40</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tax withholding</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10/31/2025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shares per</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43.196</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$46.30</w:t>
            </w:r>
          </w:p>
        </w:tc>
      </w:tr>
      <w:tr>
        <w:trPr>
          <w:trHeight w:val="243"/>
        </w:trPr>
        <w:tc>
          <w:tcPr>
            <w:tcW w:w="236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Purchase Plan</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10/28/2025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Phantom</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1,618.451</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$55.81</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Stock from 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9/30/2025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shares per</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41.1015</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$48.66</w:t>
            </w:r>
          </w:p>
        </w:tc>
      </w:tr>
      <w:tr>
        <w:trPr>
          <w:trHeight w:val="243"/>
        </w:trPr>
        <w:tc>
          <w:tcPr>
            <w:tcW w:w="2360" w:type="dxa"/>
            <w:vAlign w:val="bottom"/>
            <w:tcBorders>
              <w:left w:val="single" w:sz="8" w:color="auto"/>
              <w:right w:val="single" w:sz="8" w:color="auto"/>
            </w:tcBorders>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2400" w:type="dxa"/>
            <w:vAlign w:val="bottom"/>
            <w:tcBorders>
              <w:right w:val="single" w:sz="8" w:color="auto"/>
            </w:tcBorders>
          </w:tcPr>
          <w:p>
            <w:pPr>
              <w:ind w:left="100"/>
              <w:spacing w:after="0" w:line="243" w:lineRule="exact"/>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Borders>
              <w:right w:val="single" w:sz="8" w:color="auto"/>
            </w:tcBorders>
          </w:tcPr>
          <w:p>
            <w:pPr>
              <w:spacing w:after="0"/>
              <w:rPr>
                <w:sz w:val="21"/>
                <w:szCs w:val="21"/>
                <w:color w:val="auto"/>
              </w:rPr>
            </w:pPr>
          </w:p>
        </w:tc>
        <w:tc>
          <w:tcPr>
            <w:tcW w:w="1900" w:type="dxa"/>
            <w:vAlign w:val="bottom"/>
            <w:tcBorders>
              <w:right w:val="single" w:sz="8" w:color="auto"/>
            </w:tcBorders>
          </w:tcPr>
          <w:p>
            <w:pPr>
              <w:spacing w:after="0"/>
              <w:rPr>
                <w:sz w:val="21"/>
                <w:szCs w:val="21"/>
                <w:color w:val="auto"/>
              </w:rPr>
            </w:pP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Purchase Plan</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209"/>
        </w:trPr>
        <w:tc>
          <w:tcPr>
            <w:tcW w:w="23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2"/>
                <w:szCs w:val="22"/>
                <w:color w:val="auto"/>
              </w:rPr>
              <w:t>James Hagedorn</w:t>
            </w:r>
          </w:p>
        </w:tc>
        <w:tc>
          <w:tcPr>
            <w:tcW w:w="2360" w:type="dxa"/>
            <w:vAlign w:val="bottom"/>
            <w:tcBorders>
              <w:right w:val="single" w:sz="8" w:color="auto"/>
            </w:tcBorders>
          </w:tcPr>
          <w:p>
            <w:pPr>
              <w:ind w:left="60"/>
              <w:spacing w:after="0" w:line="209" w:lineRule="exact"/>
              <w:rPr>
                <w:sz w:val="20"/>
                <w:szCs w:val="20"/>
                <w:color w:val="auto"/>
              </w:rPr>
            </w:pPr>
            <w:r>
              <w:rPr>
                <w:rFonts w:ascii="Times New Roman" w:cs="Times New Roman" w:eastAsia="Times New Roman" w:hAnsi="Times New Roman"/>
                <w:sz w:val="22"/>
                <w:szCs w:val="22"/>
                <w:color w:val="auto"/>
              </w:rPr>
              <w:t>9/26/2025</w:t>
            </w:r>
          </w:p>
        </w:tc>
        <w:tc>
          <w:tcPr>
            <w:tcW w:w="24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Acquisition of Phantom</w:t>
            </w:r>
          </w:p>
        </w:tc>
        <w:tc>
          <w:tcPr>
            <w:tcW w:w="2220" w:type="dxa"/>
            <w:vAlign w:val="bottom"/>
            <w:tcBorders>
              <w:right w:val="single" w:sz="8" w:color="auto"/>
            </w:tcBorders>
          </w:tcPr>
          <w:p>
            <w:pPr>
              <w:ind w:left="80"/>
              <w:spacing w:after="0" w:line="209" w:lineRule="exact"/>
              <w:rPr>
                <w:sz w:val="20"/>
                <w:szCs w:val="20"/>
                <w:color w:val="auto"/>
              </w:rPr>
            </w:pPr>
            <w:r>
              <w:rPr>
                <w:rFonts w:ascii="Times New Roman" w:cs="Times New Roman" w:eastAsia="Times New Roman" w:hAnsi="Times New Roman"/>
                <w:sz w:val="22"/>
                <w:szCs w:val="22"/>
                <w:color w:val="auto"/>
              </w:rPr>
              <w:t>1,611.159</w:t>
            </w:r>
          </w:p>
        </w:tc>
        <w:tc>
          <w:tcPr>
            <w:tcW w:w="1900" w:type="dxa"/>
            <w:vAlign w:val="bottom"/>
            <w:tcBorders>
              <w:right w:val="single" w:sz="8" w:color="auto"/>
            </w:tcBorders>
          </w:tcPr>
          <w:p>
            <w:pPr>
              <w:ind w:left="100"/>
              <w:spacing w:after="0" w:line="209" w:lineRule="exact"/>
              <w:rPr>
                <w:sz w:val="20"/>
                <w:szCs w:val="20"/>
                <w:color w:val="auto"/>
              </w:rPr>
            </w:pPr>
            <w:r>
              <w:rPr>
                <w:rFonts w:ascii="Times New Roman" w:cs="Times New Roman" w:eastAsia="Times New Roman" w:hAnsi="Times New Roman"/>
                <w:sz w:val="22"/>
                <w:szCs w:val="22"/>
                <w:color w:val="auto"/>
              </w:rPr>
              <w:t>$56.07</w:t>
            </w:r>
          </w:p>
        </w:tc>
      </w:tr>
      <w:tr>
        <w:trPr>
          <w:trHeight w:val="270"/>
        </w:trPr>
        <w:tc>
          <w:tcPr>
            <w:tcW w:w="2360" w:type="dxa"/>
            <w:vAlign w:val="bottom"/>
            <w:tcBorders>
              <w:left w:val="single" w:sz="8" w:color="auto"/>
              <w:bottom w:val="single" w:sz="8" w:color="auto"/>
              <w:right w:val="single" w:sz="8" w:color="auto"/>
            </w:tcBorders>
          </w:tcPr>
          <w:p>
            <w:pPr>
              <w:spacing w:after="0"/>
              <w:rPr>
                <w:sz w:val="23"/>
                <w:szCs w:val="23"/>
                <w:color w:val="auto"/>
              </w:rPr>
            </w:pPr>
          </w:p>
        </w:tc>
        <w:tc>
          <w:tcPr>
            <w:tcW w:w="2360" w:type="dxa"/>
            <w:vAlign w:val="bottom"/>
            <w:tcBorders>
              <w:bottom w:val="single" w:sz="8" w:color="auto"/>
              <w:right w:val="single" w:sz="8" w:color="auto"/>
            </w:tcBorders>
          </w:tcPr>
          <w:p>
            <w:pPr>
              <w:spacing w:after="0"/>
              <w:rPr>
                <w:sz w:val="23"/>
                <w:szCs w:val="23"/>
                <w:color w:val="auto"/>
              </w:rPr>
            </w:pPr>
          </w:p>
        </w:tc>
        <w:tc>
          <w:tcPr>
            <w:tcW w:w="24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Stock from Issuer</w:t>
            </w:r>
          </w:p>
        </w:tc>
        <w:tc>
          <w:tcPr>
            <w:tcW w:w="2220" w:type="dxa"/>
            <w:vAlign w:val="bottom"/>
            <w:tcBorders>
              <w:bottom w:val="single" w:sz="8" w:color="auto"/>
              <w:right w:val="single" w:sz="8" w:color="auto"/>
            </w:tcBorders>
          </w:tcPr>
          <w:p>
            <w:pPr>
              <w:spacing w:after="0"/>
              <w:rPr>
                <w:sz w:val="23"/>
                <w:szCs w:val="23"/>
                <w:color w:val="auto"/>
              </w:rPr>
            </w:pPr>
          </w:p>
        </w:tc>
        <w:tc>
          <w:tcPr>
            <w:tcW w:w="1900" w:type="dxa"/>
            <w:vAlign w:val="bottom"/>
            <w:tcBorders>
              <w:bottom w:val="single" w:sz="8" w:color="auto"/>
              <w:right w:val="single" w:sz="8" w:color="auto"/>
            </w:tcBorders>
          </w:tcPr>
          <w:p>
            <w:pPr>
              <w:spacing w:after="0"/>
              <w:rPr>
                <w:sz w:val="23"/>
                <w:szCs w:val="23"/>
                <w:color w:val="auto"/>
              </w:rPr>
            </w:pPr>
          </w:p>
        </w:tc>
      </w:tr>
      <w:tr>
        <w:trPr>
          <w:trHeight w:val="1620"/>
        </w:trPr>
        <w:tc>
          <w:tcPr>
            <w:tcW w:w="23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1"/>
      <w:numFmt w:val="bullet"/>
      <w:start w:val="1"/>
    </w:lvl>
  </w:abstractNum>
  <w:abstractNum w:abstractNumId="5">
    <w:nsid w:val="41B71EFB"/>
    <w:multiLevelType w:val="hybridMultilevel"/>
    <w:lvl w:ilvl="0">
      <w:lvlJc w:val="left"/>
      <w:lvlText w:val="2"/>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2025-11-21T18:04:05Z</dcterms:created>
  <dcterms:modified xsi:type="dcterms:W3CDTF">2025-11-21T18:04:05Z</dcterms:modified>
</cp:coreProperties>
</file>