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AS FILED WITH THE SECURITIES AND EXCHANGE COMMISSION ON JULY 10, 2002</w:t>
      </w:r>
    </w:p>
    <w:p>
      <w:pPr>
        <w:spacing w:after="0" w:line="201"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REGISTRATION NO. 333-XXXXX</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060"/>
        <w:spacing w:after="0"/>
        <w:rPr>
          <w:sz w:val="20"/>
          <w:szCs w:val="20"/>
          <w:color w:val="auto"/>
        </w:rPr>
      </w:pPr>
      <w:r>
        <w:rPr>
          <w:rFonts w:ascii="Courier New" w:cs="Courier New" w:eastAsia="Courier New" w:hAnsi="Courier New"/>
          <w:sz w:val="18"/>
          <w:szCs w:val="18"/>
          <w:color w:val="auto"/>
        </w:rPr>
        <w:t>---------------------</w:t>
      </w:r>
    </w:p>
    <w:p>
      <w:pPr>
        <w:ind w:left="3800"/>
        <w:spacing w:after="0" w:line="237" w:lineRule="auto"/>
        <w:rPr>
          <w:sz w:val="20"/>
          <w:szCs w:val="20"/>
          <w:color w:val="auto"/>
        </w:rPr>
      </w:pPr>
      <w:r>
        <w:rPr>
          <w:rFonts w:ascii="Courier New" w:cs="Courier New" w:eastAsia="Courier New" w:hAnsi="Courier New"/>
          <w:sz w:val="18"/>
          <w:szCs w:val="18"/>
          <w:color w:val="auto"/>
        </w:rPr>
        <w:t>FORM S-4</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4" w:lineRule="exact"/>
        <w:rPr>
          <w:sz w:val="24"/>
          <w:szCs w:val="24"/>
          <w:color w:val="auto"/>
        </w:rPr>
      </w:pPr>
    </w:p>
    <w:p>
      <w:pPr>
        <w:ind w:left="1380" w:right="3159" w:firstLine="211"/>
        <w:spacing w:after="0" w:line="290" w:lineRule="auto"/>
        <w:rPr>
          <w:sz w:val="20"/>
          <w:szCs w:val="20"/>
          <w:color w:val="auto"/>
        </w:rPr>
      </w:pPr>
      <w:r>
        <w:rPr>
          <w:rFonts w:ascii="Courier New" w:cs="Courier New" w:eastAsia="Courier New" w:hAnsi="Courier New"/>
          <w:sz w:val="16"/>
          <w:szCs w:val="16"/>
          <w:color w:val="auto"/>
        </w:rPr>
        <w:t>AND THE GUARANTORS IDENTIFIED IN FOOTNOTE 1 BELOW (EXACT NAME OF REGISTRANT AS SPECIFIED IN ITS CHARTER)</w:t>
      </w:r>
    </w:p>
    <w:p>
      <w:pPr>
        <w:spacing w:after="0" w:line="164" w:lineRule="exact"/>
        <w:rPr>
          <w:sz w:val="24"/>
          <w:szCs w:val="24"/>
          <w:color w:val="auto"/>
        </w:rPr>
      </w:pPr>
    </w:p>
    <w:p>
      <w:pPr>
        <w:jc w:val="center"/>
        <w:ind w:right="8739"/>
        <w:spacing w:after="0"/>
        <w:rPr>
          <w:sz w:val="20"/>
          <w:szCs w:val="20"/>
          <w:color w:val="auto"/>
        </w:rPr>
      </w:pPr>
      <w:r>
        <w:rPr>
          <w:rFonts w:ascii="Courier New" w:cs="Courier New" w:eastAsia="Courier New" w:hAnsi="Courier New"/>
          <w:sz w:val="18"/>
          <w:szCs w:val="18"/>
          <w:color w:val="auto"/>
        </w:rPr>
        <w:t>OHIO 2875 31-</w:t>
      </w:r>
    </w:p>
    <w:p>
      <w:pPr>
        <w:jc w:val="center"/>
        <w:ind w:right="8739"/>
        <w:spacing w:after="0" w:line="238" w:lineRule="auto"/>
        <w:rPr>
          <w:sz w:val="20"/>
          <w:szCs w:val="20"/>
          <w:color w:val="auto"/>
        </w:rPr>
      </w:pPr>
      <w:r>
        <w:rPr>
          <w:rFonts w:ascii="Courier New" w:cs="Courier New" w:eastAsia="Courier New" w:hAnsi="Courier New"/>
          <w:sz w:val="18"/>
          <w:szCs w:val="18"/>
          <w:color w:val="auto"/>
        </w:rPr>
        <w:t>1414921</w:t>
      </w:r>
    </w:p>
    <w:p>
      <w:pPr>
        <w:jc w:val="center"/>
        <w:ind w:right="8739"/>
        <w:spacing w:after="0"/>
        <w:rPr>
          <w:sz w:val="20"/>
          <w:szCs w:val="20"/>
          <w:color w:val="auto"/>
        </w:rPr>
      </w:pPr>
      <w:r>
        <w:rPr>
          <w:rFonts w:ascii="Courier New" w:cs="Courier New" w:eastAsia="Courier New" w:hAnsi="Courier New"/>
          <w:sz w:val="18"/>
          <w:szCs w:val="18"/>
          <w:color w:val="auto"/>
        </w:rPr>
        <w:t>(State or</w:t>
      </w:r>
    </w:p>
    <w:p>
      <w:pPr>
        <w:jc w:val="center"/>
        <w:ind w:right="8739"/>
        <w:spacing w:after="0" w:line="237" w:lineRule="auto"/>
        <w:rPr>
          <w:sz w:val="20"/>
          <w:szCs w:val="20"/>
          <w:color w:val="auto"/>
        </w:rPr>
      </w:pPr>
      <w:r>
        <w:rPr>
          <w:rFonts w:ascii="Courier New" w:cs="Courier New" w:eastAsia="Courier New" w:hAnsi="Courier New"/>
          <w:sz w:val="18"/>
          <w:szCs w:val="18"/>
          <w:color w:val="auto"/>
        </w:rPr>
        <w:t>other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jurisdiction</w:t>
      </w:r>
    </w:p>
    <w:p>
      <w:pPr>
        <w:jc w:val="center"/>
        <w:ind w:right="8739"/>
        <w:spacing w:after="0"/>
        <w:rPr>
          <w:sz w:val="20"/>
          <w:szCs w:val="20"/>
          <w:color w:val="auto"/>
        </w:rPr>
      </w:pPr>
      <w:r>
        <w:rPr>
          <w:rFonts w:ascii="Courier New" w:cs="Courier New" w:eastAsia="Courier New" w:hAnsi="Courier New"/>
          <w:sz w:val="18"/>
          <w:szCs w:val="18"/>
          <w:color w:val="auto"/>
        </w:rPr>
        <w:t>of (Primary</w:t>
      </w:r>
    </w:p>
    <w:p>
      <w:pPr>
        <w:jc w:val="center"/>
        <w:ind w:right="8739"/>
        <w:spacing w:after="0" w:line="237" w:lineRule="auto"/>
        <w:rPr>
          <w:sz w:val="20"/>
          <w:szCs w:val="20"/>
          <w:color w:val="auto"/>
        </w:rPr>
      </w:pPr>
      <w:r>
        <w:rPr>
          <w:rFonts w:ascii="Courier New" w:cs="Courier New" w:eastAsia="Courier New" w:hAnsi="Courier New"/>
          <w:sz w:val="18"/>
          <w:szCs w:val="18"/>
          <w:color w:val="auto"/>
        </w:rPr>
        <w:t>Standard</w:t>
      </w:r>
    </w:p>
    <w:p>
      <w:pPr>
        <w:jc w:val="center"/>
        <w:ind w:right="8739"/>
        <w:spacing w:after="0"/>
        <w:rPr>
          <w:sz w:val="20"/>
          <w:szCs w:val="20"/>
          <w:color w:val="auto"/>
        </w:rPr>
      </w:pPr>
      <w:r>
        <w:rPr>
          <w:rFonts w:ascii="Courier New" w:cs="Courier New" w:eastAsia="Courier New" w:hAnsi="Courier New"/>
          <w:sz w:val="18"/>
          <w:szCs w:val="18"/>
          <w:color w:val="auto"/>
        </w:rPr>
        <w:t>Industrial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(I.R.S.</w:t>
      </w:r>
    </w:p>
    <w:p>
      <w:pPr>
        <w:jc w:val="center"/>
        <w:ind w:right="8739"/>
        <w:spacing w:after="0"/>
        <w:rPr>
          <w:sz w:val="20"/>
          <w:szCs w:val="20"/>
          <w:color w:val="auto"/>
        </w:rPr>
      </w:pPr>
      <w:r>
        <w:rPr>
          <w:rFonts w:ascii="Courier New" w:cs="Courier New" w:eastAsia="Courier New" w:hAnsi="Courier New"/>
          <w:sz w:val="18"/>
          <w:szCs w:val="18"/>
          <w:color w:val="auto"/>
        </w:rPr>
        <w:t>Employer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incorporation</w:t>
      </w:r>
    </w:p>
    <w:p>
      <w:pPr>
        <w:jc w:val="center"/>
        <w:ind w:right="8739"/>
        <w:spacing w:after="0" w:line="238" w:lineRule="auto"/>
        <w:rPr>
          <w:sz w:val="20"/>
          <w:szCs w:val="20"/>
          <w:color w:val="auto"/>
        </w:rPr>
      </w:pPr>
      <w:r>
        <w:rPr>
          <w:rFonts w:ascii="Courier New" w:cs="Courier New" w:eastAsia="Courier New" w:hAnsi="Courier New"/>
          <w:sz w:val="18"/>
          <w:szCs w:val="18"/>
          <w:color w:val="auto"/>
        </w:rPr>
        <w:t>or</w:t>
      </w:r>
    </w:p>
    <w:p>
      <w:pPr>
        <w:jc w:val="center"/>
        <w:ind w:right="8739"/>
        <w:spacing w:after="0"/>
        <w:rPr>
          <w:sz w:val="20"/>
          <w:szCs w:val="20"/>
          <w:color w:val="auto"/>
        </w:rPr>
      </w:pPr>
      <w:r>
        <w:rPr>
          <w:rFonts w:ascii="Courier New" w:cs="Courier New" w:eastAsia="Courier New" w:hAnsi="Courier New"/>
          <w:sz w:val="18"/>
          <w:szCs w:val="18"/>
          <w:color w:val="auto"/>
        </w:rPr>
        <w:t>organization)</w:t>
      </w:r>
    </w:p>
    <w:p>
      <w:pPr>
        <w:spacing w:after="0" w:line="4" w:lineRule="exact"/>
        <w:rPr>
          <w:sz w:val="24"/>
          <w:szCs w:val="24"/>
          <w:color w:val="auto"/>
        </w:rPr>
      </w:pPr>
    </w:p>
    <w:p>
      <w:pPr>
        <w:jc w:val="center"/>
        <w:ind w:right="8739"/>
        <w:spacing w:after="0"/>
        <w:rPr>
          <w:sz w:val="20"/>
          <w:szCs w:val="20"/>
          <w:color w:val="auto"/>
        </w:rPr>
      </w:pPr>
      <w:r>
        <w:rPr>
          <w:rFonts w:ascii="Courier New" w:cs="Courier New" w:eastAsia="Courier New" w:hAnsi="Courier New"/>
          <w:sz w:val="16"/>
          <w:szCs w:val="16"/>
          <w:color w:val="auto"/>
        </w:rPr>
        <w:t>Classification</w:t>
      </w:r>
    </w:p>
    <w:p>
      <w:pPr>
        <w:spacing w:after="0" w:line="16" w:lineRule="exact"/>
        <w:rPr>
          <w:sz w:val="24"/>
          <w:szCs w:val="24"/>
          <w:color w:val="auto"/>
        </w:rPr>
      </w:pPr>
    </w:p>
    <w:p>
      <w:pPr>
        <w:jc w:val="center"/>
        <w:ind w:right="8739"/>
        <w:spacing w:after="0"/>
        <w:rPr>
          <w:sz w:val="20"/>
          <w:szCs w:val="20"/>
          <w:color w:val="auto"/>
        </w:rPr>
      </w:pPr>
      <w:r>
        <w:rPr>
          <w:rFonts w:ascii="Courier New" w:cs="Courier New" w:eastAsia="Courier New" w:hAnsi="Courier New"/>
          <w:sz w:val="18"/>
          <w:szCs w:val="18"/>
          <w:color w:val="auto"/>
        </w:rPr>
        <w:t>Code Number)</w:t>
      </w:r>
    </w:p>
    <w:p>
      <w:pPr>
        <w:spacing w:after="0" w:line="4" w:lineRule="exact"/>
        <w:rPr>
          <w:sz w:val="24"/>
          <w:szCs w:val="24"/>
          <w:color w:val="auto"/>
        </w:rPr>
      </w:pPr>
    </w:p>
    <w:p>
      <w:pPr>
        <w:jc w:val="center"/>
        <w:ind w:right="8739"/>
        <w:spacing w:after="0"/>
        <w:rPr>
          <w:sz w:val="20"/>
          <w:szCs w:val="20"/>
          <w:color w:val="auto"/>
        </w:rPr>
      </w:pPr>
      <w:r>
        <w:rPr>
          <w:rFonts w:ascii="Courier New" w:cs="Courier New" w:eastAsia="Courier New" w:hAnsi="Courier New"/>
          <w:sz w:val="16"/>
          <w:szCs w:val="16"/>
          <w:color w:val="auto"/>
        </w:rPr>
        <w:t>Identification</w:t>
      </w:r>
    </w:p>
    <w:p>
      <w:pPr>
        <w:spacing w:after="0" w:line="16" w:lineRule="exact"/>
        <w:rPr>
          <w:sz w:val="24"/>
          <w:szCs w:val="24"/>
          <w:color w:val="auto"/>
        </w:rPr>
      </w:pPr>
    </w:p>
    <w:p>
      <w:pPr>
        <w:jc w:val="center"/>
        <w:ind w:right="8739"/>
        <w:spacing w:after="0"/>
        <w:rPr>
          <w:sz w:val="20"/>
          <w:szCs w:val="20"/>
          <w:color w:val="auto"/>
        </w:rPr>
      </w:pPr>
      <w:r>
        <w:rPr>
          <w:rFonts w:ascii="Courier New" w:cs="Courier New" w:eastAsia="Courier New" w:hAnsi="Courier New"/>
          <w:sz w:val="18"/>
          <w:szCs w:val="18"/>
          <w:color w:val="auto"/>
        </w:rPr>
        <w:t>No.)</w:t>
      </w:r>
    </w:p>
    <w:p>
      <w:pPr>
        <w:spacing w:after="0" w:line="200" w:lineRule="exact"/>
        <w:rPr>
          <w:sz w:val="24"/>
          <w:szCs w:val="24"/>
          <w:color w:val="auto"/>
        </w:rPr>
      </w:pPr>
    </w:p>
    <w:p>
      <w:pPr>
        <w:spacing w:after="0" w:line="209" w:lineRule="exact"/>
        <w:rPr>
          <w:sz w:val="24"/>
          <w:szCs w:val="24"/>
          <w:color w:val="auto"/>
        </w:rPr>
      </w:pPr>
    </w:p>
    <w:p>
      <w:pPr>
        <w:jc w:val="center"/>
        <w:ind w:right="1879"/>
        <w:spacing w:after="0" w:line="236" w:lineRule="auto"/>
        <w:rPr>
          <w:sz w:val="20"/>
          <w:szCs w:val="20"/>
          <w:color w:val="auto"/>
        </w:rPr>
      </w:pPr>
      <w:r>
        <w:rPr>
          <w:rFonts w:ascii="Courier New" w:cs="Courier New" w:eastAsia="Courier New" w:hAnsi="Courier New"/>
          <w:sz w:val="18"/>
          <w:szCs w:val="18"/>
          <w:color w:val="auto"/>
        </w:rPr>
        <w:t>14111 SCOTTSLAWN ROAD, MARYSVILLE, OHIO 43041, (937) 644-0011 (Address, including zip code, and telephone number, including area code, of Registrant's principal executive offices)</w:t>
      </w: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DAVID M. ARONOWITZ</w:t>
      </w:r>
    </w:p>
    <w:p>
      <w:pPr>
        <w:ind w:left="3060"/>
        <w:spacing w:after="0" w:line="238" w:lineRule="auto"/>
        <w:rPr>
          <w:sz w:val="20"/>
          <w:szCs w:val="20"/>
          <w:color w:val="auto"/>
        </w:rPr>
      </w:pPr>
      <w:r>
        <w:rPr>
          <w:rFonts w:ascii="Courier New" w:cs="Courier New" w:eastAsia="Courier New" w:hAnsi="Courier New"/>
          <w:sz w:val="18"/>
          <w:szCs w:val="18"/>
          <w:color w:val="auto"/>
        </w:rPr>
        <w:t>14111 SCOTTSLAWN ROAD</w:t>
      </w:r>
    </w:p>
    <w:p>
      <w:pPr>
        <w:ind w:left="3060"/>
        <w:spacing w:after="0"/>
        <w:rPr>
          <w:sz w:val="20"/>
          <w:szCs w:val="20"/>
          <w:color w:val="auto"/>
        </w:rPr>
      </w:pPr>
      <w:r>
        <w:rPr>
          <w:rFonts w:ascii="Courier New" w:cs="Courier New" w:eastAsia="Courier New" w:hAnsi="Courier New"/>
          <w:sz w:val="18"/>
          <w:szCs w:val="18"/>
          <w:color w:val="auto"/>
        </w:rPr>
        <w:t>MARYSVILLE, OHIO 43041</w:t>
      </w:r>
    </w:p>
    <w:p>
      <w:pPr>
        <w:ind w:left="3480"/>
        <w:spacing w:after="0" w:line="237" w:lineRule="auto"/>
        <w:rPr>
          <w:sz w:val="20"/>
          <w:szCs w:val="20"/>
          <w:color w:val="auto"/>
        </w:rPr>
      </w:pPr>
      <w:r>
        <w:rPr>
          <w:rFonts w:ascii="Courier New" w:cs="Courier New" w:eastAsia="Courier New" w:hAnsi="Courier New"/>
          <w:sz w:val="18"/>
          <w:szCs w:val="18"/>
          <w:color w:val="auto"/>
        </w:rPr>
        <w:t>(937) 644-0011</w:t>
      </w:r>
    </w:p>
    <w:p>
      <w:pPr>
        <w:ind w:left="120"/>
        <w:spacing w:after="0" w:line="238" w:lineRule="auto"/>
        <w:rPr>
          <w:sz w:val="20"/>
          <w:szCs w:val="20"/>
          <w:color w:val="auto"/>
        </w:rPr>
      </w:pPr>
      <w:r>
        <w:rPr>
          <w:rFonts w:ascii="Courier New" w:cs="Courier New" w:eastAsia="Courier New" w:hAnsi="Courier New"/>
          <w:sz w:val="18"/>
          <w:szCs w:val="18"/>
          <w:color w:val="auto"/>
        </w:rPr>
        <w:t>(Name, address, including zip code, and telephone number, including area code,</w:t>
      </w:r>
    </w:p>
    <w:p>
      <w:pPr>
        <w:ind w:left="3060"/>
        <w:spacing w:after="0"/>
        <w:rPr>
          <w:sz w:val="20"/>
          <w:szCs w:val="20"/>
          <w:color w:val="auto"/>
        </w:rPr>
      </w:pPr>
      <w:r>
        <w:rPr>
          <w:rFonts w:ascii="Courier New" w:cs="Courier New" w:eastAsia="Courier New" w:hAnsi="Courier New"/>
          <w:sz w:val="18"/>
          <w:szCs w:val="18"/>
          <w:color w:val="auto"/>
        </w:rPr>
        <w:t>of agent for service)</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COPIES TO:</w:t>
      </w:r>
    </w:p>
    <w:p>
      <w:pPr>
        <w:ind w:left="3060"/>
        <w:spacing w:after="0" w:line="238" w:lineRule="auto"/>
        <w:rPr>
          <w:sz w:val="20"/>
          <w:szCs w:val="20"/>
          <w:color w:val="auto"/>
        </w:rPr>
      </w:pPr>
      <w:r>
        <w:rPr>
          <w:rFonts w:ascii="Courier New" w:cs="Courier New" w:eastAsia="Courier New" w:hAnsi="Courier New"/>
          <w:sz w:val="18"/>
          <w:szCs w:val="18"/>
          <w:color w:val="auto"/>
        </w:rPr>
        <w:t>RONALD A. ROBINS, JR.</w:t>
      </w:r>
    </w:p>
    <w:p>
      <w:pPr>
        <w:ind w:left="2320"/>
        <w:spacing w:after="0"/>
        <w:rPr>
          <w:sz w:val="20"/>
          <w:szCs w:val="20"/>
          <w:color w:val="auto"/>
        </w:rPr>
      </w:pPr>
      <w:r>
        <w:rPr>
          <w:rFonts w:ascii="Courier New" w:cs="Courier New" w:eastAsia="Courier New" w:hAnsi="Courier New"/>
          <w:sz w:val="18"/>
          <w:szCs w:val="18"/>
          <w:color w:val="auto"/>
        </w:rPr>
        <w:t>VORYS, SATER, SEYMOUR AND PEASE LLP</w:t>
      </w:r>
    </w:p>
    <w:p>
      <w:pPr>
        <w:ind w:left="3280"/>
        <w:spacing w:after="0" w:line="237" w:lineRule="auto"/>
        <w:rPr>
          <w:sz w:val="20"/>
          <w:szCs w:val="20"/>
          <w:color w:val="auto"/>
        </w:rPr>
      </w:pPr>
      <w:r>
        <w:rPr>
          <w:rFonts w:ascii="Courier New" w:cs="Courier New" w:eastAsia="Courier New" w:hAnsi="Courier New"/>
          <w:sz w:val="18"/>
          <w:szCs w:val="18"/>
          <w:color w:val="auto"/>
        </w:rPr>
        <w:t>52 EAST GAY STREET</w:t>
      </w:r>
    </w:p>
    <w:p>
      <w:pPr>
        <w:ind w:left="3160"/>
        <w:spacing w:after="0" w:line="238" w:lineRule="auto"/>
        <w:rPr>
          <w:sz w:val="20"/>
          <w:szCs w:val="20"/>
          <w:color w:val="auto"/>
        </w:rPr>
      </w:pPr>
      <w:r>
        <w:rPr>
          <w:rFonts w:ascii="Courier New" w:cs="Courier New" w:eastAsia="Courier New" w:hAnsi="Courier New"/>
          <w:sz w:val="18"/>
          <w:szCs w:val="18"/>
          <w:color w:val="auto"/>
        </w:rPr>
        <w:t>COLUMBUS, OHIO 43215</w:t>
      </w:r>
    </w:p>
    <w:p>
      <w:pPr>
        <w:ind w:left="3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APPROXIMATE DATE OF COMMENCEMENT OF PROPOSED SALE OF THE SECURITIES TO THE PUBLIC: As soon as practicable after the effective date of this Registration Statement as the Registrant shall determine.</w:t>
      </w:r>
    </w:p>
    <w:p>
      <w:pPr>
        <w:spacing w:after="0" w:line="209" w:lineRule="exact"/>
        <w:rPr>
          <w:sz w:val="24"/>
          <w:szCs w:val="24"/>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If the securities being registered on this Form are being offered in connection with the formation of a holding company and there is compliance with General Instruction G, check the following box: [ ]</w:t>
      </w:r>
    </w:p>
    <w:p>
      <w:pPr>
        <w:spacing w:after="0" w:line="209" w:lineRule="exact"/>
        <w:rPr>
          <w:sz w:val="24"/>
          <w:szCs w:val="24"/>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207" w:lineRule="exact"/>
        <w:rPr>
          <w:sz w:val="24"/>
          <w:szCs w:val="24"/>
          <w:color w:val="auto"/>
        </w:rPr>
      </w:pPr>
    </w:p>
    <w:p>
      <w:pPr>
        <w:jc w:val="both"/>
        <w:ind w:right="2099" w:firstLine="421"/>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4"/>
          <w:szCs w:val="24"/>
          <w:color w:val="auto"/>
        </w:rPr>
      </w:pPr>
    </w:p>
    <w:p>
      <w:pPr>
        <w:ind w:left="260" w:hanging="203"/>
        <w:spacing w:after="0"/>
        <w:tabs>
          <w:tab w:leader="none" w:pos="2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55" w:orient="portrait"/>
          <w:cols w:equalWidth="0" w:num="1">
            <w:col w:w="10219"/>
          </w:cols>
          <w:pgMar w:left="240" w:top="649" w:right="1440" w:bottom="0" w:gutter="0" w:footer="0" w:header="0"/>
        </w:sectPr>
      </w:pPr>
    </w:p>
    <w:bookmarkStart w:id="1" w:name="page2"/>
    <w:bookmarkEnd w:id="1"/>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100"/>
        <w:spacing w:after="0" w:line="238"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TITLE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EACH CLASS</w:t>
      </w:r>
    </w:p>
    <w:p>
      <w:pPr>
        <w:jc w:val="center"/>
        <w:ind w:right="8959"/>
        <w:spacing w:after="0"/>
        <w:rPr>
          <w:sz w:val="20"/>
          <w:szCs w:val="20"/>
          <w:color w:val="auto"/>
        </w:rPr>
      </w:pPr>
      <w:r>
        <w:rPr>
          <w:rFonts w:ascii="Courier New" w:cs="Courier New" w:eastAsia="Courier New" w:hAnsi="Courier New"/>
          <w:sz w:val="18"/>
          <w:szCs w:val="18"/>
          <w:color w:val="auto"/>
        </w:rPr>
        <w:t>OF AMOUNT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TO BE</w:t>
      </w:r>
    </w:p>
    <w:p>
      <w:pPr>
        <w:jc w:val="center"/>
        <w:ind w:right="8959"/>
        <w:spacing w:after="0"/>
        <w:rPr>
          <w:sz w:val="20"/>
          <w:szCs w:val="20"/>
          <w:color w:val="auto"/>
        </w:rPr>
      </w:pPr>
      <w:r>
        <w:rPr>
          <w:rFonts w:ascii="Courier New" w:cs="Courier New" w:eastAsia="Courier New" w:hAnsi="Courier New"/>
          <w:sz w:val="18"/>
          <w:szCs w:val="18"/>
          <w:color w:val="auto"/>
        </w:rPr>
        <w:t>PROPOSED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MAXIMUM</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AMOUNT OF</w:t>
      </w:r>
    </w:p>
    <w:p>
      <w:pPr>
        <w:jc w:val="center"/>
        <w:ind w:right="8959"/>
        <w:spacing w:after="0"/>
        <w:rPr>
          <w:sz w:val="20"/>
          <w:szCs w:val="20"/>
          <w:color w:val="auto"/>
        </w:rPr>
      </w:pPr>
      <w:r>
        <w:rPr>
          <w:rFonts w:ascii="Courier New" w:cs="Courier New" w:eastAsia="Courier New" w:hAnsi="Courier New"/>
          <w:sz w:val="18"/>
          <w:szCs w:val="18"/>
          <w:color w:val="auto"/>
        </w:rPr>
        <w:t>SECURITIES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TO BE</w:t>
      </w:r>
    </w:p>
    <w:p>
      <w:pPr>
        <w:jc w:val="center"/>
        <w:ind w:right="8959"/>
        <w:spacing w:after="0"/>
        <w:rPr>
          <w:sz w:val="20"/>
          <w:szCs w:val="20"/>
          <w:color w:val="auto"/>
        </w:rPr>
      </w:pPr>
      <w:r>
        <w:rPr>
          <w:rFonts w:ascii="Courier New" w:cs="Courier New" w:eastAsia="Courier New" w:hAnsi="Courier New"/>
          <w:sz w:val="18"/>
          <w:szCs w:val="18"/>
          <w:color w:val="auto"/>
        </w:rPr>
        <w:t>REGISTERED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REGISTERED</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PRICE PER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UNIT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FEE -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20" w:right="9059" w:hanging="211"/>
        <w:spacing w:after="0" w:line="268" w:lineRule="auto"/>
        <w:tabs>
          <w:tab w:leader="none" w:pos="53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8.625% Senior</w:t>
      </w:r>
    </w:p>
    <w:p>
      <w:pPr>
        <w:jc w:val="center"/>
        <w:ind w:right="8939"/>
        <w:spacing w:after="0"/>
        <w:rPr>
          <w:sz w:val="20"/>
          <w:szCs w:val="20"/>
          <w:color w:val="auto"/>
        </w:rPr>
      </w:pPr>
      <w:r>
        <w:rPr>
          <w:rFonts w:ascii="Courier New" w:cs="Courier New" w:eastAsia="Courier New" w:hAnsi="Courier New"/>
          <w:sz w:val="16"/>
          <w:szCs w:val="16"/>
          <w:color w:val="auto"/>
        </w:rPr>
        <w:t>Subordinated</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Notes due</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2009</w:t>
      </w:r>
    </w:p>
    <w:p>
      <w:pPr>
        <w:jc w:val="center"/>
        <w:ind w:right="8959"/>
        <w:spacing w:after="0"/>
        <w:rPr>
          <w:sz w:val="20"/>
          <w:szCs w:val="20"/>
          <w:color w:val="auto"/>
        </w:rPr>
      </w:pPr>
      <w:r>
        <w:rPr>
          <w:rFonts w:ascii="Courier New" w:cs="Courier New" w:eastAsia="Courier New" w:hAnsi="Courier New"/>
          <w:sz w:val="18"/>
          <w:szCs w:val="18"/>
          <w:color w:val="auto"/>
        </w:rPr>
        <w:t>$70,000,000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100% $6,440</w:t>
      </w:r>
    </w:p>
    <w:p>
      <w:pPr>
        <w:ind w:left="260" w:hanging="203"/>
        <w:spacing w:after="0" w:line="238" w:lineRule="auto"/>
        <w:tabs>
          <w:tab w:leader="none" w:pos="2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8939" w:firstLine="154"/>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Guarantee of 8.625% Senior Subordinated Notes due 2009 $70,000,000</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(2)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133" w:gutter="0" w:footer="0" w:header="0"/>
        </w:sectPr>
      </w:pPr>
    </w:p>
    <w:bookmarkStart w:id="2" w:name="page3"/>
    <w:bookmarkEnd w:id="2"/>
    <w:p>
      <w:pPr>
        <w:ind w:right="1999" w:firstLine="8"/>
        <w:spacing w:after="0" w:line="268"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domestic direct and indirect subsidiaries of Scotts are guarantors of the notes and co-registrants. Each of the guarantors is incorporated in the state indicated and has the I.R.S. Employer Identification Number indicated: Scotts Manufacturing Company, a Delaware corporation (42-1508875); Miracle-Gro Lawn Products, Inc., a New York corporation</w:t>
      </w:r>
    </w:p>
    <w:p>
      <w:pPr>
        <w:ind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(11-3186421); OMS Investments, Inc., a Delaware corporation (51-0357374); Hyponex Corporation, a Delaware corporation (31-1254519); EarthGro, Inc., a Connecticut corporation (06-1317438); Scotts Products Co., an Ohio corporation (31-1269080); Scotts Professional Products Co., an Ohio corporation</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(31-1269066); Scotts Temecula Operations, LLC, a Delaware limited liability company (33-0978312); Scotts-Sierra Horticultural Products Company, a California corporation (94-1634227); Scotts-Sierra Crop Protection Company, a California corporation (77-0153275); Scotts-Sierra Investments, Inc., a Delaware corporation (51-0371209); and Swiss Farms Products, Inc., a Delaware corporation (88-0407223).</w:t>
      </w:r>
    </w:p>
    <w:p>
      <w:pPr>
        <w:spacing w:after="0" w:line="209" w:lineRule="exact"/>
        <w:rPr>
          <w:rFonts w:ascii="Courier New" w:cs="Courier New" w:eastAsia="Courier New" w:hAnsi="Courier New"/>
          <w:sz w:val="16"/>
          <w:szCs w:val="16"/>
          <w:color w:val="auto"/>
        </w:rPr>
      </w:pPr>
    </w:p>
    <w:p>
      <w:pPr>
        <w:ind w:right="2419" w:firstLine="8"/>
        <w:spacing w:after="0" w:line="23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additional consideration for the guarantees of the 8.625% Senior Subordinated Notes due 2009 will be furnished. Pursuant to Rule 457(n), no separate fee is payable with respect to such guarantees.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9"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bookmarkStart w:id="3" w:name="page4"/>
    <w:bookmarkEnd w:id="3"/>
    <w:p>
      <w:pPr>
        <w:ind w:right="1879"/>
        <w:spacing w:after="0" w:line="237" w:lineRule="auto"/>
        <w:rPr>
          <w:sz w:val="20"/>
          <w:szCs w:val="20"/>
          <w:color w:val="auto"/>
        </w:rPr>
      </w:pPr>
      <w:r>
        <w:rPr>
          <w:rFonts w:ascii="Courier New" w:cs="Courier New" w:eastAsia="Courier New" w:hAnsi="Courier New"/>
          <w:sz w:val="18"/>
          <w:szCs w:val="18"/>
          <w:color w:val="auto"/>
        </w:rPr>
        <w:t>THE INFORMATION IN THIS PROSPECTUS IS NOT COMPLETE AND MAY BE CHANGED. WE MAY NOT SELL THESE SECURITIES UNTIL THE PROSPECTUS IS DELIVERED IN FINAL FORM. THIS PROSPECTUS IS NOT AN OFFER TO SELL THESE SECURITIES AND IS NOT SOLICITING AN OFFER TO BUY THESE SECURITIES IN ANY STATE WHERE THE OFFER OR SALE IS NOT PERMITTED.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SUBJECT TO COMPLETION, DATED JULY 10, 2002</w:t>
      </w:r>
    </w:p>
    <w:p>
      <w:pPr>
        <w:spacing w:after="0" w:line="238" w:lineRule="auto"/>
        <w:rPr>
          <w:sz w:val="20"/>
          <w:szCs w:val="20"/>
          <w:color w:val="auto"/>
        </w:rPr>
      </w:pPr>
      <w:r>
        <w:rPr>
          <w:rFonts w:ascii="Courier New" w:cs="Courier New" w:eastAsia="Courier New" w:hAnsi="Courier New"/>
          <w:sz w:val="18"/>
          <w:szCs w:val="18"/>
          <w:color w:val="auto"/>
        </w:rPr>
        <w:t>PRELIMINARY PROSPECTUS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[Scotts Logo]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$70,000,000</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OFFER TO EXCHANGE ITS</w:t>
      </w:r>
    </w:p>
    <w:p>
      <w:pPr>
        <w:jc w:val="center"/>
        <w:ind w:right="1759"/>
        <w:spacing w:after="0" w:line="238" w:lineRule="auto"/>
        <w:rPr>
          <w:sz w:val="20"/>
          <w:szCs w:val="20"/>
          <w:color w:val="auto"/>
        </w:rPr>
      </w:pPr>
      <w:r>
        <w:rPr>
          <w:rFonts w:ascii="Courier New" w:cs="Courier New" w:eastAsia="Courier New" w:hAnsi="Courier New"/>
          <w:sz w:val="18"/>
          <w:szCs w:val="18"/>
          <w:color w:val="auto"/>
        </w:rPr>
        <w:t>8.625% SENIOR SUBORDINATED NOTES DUE 2009,</w:t>
      </w:r>
    </w:p>
    <w:p>
      <w:pPr>
        <w:jc w:val="center"/>
        <w:ind w:right="1759"/>
        <w:spacing w:after="0"/>
        <w:rPr>
          <w:sz w:val="20"/>
          <w:szCs w:val="20"/>
          <w:color w:val="auto"/>
        </w:rPr>
      </w:pPr>
      <w:r>
        <w:rPr>
          <w:rFonts w:ascii="Courier New" w:cs="Courier New" w:eastAsia="Courier New" w:hAnsi="Courier New"/>
          <w:sz w:val="18"/>
          <w:szCs w:val="18"/>
          <w:color w:val="auto"/>
        </w:rPr>
        <w:t>WHICH HAVE BEEN REGISTERED</w:t>
      </w:r>
    </w:p>
    <w:p>
      <w:pPr>
        <w:ind w:left="1800"/>
        <w:spacing w:after="0" w:line="237" w:lineRule="auto"/>
        <w:rPr>
          <w:sz w:val="20"/>
          <w:szCs w:val="20"/>
          <w:color w:val="auto"/>
        </w:rPr>
      </w:pPr>
      <w:r>
        <w:rPr>
          <w:rFonts w:ascii="Courier New" w:cs="Courier New" w:eastAsia="Courier New" w:hAnsi="Courier New"/>
          <w:sz w:val="18"/>
          <w:szCs w:val="18"/>
          <w:color w:val="auto"/>
        </w:rPr>
        <w:t>UNDER THE SECURITIES ACT OF 1933, AS AMENDED,</w:t>
      </w:r>
    </w:p>
    <w:p>
      <w:pPr>
        <w:ind w:left="2320"/>
        <w:spacing w:after="0" w:line="238" w:lineRule="auto"/>
        <w:rPr>
          <w:sz w:val="20"/>
          <w:szCs w:val="20"/>
          <w:color w:val="auto"/>
        </w:rPr>
      </w:pPr>
      <w:r>
        <w:rPr>
          <w:rFonts w:ascii="Courier New" w:cs="Courier New" w:eastAsia="Courier New" w:hAnsi="Courier New"/>
          <w:sz w:val="18"/>
          <w:szCs w:val="18"/>
          <w:color w:val="auto"/>
        </w:rPr>
        <w:t>FOR AN EQUAL PRINCIPAL AMOUNT OF ITS</w:t>
      </w:r>
    </w:p>
    <w:p>
      <w:pPr>
        <w:jc w:val="center"/>
        <w:ind w:right="1759"/>
        <w:spacing w:after="0"/>
        <w:rPr>
          <w:sz w:val="20"/>
          <w:szCs w:val="20"/>
          <w:color w:val="auto"/>
        </w:rPr>
      </w:pPr>
      <w:r>
        <w:rPr>
          <w:rFonts w:ascii="Courier New" w:cs="Courier New" w:eastAsia="Courier New" w:hAnsi="Courier New"/>
          <w:sz w:val="18"/>
          <w:szCs w:val="18"/>
          <w:color w:val="auto"/>
        </w:rPr>
        <w:t>8.625% SENIOR SUBORDINATED NOTES DUE 2009,</w:t>
      </w:r>
    </w:p>
    <w:p>
      <w:pPr>
        <w:jc w:val="center"/>
        <w:ind w:right="1759"/>
        <w:spacing w:after="0" w:line="237" w:lineRule="auto"/>
        <w:rPr>
          <w:sz w:val="20"/>
          <w:szCs w:val="20"/>
          <w:color w:val="auto"/>
        </w:rPr>
      </w:pPr>
      <w:r>
        <w:rPr>
          <w:rFonts w:ascii="Courier New" w:cs="Courier New" w:eastAsia="Courier New" w:hAnsi="Courier New"/>
          <w:sz w:val="18"/>
          <w:szCs w:val="18"/>
          <w:color w:val="auto"/>
        </w:rPr>
        <w:t>WHICH HAVE NOT BEEN REGISTERED</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TERMS OF THE EXCHANGE OFFER:</w:t>
      </w:r>
    </w:p>
    <w:p>
      <w:pPr>
        <w:spacing w:after="0" w:line="207" w:lineRule="exact"/>
        <w:rPr>
          <w:sz w:val="20"/>
          <w:szCs w:val="20"/>
          <w:color w:val="auto"/>
        </w:rPr>
      </w:pPr>
    </w:p>
    <w:p>
      <w:pPr>
        <w:ind w:left="740" w:right="2939"/>
        <w:spacing w:after="0" w:line="235" w:lineRule="auto"/>
        <w:rPr>
          <w:sz w:val="20"/>
          <w:szCs w:val="20"/>
          <w:color w:val="auto"/>
        </w:rPr>
      </w:pPr>
      <w:r>
        <w:rPr>
          <w:rFonts w:ascii="Courier New" w:cs="Courier New" w:eastAsia="Courier New" w:hAnsi="Courier New"/>
          <w:sz w:val="18"/>
          <w:szCs w:val="18"/>
          <w:color w:val="auto"/>
        </w:rPr>
        <w:t>- The exchange offer expires at 5:00 p.m., New York City time, on , 2002, unless extended.</w:t>
      </w:r>
    </w:p>
    <w:p>
      <w:pPr>
        <w:spacing w:after="0" w:line="208" w:lineRule="exact"/>
        <w:rPr>
          <w:sz w:val="20"/>
          <w:szCs w:val="20"/>
          <w:color w:val="auto"/>
        </w:rPr>
      </w:pPr>
    </w:p>
    <w:p>
      <w:pPr>
        <w:ind w:left="740" w:right="2099" w:firstLine="5"/>
        <w:spacing w:after="0" w:line="275" w:lineRule="auto"/>
        <w:tabs>
          <w:tab w:leader="none" w:pos="95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will exchange all outstanding original 8.625% Series A senior subordinated notes that are validly tendered and not validly withdrawn for an equal principal amount of our new 8.625% Series B senior subordinated notes which are registered under the Securities Act.</w:t>
      </w:r>
    </w:p>
    <w:p>
      <w:pPr>
        <w:spacing w:after="0" w:line="182" w:lineRule="exact"/>
        <w:rPr>
          <w:rFonts w:ascii="Courier New" w:cs="Courier New" w:eastAsia="Courier New" w:hAnsi="Courier New"/>
          <w:sz w:val="16"/>
          <w:szCs w:val="16"/>
          <w:color w:val="auto"/>
        </w:rPr>
      </w:pPr>
    </w:p>
    <w:p>
      <w:pPr>
        <w:jc w:val="both"/>
        <w:ind w:left="740" w:right="1879" w:firstLine="5"/>
        <w:spacing w:after="0" w:line="236" w:lineRule="auto"/>
        <w:tabs>
          <w:tab w:leader="none" w:pos="95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offer is not subject to any conditions other than that it not violate applicable law or any applicable interpretation of the staff of the SEC.</w:t>
      </w:r>
    </w:p>
    <w:p>
      <w:pPr>
        <w:spacing w:after="0" w:line="208" w:lineRule="exact"/>
        <w:rPr>
          <w:rFonts w:ascii="Courier New" w:cs="Courier New" w:eastAsia="Courier New" w:hAnsi="Courier New"/>
          <w:sz w:val="18"/>
          <w:szCs w:val="18"/>
          <w:color w:val="auto"/>
        </w:rPr>
      </w:pPr>
    </w:p>
    <w:p>
      <w:pPr>
        <w:ind w:left="740" w:right="2319" w:firstLine="5"/>
        <w:spacing w:after="0" w:line="237" w:lineRule="auto"/>
        <w:tabs>
          <w:tab w:leader="none" w:pos="95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the new 8.625% Series B senior subordinated notes are substantially identical to the original 8.625% Series A senior subordinated notes, except that the original notes contain transfer restrictions and registration rights that the exchange notes do not contain.</w:t>
      </w:r>
    </w:p>
    <w:p>
      <w:pPr>
        <w:spacing w:after="0" w:line="208" w:lineRule="exact"/>
        <w:rPr>
          <w:rFonts w:ascii="Courier New" w:cs="Courier New" w:eastAsia="Courier New" w:hAnsi="Courier New"/>
          <w:sz w:val="18"/>
          <w:szCs w:val="18"/>
          <w:color w:val="auto"/>
        </w:rPr>
      </w:pPr>
    </w:p>
    <w:p>
      <w:pPr>
        <w:ind w:left="740" w:right="2419" w:firstLine="5"/>
        <w:spacing w:after="0" w:line="235" w:lineRule="auto"/>
        <w:tabs>
          <w:tab w:leader="none" w:pos="95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may withdraw tenders of original notes at any time before the exchange offer expires.</w:t>
      </w:r>
    </w:p>
    <w:p>
      <w:pPr>
        <w:spacing w:after="0" w:line="202"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may tender outstanding original notes only in denominations of</w:t>
      </w:r>
    </w:p>
    <w:p>
      <w:pPr>
        <w:ind w:left="740"/>
        <w:spacing w:after="0" w:line="238" w:lineRule="auto"/>
        <w:rPr>
          <w:sz w:val="20"/>
          <w:szCs w:val="20"/>
          <w:color w:val="auto"/>
        </w:rPr>
      </w:pPr>
      <w:r>
        <w:rPr>
          <w:rFonts w:ascii="Courier New" w:cs="Courier New" w:eastAsia="Courier New" w:hAnsi="Courier New"/>
          <w:sz w:val="18"/>
          <w:szCs w:val="18"/>
          <w:color w:val="auto"/>
        </w:rPr>
        <w:t>$1,000 and multiples of $1,000.</w:t>
      </w:r>
    </w:p>
    <w:p>
      <w:pPr>
        <w:spacing w:after="0" w:line="207" w:lineRule="exact"/>
        <w:rPr>
          <w:sz w:val="20"/>
          <w:szCs w:val="20"/>
          <w:color w:val="auto"/>
        </w:rPr>
      </w:pPr>
    </w:p>
    <w:p>
      <w:pPr>
        <w:ind w:left="740" w:right="1999" w:firstLine="5"/>
        <w:spacing w:after="0" w:line="235" w:lineRule="auto"/>
        <w:tabs>
          <w:tab w:leader="none" w:pos="95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not receive any proceeds from the exchange offer, and we will pay all expenses of the exchange offer.</w:t>
      </w:r>
    </w:p>
    <w:p>
      <w:pPr>
        <w:spacing w:after="0" w:line="202"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affiliates may not participate in the exchange offer.</w:t>
      </w:r>
    </w:p>
    <w:p>
      <w:pPr>
        <w:spacing w:after="0" w:line="207" w:lineRule="exact"/>
        <w:rPr>
          <w:sz w:val="20"/>
          <w:szCs w:val="20"/>
          <w:color w:val="auto"/>
        </w:rPr>
      </w:pPr>
    </w:p>
    <w:p>
      <w:pPr>
        <w:jc w:val="both"/>
        <w:ind w:right="1999"/>
        <w:spacing w:after="0" w:line="290" w:lineRule="auto"/>
        <w:rPr>
          <w:sz w:val="20"/>
          <w:szCs w:val="20"/>
          <w:color w:val="auto"/>
        </w:rPr>
      </w:pPr>
      <w:r>
        <w:rPr>
          <w:rFonts w:ascii="Courier New" w:cs="Courier New" w:eastAsia="Courier New" w:hAnsi="Courier New"/>
          <w:sz w:val="16"/>
          <w:szCs w:val="16"/>
          <w:color w:val="auto"/>
        </w:rPr>
        <w:t>PLEASE REFER TO THE SECTION ENTITLED "RISK FACTORS" BEGINNING ON PAGE 11 FOR A DESCRIPTION OF RISKS THAT YOU SHOULD CONSIDER WHEN EVALUATING THIS INVESTMENT.</w:t>
      </w:r>
    </w:p>
    <w:p>
      <w:pPr>
        <w:spacing w:after="0" w:line="17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 2002</w:t>
      </w:r>
    </w:p>
    <w:p>
      <w:pPr>
        <w:sectPr>
          <w:pgSz w:w="11900" w:h="16838" w:orient="portrait"/>
          <w:cols w:equalWidth="0" w:num="1">
            <w:col w:w="10219"/>
          </w:cols>
          <w:pgMar w:left="240" w:top="723" w:right="1440" w:bottom="1440" w:gutter="0" w:footer="0" w:header="0"/>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IN MAKING YOUR INVESTMENT DECISION, YOU SHOULD RELY ONLY ON THE INFORMATION CONTAINED IN THIS PROSPECTUS. WE HAVE NOT AUTHORIZED ANYONE TO PROVIDE YOU WITH OTHER INFORMATION. IF YOU RECEIVE ANY OTHER INFORMATION, YOU SHOULD NOT RELY ON IT. WE ARE NOT MAKING AN OFFER OF THESE NOTES IN ANY STATE WHERE THE OFFER IS NOT PERMITTED. YOU SHOULD ASSUME THAT THE INFORMATION APPEARING IN THIS PROSPECTUS IS ACCURATE AS OF THE DATE ON THE FRONT COVER OF THIS PROSPECTUS ONLY. OUR BUSINESS, FINANCIAL CONDITION, RESULTS OF OPERATIONS AND PROSPECTS MAY HAVE CHANGED SINCE THAT DATE. THE DELIVERY OF THIS PROSPECTUS SHALL UNDER NO CIRCUMSTANCES IMPLY THAT THE INFORMATION HEREIN IS CORRECT AS OF ANY DATE SUBSEQUENT TO THE DATE ON THE COVER OF THIS PROSPECTUS.</w:t>
      </w:r>
    </w:p>
    <w:p>
      <w:pPr>
        <w:spacing w:after="0" w:line="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PAGE Disclosure regarding forward-</w:t>
      </w:r>
    </w:p>
    <w:p>
      <w:pPr>
        <w:jc w:val="center"/>
        <w:ind w:right="6219"/>
        <w:spacing w:after="0" w:line="238" w:lineRule="auto"/>
        <w:rPr>
          <w:sz w:val="20"/>
          <w:szCs w:val="20"/>
          <w:color w:val="auto"/>
        </w:rPr>
      </w:pPr>
      <w:r>
        <w:rPr>
          <w:rFonts w:ascii="Courier New" w:cs="Courier New" w:eastAsia="Courier New" w:hAnsi="Courier New"/>
          <w:sz w:val="18"/>
          <w:szCs w:val="18"/>
          <w:color w:val="auto"/>
        </w:rPr>
        <w:t>looking</w:t>
      </w:r>
    </w:p>
    <w:p>
      <w:pPr>
        <w:jc w:val="center"/>
        <w:ind w:right="6219"/>
        <w:spacing w:after="0"/>
        <w:rPr>
          <w:sz w:val="20"/>
          <w:szCs w:val="20"/>
          <w:color w:val="auto"/>
        </w:rPr>
      </w:pPr>
      <w:r>
        <w:rPr>
          <w:rFonts w:ascii="Courier New" w:cs="Courier New" w:eastAsia="Courier New" w:hAnsi="Courier New"/>
          <w:sz w:val="18"/>
          <w:szCs w:val="18"/>
          <w:color w:val="auto"/>
        </w:rPr>
        <w:t>statements..........................</w:t>
      </w:r>
    </w:p>
    <w:p>
      <w:pPr>
        <w:jc w:val="center"/>
        <w:ind w:right="6219"/>
        <w:spacing w:after="0" w:line="237" w:lineRule="auto"/>
        <w:rPr>
          <w:sz w:val="20"/>
          <w:szCs w:val="20"/>
          <w:color w:val="auto"/>
        </w:rPr>
      </w:pPr>
      <w:r>
        <w:rPr>
          <w:rFonts w:ascii="Courier New" w:cs="Courier New" w:eastAsia="Courier New" w:hAnsi="Courier New"/>
          <w:sz w:val="18"/>
          <w:szCs w:val="18"/>
          <w:color w:val="auto"/>
        </w:rPr>
        <w:t>i Prospectus</w:t>
      </w:r>
    </w:p>
    <w:p>
      <w:pPr>
        <w:jc w:val="center"/>
        <w:ind w:right="6219"/>
        <w:spacing w:after="0" w:line="238" w:lineRule="auto"/>
        <w:rPr>
          <w:sz w:val="20"/>
          <w:szCs w:val="20"/>
          <w:color w:val="auto"/>
        </w:rPr>
      </w:pPr>
      <w:r>
        <w:rPr>
          <w:rFonts w:ascii="Courier New" w:cs="Courier New" w:eastAsia="Courier New" w:hAnsi="Courier New"/>
          <w:sz w:val="18"/>
          <w:szCs w:val="18"/>
          <w:color w:val="auto"/>
        </w:rPr>
        <w:t>summary.................... 2 Risk</w:t>
      </w:r>
    </w:p>
    <w:p>
      <w:pPr>
        <w:jc w:val="center"/>
        <w:ind w:right="6219"/>
        <w:spacing w:after="0"/>
        <w:rPr>
          <w:sz w:val="20"/>
          <w:szCs w:val="20"/>
          <w:color w:val="auto"/>
        </w:rPr>
      </w:pPr>
      <w:r>
        <w:rPr>
          <w:rFonts w:ascii="Courier New" w:cs="Courier New" w:eastAsia="Courier New" w:hAnsi="Courier New"/>
          <w:sz w:val="18"/>
          <w:szCs w:val="18"/>
          <w:color w:val="auto"/>
        </w:rPr>
        <w:t>factors.......................... 11</w:t>
      </w:r>
    </w:p>
    <w:p>
      <w:pPr>
        <w:jc w:val="center"/>
        <w:ind w:right="6219"/>
        <w:spacing w:after="0" w:line="237" w:lineRule="auto"/>
        <w:rPr>
          <w:sz w:val="20"/>
          <w:szCs w:val="20"/>
          <w:color w:val="auto"/>
        </w:rPr>
      </w:pPr>
      <w:r>
        <w:rPr>
          <w:rFonts w:ascii="Courier New" w:cs="Courier New" w:eastAsia="Courier New" w:hAnsi="Courier New"/>
          <w:sz w:val="18"/>
          <w:szCs w:val="18"/>
          <w:color w:val="auto"/>
        </w:rPr>
        <w:t>The exchange</w:t>
      </w:r>
    </w:p>
    <w:p>
      <w:pPr>
        <w:jc w:val="center"/>
        <w:ind w:right="6219"/>
        <w:spacing w:after="0"/>
        <w:rPr>
          <w:sz w:val="20"/>
          <w:szCs w:val="20"/>
          <w:color w:val="auto"/>
        </w:rPr>
      </w:pPr>
      <w:r>
        <w:rPr>
          <w:rFonts w:ascii="Courier New" w:cs="Courier New" w:eastAsia="Courier New" w:hAnsi="Courier New"/>
          <w:sz w:val="18"/>
          <w:szCs w:val="18"/>
          <w:color w:val="auto"/>
        </w:rPr>
        <w:t>offer.................... 21 Ratio of</w:t>
      </w:r>
    </w:p>
    <w:p>
      <w:pPr>
        <w:jc w:val="center"/>
        <w:ind w:right="6219"/>
        <w:spacing w:after="0" w:line="237" w:lineRule="auto"/>
        <w:rPr>
          <w:sz w:val="20"/>
          <w:szCs w:val="20"/>
          <w:color w:val="auto"/>
        </w:rPr>
      </w:pPr>
      <w:r>
        <w:rPr>
          <w:rFonts w:ascii="Courier New" w:cs="Courier New" w:eastAsia="Courier New" w:hAnsi="Courier New"/>
          <w:sz w:val="18"/>
          <w:szCs w:val="18"/>
          <w:color w:val="auto"/>
        </w:rPr>
        <w:t>earnings to fixed charges.... 30 Use</w:t>
      </w:r>
    </w:p>
    <w:p>
      <w:pPr>
        <w:jc w:val="center"/>
        <w:ind w:right="6219"/>
        <w:spacing w:after="0"/>
        <w:rPr>
          <w:sz w:val="20"/>
          <w:szCs w:val="20"/>
          <w:color w:val="auto"/>
        </w:rPr>
      </w:pPr>
      <w:r>
        <w:rPr>
          <w:rFonts w:ascii="Courier New" w:cs="Courier New" w:eastAsia="Courier New" w:hAnsi="Courier New"/>
          <w:sz w:val="18"/>
          <w:szCs w:val="18"/>
          <w:color w:val="auto"/>
        </w:rPr>
        <w:t>of proceeds....................... 30</w:t>
      </w:r>
    </w:p>
    <w:p>
      <w:pPr>
        <w:spacing w:after="0" w:line="3"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Capitalization........................</w:t>
      </w:r>
    </w:p>
    <w:p>
      <w:pPr>
        <w:spacing w:after="0" w:line="16"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31 Selected consolidated financial</w:t>
      </w:r>
    </w:p>
    <w:p>
      <w:pPr>
        <w:ind w:left="120"/>
        <w:spacing w:after="0" w:line="238" w:lineRule="auto"/>
        <w:rPr>
          <w:sz w:val="20"/>
          <w:szCs w:val="20"/>
          <w:color w:val="auto"/>
        </w:rPr>
      </w:pPr>
      <w:r>
        <w:rPr>
          <w:rFonts w:ascii="Courier New" w:cs="Courier New" w:eastAsia="Courier New" w:hAnsi="Courier New"/>
          <w:sz w:val="18"/>
          <w:szCs w:val="18"/>
          <w:color w:val="auto"/>
        </w:rPr>
        <w:t>data................................</w:t>
      </w:r>
    </w:p>
    <w:p>
      <w:pPr>
        <w:jc w:val="center"/>
        <w:ind w:right="6219"/>
        <w:spacing w:after="0"/>
        <w:rPr>
          <w:sz w:val="20"/>
          <w:szCs w:val="20"/>
          <w:color w:val="auto"/>
        </w:rPr>
      </w:pPr>
      <w:r>
        <w:rPr>
          <w:rFonts w:ascii="Courier New" w:cs="Courier New" w:eastAsia="Courier New" w:hAnsi="Courier New"/>
          <w:sz w:val="18"/>
          <w:szCs w:val="18"/>
          <w:color w:val="auto"/>
        </w:rPr>
        <w:t>32 Description of certain other</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indebtedness........................</w:t>
      </w:r>
    </w:p>
    <w:p>
      <w:pPr>
        <w:spacing w:after="0" w:line="200" w:lineRule="exact"/>
        <w:rPr>
          <w:sz w:val="20"/>
          <w:szCs w:val="20"/>
          <w:color w:val="auto"/>
        </w:rPr>
      </w:pP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34</w:t>
      </w:r>
    </w:p>
    <w:p>
      <w:pPr>
        <w:spacing w:after="0" w:line="200" w:lineRule="exact"/>
        <w:rPr>
          <w:sz w:val="20"/>
          <w:szCs w:val="20"/>
          <w:color w:val="auto"/>
        </w:rPr>
      </w:pPr>
    </w:p>
    <w:p>
      <w:pPr>
        <w:spacing w:after="0" w:line="20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PAGE Description of</w:t>
      </w:r>
    </w:p>
    <w:p>
      <w:pPr>
        <w:jc w:val="center"/>
        <w:ind w:right="6219"/>
        <w:spacing w:after="0" w:line="238" w:lineRule="auto"/>
        <w:rPr>
          <w:sz w:val="20"/>
          <w:szCs w:val="20"/>
          <w:color w:val="auto"/>
        </w:rPr>
      </w:pPr>
      <w:r>
        <w:rPr>
          <w:rFonts w:ascii="Courier New" w:cs="Courier New" w:eastAsia="Courier New" w:hAnsi="Courier New"/>
          <w:sz w:val="18"/>
          <w:szCs w:val="18"/>
          <w:color w:val="auto"/>
        </w:rPr>
        <w:t>notes.................. 37 Book-</w:t>
      </w:r>
    </w:p>
    <w:p>
      <w:pPr>
        <w:jc w:val="center"/>
        <w:ind w:right="6219"/>
        <w:spacing w:after="0"/>
        <w:rPr>
          <w:sz w:val="20"/>
          <w:szCs w:val="20"/>
          <w:color w:val="auto"/>
        </w:rPr>
      </w:pPr>
      <w:r>
        <w:rPr>
          <w:rFonts w:ascii="Courier New" w:cs="Courier New" w:eastAsia="Courier New" w:hAnsi="Courier New"/>
          <w:sz w:val="18"/>
          <w:szCs w:val="18"/>
          <w:color w:val="auto"/>
        </w:rPr>
        <w:t>entry, settlement and</w:t>
      </w:r>
    </w:p>
    <w:p>
      <w:pPr>
        <w:ind w:left="120"/>
        <w:spacing w:after="0" w:line="237" w:lineRule="auto"/>
        <w:rPr>
          <w:sz w:val="20"/>
          <w:szCs w:val="20"/>
          <w:color w:val="auto"/>
        </w:rPr>
      </w:pPr>
      <w:r>
        <w:rPr>
          <w:rFonts w:ascii="Courier New" w:cs="Courier New" w:eastAsia="Courier New" w:hAnsi="Courier New"/>
          <w:sz w:val="18"/>
          <w:szCs w:val="18"/>
          <w:color w:val="auto"/>
        </w:rPr>
        <w:t>clearance...........................</w:t>
      </w:r>
    </w:p>
    <w:p>
      <w:pPr>
        <w:jc w:val="center"/>
        <w:ind w:right="6219"/>
        <w:spacing w:after="0" w:line="238" w:lineRule="auto"/>
        <w:rPr>
          <w:sz w:val="20"/>
          <w:szCs w:val="20"/>
          <w:color w:val="auto"/>
        </w:rPr>
      </w:pPr>
      <w:r>
        <w:rPr>
          <w:rFonts w:ascii="Courier New" w:cs="Courier New" w:eastAsia="Courier New" w:hAnsi="Courier New"/>
          <w:sz w:val="18"/>
          <w:szCs w:val="18"/>
          <w:color w:val="auto"/>
        </w:rPr>
        <w:t>75 Certain U.S. federal tax</w:t>
      </w:r>
    </w:p>
    <w:p>
      <w:pPr>
        <w:ind w:left="120"/>
        <w:spacing w:after="0"/>
        <w:rPr>
          <w:sz w:val="20"/>
          <w:szCs w:val="20"/>
          <w:color w:val="auto"/>
        </w:rPr>
      </w:pPr>
      <w:r>
        <w:rPr>
          <w:rFonts w:ascii="Courier New" w:cs="Courier New" w:eastAsia="Courier New" w:hAnsi="Courier New"/>
          <w:sz w:val="18"/>
          <w:szCs w:val="18"/>
          <w:color w:val="auto"/>
        </w:rPr>
        <w:t>considerations......................</w:t>
      </w:r>
    </w:p>
    <w:p>
      <w:pPr>
        <w:ind w:left="1580"/>
        <w:spacing w:after="0" w:line="237" w:lineRule="auto"/>
        <w:rPr>
          <w:sz w:val="20"/>
          <w:szCs w:val="20"/>
          <w:color w:val="auto"/>
        </w:rPr>
      </w:pPr>
      <w:r>
        <w:rPr>
          <w:rFonts w:ascii="Courier New" w:cs="Courier New" w:eastAsia="Courier New" w:hAnsi="Courier New"/>
          <w:sz w:val="18"/>
          <w:szCs w:val="18"/>
          <w:color w:val="auto"/>
        </w:rPr>
        <w:t>78 ERISA</w:t>
      </w:r>
    </w:p>
    <w:tbl>
      <w:tblPr>
        <w:tblLayout w:type="fixed"/>
        <w:tblInd w:w="160" w:type="dxa"/>
        <w:tblCellMar>
          <w:top w:w="0" w:type="dxa"/>
          <w:left w:w="0" w:type="dxa"/>
          <w:bottom w:w="0" w:type="dxa"/>
          <w:right w:w="0" w:type="dxa"/>
        </w:tblCellMar>
      </w:tblPr>
      <w:tr>
        <w:trPr>
          <w:trHeight w:val="203"/>
        </w:trPr>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w w:val="96"/>
              </w:rPr>
              <w:t>considerations</w:t>
            </w: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w w:val="96"/>
              </w:rPr>
              <w:t>.................. 82</w:t>
            </w:r>
          </w:p>
        </w:tc>
      </w:tr>
      <w:tr>
        <w:trPr>
          <w:trHeight w:val="203"/>
        </w:trPr>
        <w:tc>
          <w:tcPr>
            <w:tcW w:w="1480" w:type="dxa"/>
            <w:vAlign w:val="bottom"/>
          </w:tcPr>
          <w:p>
            <w:pPr>
              <w:spacing w:after="0"/>
              <w:rPr>
                <w:sz w:val="17"/>
                <w:szCs w:val="17"/>
                <w:color w:val="auto"/>
              </w:rPr>
            </w:pPr>
          </w:p>
        </w:tc>
        <w:tc>
          <w:tcPr>
            <w:tcW w:w="22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95"/>
              </w:rPr>
              <w:t>Plan of</w:t>
            </w:r>
          </w:p>
        </w:tc>
      </w:tr>
      <w:tr>
        <w:trPr>
          <w:trHeight w:val="203"/>
        </w:trPr>
        <w:tc>
          <w:tcPr>
            <w:tcW w:w="1480" w:type="dxa"/>
            <w:vAlign w:val="bottom"/>
          </w:tcPr>
          <w:p>
            <w:pPr>
              <w:jc w:val="right"/>
              <w:spacing w:after="0"/>
              <w:rPr>
                <w:sz w:val="20"/>
                <w:szCs w:val="20"/>
                <w:color w:val="auto"/>
              </w:rPr>
            </w:pPr>
            <w:r>
              <w:rPr>
                <w:rFonts w:ascii="Courier New" w:cs="Courier New" w:eastAsia="Courier New" w:hAnsi="Courier New"/>
                <w:sz w:val="11"/>
                <w:szCs w:val="11"/>
                <w:color w:val="auto"/>
                <w:w w:val="73"/>
              </w:rPr>
              <w:t>distribution..................</w:t>
            </w:r>
          </w:p>
        </w:tc>
        <w:tc>
          <w:tcPr>
            <w:tcW w:w="2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w:t>
            </w:r>
          </w:p>
        </w:tc>
      </w:tr>
      <w:tr>
        <w:trPr>
          <w:trHeight w:val="203"/>
        </w:trPr>
        <w:tc>
          <w:tcPr>
            <w:tcW w:w="1480" w:type="dxa"/>
            <w:vAlign w:val="bottom"/>
          </w:tcPr>
          <w:p>
            <w:pPr>
              <w:spacing w:after="0"/>
              <w:rPr>
                <w:sz w:val="17"/>
                <w:szCs w:val="17"/>
                <w:color w:val="auto"/>
              </w:rPr>
            </w:pPr>
          </w:p>
        </w:tc>
        <w:tc>
          <w:tcPr>
            <w:tcW w:w="222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Legal</w:t>
            </w:r>
          </w:p>
        </w:tc>
      </w:tr>
      <w:tr>
        <w:trPr>
          <w:trHeight w:val="203"/>
        </w:trPr>
        <w:tc>
          <w:tcPr>
            <w:tcW w:w="1480" w:type="dxa"/>
            <w:vAlign w:val="bottom"/>
          </w:tcPr>
          <w:p>
            <w:pPr>
              <w:jc w:val="right"/>
              <w:spacing w:after="0"/>
              <w:rPr>
                <w:sz w:val="20"/>
                <w:szCs w:val="20"/>
                <w:color w:val="auto"/>
              </w:rPr>
            </w:pPr>
            <w:r>
              <w:rPr>
                <w:rFonts w:ascii="Courier New" w:cs="Courier New" w:eastAsia="Courier New" w:hAnsi="Courier New"/>
                <w:sz w:val="10"/>
                <w:szCs w:val="10"/>
                <w:color w:val="auto"/>
                <w:w w:val="76"/>
              </w:rPr>
              <w:t>matters.........................</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w:t>
            </w:r>
          </w:p>
        </w:tc>
      </w:tr>
    </w:tbl>
    <w:p>
      <w:pPr>
        <w:spacing w:after="0" w:line="238" w:lineRule="auto"/>
        <w:rPr>
          <w:sz w:val="20"/>
          <w:szCs w:val="20"/>
          <w:color w:val="auto"/>
        </w:rPr>
      </w:pPr>
      <w:r>
        <w:rPr>
          <w:rFonts w:ascii="Courier New" w:cs="Courier New" w:eastAsia="Courier New" w:hAnsi="Courier New"/>
          <w:sz w:val="18"/>
          <w:szCs w:val="18"/>
          <w:color w:val="auto"/>
        </w:rPr>
        <w:t>Experts...............................</w:t>
      </w:r>
    </w:p>
    <w:p>
      <w:pPr>
        <w:jc w:val="center"/>
        <w:ind w:right="6219"/>
        <w:spacing w:after="0"/>
        <w:rPr>
          <w:sz w:val="20"/>
          <w:szCs w:val="20"/>
          <w:color w:val="auto"/>
        </w:rPr>
      </w:pPr>
      <w:r>
        <w:rPr>
          <w:rFonts w:ascii="Courier New" w:cs="Courier New" w:eastAsia="Courier New" w:hAnsi="Courier New"/>
          <w:sz w:val="18"/>
          <w:szCs w:val="18"/>
          <w:color w:val="auto"/>
        </w:rPr>
        <w:t>85 Where you can find more</w:t>
      </w:r>
    </w:p>
    <w:p>
      <w:pPr>
        <w:jc w:val="center"/>
        <w:ind w:right="6219"/>
        <w:spacing w:after="0" w:line="237" w:lineRule="auto"/>
        <w:rPr>
          <w:sz w:val="20"/>
          <w:szCs w:val="20"/>
          <w:color w:val="auto"/>
        </w:rPr>
      </w:pPr>
      <w:r>
        <w:rPr>
          <w:rFonts w:ascii="Courier New" w:cs="Courier New" w:eastAsia="Courier New" w:hAnsi="Courier New"/>
          <w:sz w:val="18"/>
          <w:szCs w:val="18"/>
          <w:color w:val="auto"/>
        </w:rPr>
        <w:t>information... 85 Incorporation by</w:t>
      </w:r>
    </w:p>
    <w:p>
      <w:pPr>
        <w:jc w:val="center"/>
        <w:ind w:right="6219"/>
        <w:spacing w:after="0" w:line="238" w:lineRule="auto"/>
        <w:rPr>
          <w:sz w:val="20"/>
          <w:szCs w:val="20"/>
          <w:color w:val="auto"/>
        </w:rPr>
      </w:pPr>
      <w:r>
        <w:rPr>
          <w:rFonts w:ascii="Courier New" w:cs="Courier New" w:eastAsia="Courier New" w:hAnsi="Courier New"/>
          <w:sz w:val="18"/>
          <w:szCs w:val="18"/>
          <w:color w:val="auto"/>
        </w:rPr>
        <w:t>reference............ 85</w:t>
      </w:r>
    </w:p>
    <w:p>
      <w:pPr>
        <w:spacing w:after="0" w:line="200" w:lineRule="exact"/>
        <w:rPr>
          <w:sz w:val="20"/>
          <w:szCs w:val="20"/>
          <w:color w:val="auto"/>
        </w:rPr>
      </w:pP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Scotts Company is an Ohio corporation. Our principal executive offices are located at 14111 Scottslawn Road, Marysville, Ohio 43041, and our telephone number at that address is (937) 644-0011. Our World Wide Web site address is http://www.scotts.com. The information on our website is not part of this prospectus.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Roundup(R) is a registered trademark of Monsanto Technology LLC (an affiliate of Monsanto Company, now known as Pharmacia Corporation). Unless otherwise indicated, all other trademarks, service marks or brand names appearing in this prospectus are the property of Scotts.</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This prospectus includes, and incorporates by reference, "forward looking statements" within the meaning of Section 27A of the Securities Act and Section 21E of the Securities Exchange Act, including, in particular, the statements about Scotts' plans, strategies and prospects under the headings "Prospectus summary," "Selected consolidated financial data," "Management's discussion and analysis of financial condition and results of operations" and "Business." Although we believe that our plans, intentions and expectations reflected in or suggested by such forward-looking statements are reasonable, we can give no assurance that such plans, intentions or expectations will be achieved. Important factors that could cause actual results to differ materially from the forward looking statements we make in, or incorporate by reference into, this prospectus are set forth under the caption "Risk factors" and elsewhere in this prospectus or the documents incorporated by reference herein. All forward-looking statements are expressly qualified in their entirety by those</w:t>
      </w:r>
    </w:p>
    <w:p>
      <w:pPr>
        <w:sectPr>
          <w:pgSz w:w="11900" w:h="16838" w:orient="portrait"/>
          <w:cols w:equalWidth="0" w:num="1">
            <w:col w:w="10219"/>
          </w:cols>
          <w:pgMar w:left="240" w:top="723" w:right="1440" w:bottom="138"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cautionary statements.</w:t>
      </w:r>
    </w:p>
    <w:p>
      <w:pPr>
        <w:jc w:val="right"/>
        <w:ind w:right="5899"/>
        <w:spacing w:after="0" w:line="238" w:lineRule="auto"/>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136" w:right="1440" w:bottom="1440" w:gutter="0" w:footer="0" w:header="0"/>
        </w:sectPr>
      </w:pPr>
    </w:p>
    <w:bookmarkStart w:id="6" w:name="page7"/>
    <w:bookmarkEnd w:id="6"/>
    <w:p>
      <w:pPr>
        <w:ind w:left="3280"/>
        <w:spacing w:after="0"/>
        <w:rPr>
          <w:sz w:val="20"/>
          <w:szCs w:val="20"/>
          <w:color w:val="auto"/>
        </w:rPr>
      </w:pPr>
      <w:r>
        <w:rPr>
          <w:rFonts w:ascii="Courier New" w:cs="Courier New" w:eastAsia="Courier New" w:hAnsi="Courier New"/>
          <w:sz w:val="18"/>
          <w:szCs w:val="18"/>
          <w:color w:val="auto"/>
        </w:rPr>
        <w:t>PROSPECTUS SUMMARY</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following summary is qualified in its entirety by the more detailed information and consolidated financial statements and their notes appearing elsewhere in, or incorporated by reference into, this prospectus. This prospectus includes, or incorporates by reference, the specific terms of the exchange offer and the notes, as well as information regarding our business and risk factors. Because this is only a summary it may not contain all of the information important to you or that you should consider before making an investment decision. Therefore, we urge you to read this prospectus and the documents to which we have referred you. Unless the context otherwise requires, "Scotts," "we," "us," "our" and similar terms refer to The Scotts Company and its subsidiaries. We will refer to the $70 million aggregate principal amount of our outstanding 8.625% Series A senior subordinated notes as the "original notes," and will refer to the 8.625% Series B senior subordinated notes as the "exchange notes." Unless indicated otherwise, the term "notes" refers to both the original notes and the exchange notes.</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this prospectus, we rely on and refer to information regarding the lawn and garden market and its segments in the United States provided by Triad Systems Corporation market research reports covering the period January 2001 through September 2001 and, with regard to other market share data, other publicly available sources. Although we believe this information is reliable, we cannot guarantee the accuracy and completeness of the information and have not independently verified it.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OVERVIEW</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Scotts Company, an Ohio corporation, traces its heritage back to a company founded by O.M. Scott in Marysville, Ohio in 1868. In the mid 1900's, we became widely known for the development of quality lawn fertilizers and grass seeds that led to the creation of a new industry -- consumer lawn care. Today, the Scotts(R) Turf Builder(R), Miracle-Gro(R), Ortho(R) and Roundup(R) brands make us the most widely recognized company in lawn care in the United States. Our fiscal year ended September 30, 2001 revenues and EBITDA (excluding the effect of restructuring charges) were $1.7 billion and $255.7 million, respectively.</w:t>
      </w:r>
    </w:p>
    <w:p>
      <w:pPr>
        <w:spacing w:after="0" w:line="18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the 1990's, we significantly expanded our product offering by acquiring two powerful leading brands in the U.S. home lawn and garden industry. In 1995, through a merger, we acquired the Miracle-Gro(R) brand, the industry leader in water-soluble garden plant foods. In fiscal 1999, we acquired the Ortho(R) brand and exclusive rights to market the consumer Roundup(R)brand, thereby adding industry-leading pesticides and herbicides to our portfolio. We are among the most widely recognized marketers and manufacturers of products for lawns, gardens and professional horticulture, and we are rapidly expanding into the lawn care service industry through our Scotts LawnService(R). We believe that our market leadership is driven by our leading brands, consumer-focused marketing, product performance and extensive relationships with major U.S. retailers.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1997, our presence in Europe expanded with the acquisition of several established brands. We now have a strong presence in the consumer garden business in the United Kingdom, France and Germany, and expect to increase our share in these markets through consumer-focused marketing, a model we have successfully followed in the United States. We also sell consumer lawn and garden products in Latin America, Australia and Japan. In addition, we have a strong presence in the professional horticulture market in Europe.</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COMPETITIVE STRENGTHS</w:t>
      </w:r>
    </w:p>
    <w:p>
      <w:pPr>
        <w:spacing w:after="0" w:line="207" w:lineRule="exact"/>
        <w:rPr>
          <w:sz w:val="20"/>
          <w:szCs w:val="20"/>
          <w:color w:val="auto"/>
        </w:rPr>
      </w:pPr>
    </w:p>
    <w:p>
      <w:pPr>
        <w:ind w:left="740" w:right="1879" w:firstLine="5"/>
        <w:spacing w:after="0" w:line="237" w:lineRule="auto"/>
        <w:tabs>
          <w:tab w:leader="none" w:pos="95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Strong Portfolio of Brand Names. We are the world's largest supplier of consumer lawn and garden fertilizer products, and pesticides. We have been able to achieve this market leading position through a combination of internal growth driven by product line extensions, award winning marketing campaigns and acquisitions.</w:t>
      </w:r>
    </w:p>
    <w:p>
      <w:pPr>
        <w:spacing w:after="0" w:line="209"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The following table shows our portfolio of consumer brands that we believe hold the leading market share position in their respective U.S. markets: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 MARKET SHARE*</w:t>
      </w:r>
    </w:p>
    <w:p>
      <w:pPr>
        <w:ind w:left="220"/>
        <w:spacing w:after="0" w:line="237" w:lineRule="auto"/>
        <w:rPr>
          <w:sz w:val="20"/>
          <w:szCs w:val="20"/>
          <w:color w:val="auto"/>
        </w:rPr>
      </w:pPr>
      <w:r>
        <w:rPr>
          <w:rFonts w:ascii="Courier New" w:cs="Courier New" w:eastAsia="Courier New" w:hAnsi="Courier New"/>
          <w:sz w:val="18"/>
          <w:szCs w:val="18"/>
          <w:color w:val="auto"/>
        </w:rPr>
        <w:t>----------- CATEGORY 1998 2001</w:t>
      </w:r>
    </w:p>
    <w:p>
      <w:pPr>
        <w:ind w:left="60"/>
        <w:spacing w:after="0" w:line="238" w:lineRule="auto"/>
        <w:rPr>
          <w:sz w:val="20"/>
          <w:szCs w:val="20"/>
          <w:color w:val="auto"/>
        </w:rPr>
      </w:pPr>
      <w:r>
        <w:rPr>
          <w:rFonts w:ascii="Courier New" w:cs="Courier New" w:eastAsia="Courier New" w:hAnsi="Courier New"/>
          <w:sz w:val="18"/>
          <w:szCs w:val="18"/>
          <w:color w:val="auto"/>
        </w:rPr>
        <w:t>LEADING BRANDS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Lawns</w:t>
            </w:r>
          </w:p>
        </w:tc>
        <w:tc>
          <w:tcPr>
            <w:tcW w:w="29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3"/>
              </w:rPr>
              <w:t>.............................</w:t>
            </w:r>
          </w:p>
        </w:tc>
      </w:tr>
      <w:tr>
        <w:trPr>
          <w:trHeight w:val="203"/>
        </w:trPr>
        <w:tc>
          <w:tcPr>
            <w:tcW w:w="540" w:type="dxa"/>
            <w:vAlign w:val="bottom"/>
          </w:tcPr>
          <w:p>
            <w:pPr>
              <w:spacing w:after="0"/>
              <w:rPr>
                <w:sz w:val="17"/>
                <w:szCs w:val="17"/>
                <w:color w:val="auto"/>
              </w:rPr>
            </w:pPr>
          </w:p>
        </w:tc>
        <w:tc>
          <w:tcPr>
            <w:tcW w:w="2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56% 61% Turf Builder(R)</w:t>
            </w:r>
          </w:p>
        </w:tc>
        <w:tc>
          <w:tcPr>
            <w:tcW w:w="420" w:type="dxa"/>
            <w:vAlign w:val="bottom"/>
          </w:tcPr>
          <w:p>
            <w:pPr>
              <w:spacing w:after="0"/>
              <w:rPr>
                <w:sz w:val="17"/>
                <w:szCs w:val="17"/>
                <w:color w:val="auto"/>
              </w:rPr>
            </w:pPr>
          </w:p>
        </w:tc>
      </w:tr>
      <w:tr>
        <w:trPr>
          <w:trHeight w:val="203"/>
        </w:trPr>
        <w:tc>
          <w:tcPr>
            <w:tcW w:w="3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4"/>
              </w:rPr>
              <w:t>Gardens...........................</w:t>
            </w:r>
          </w:p>
        </w:tc>
      </w:tr>
      <w:tr>
        <w:trPr>
          <w:trHeight w:val="203"/>
        </w:trPr>
        <w:tc>
          <w:tcPr>
            <w:tcW w:w="540" w:type="dxa"/>
            <w:vAlign w:val="bottom"/>
          </w:tcPr>
          <w:p>
            <w:pPr>
              <w:spacing w:after="0"/>
              <w:rPr>
                <w:sz w:val="17"/>
                <w:szCs w:val="17"/>
                <w:color w:val="auto"/>
              </w:rPr>
            </w:pPr>
          </w:p>
        </w:tc>
        <w:tc>
          <w:tcPr>
            <w:tcW w:w="2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55% 60% Miracle-Gro(R);</w:t>
            </w:r>
          </w:p>
        </w:tc>
        <w:tc>
          <w:tcPr>
            <w:tcW w:w="4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2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Osmocote(R) Growing</w:t>
            </w:r>
          </w:p>
        </w:tc>
        <w:tc>
          <w:tcPr>
            <w:tcW w:w="420" w:type="dxa"/>
            <w:vAlign w:val="bottom"/>
          </w:tcPr>
          <w:p>
            <w:pPr>
              <w:spacing w:after="0"/>
              <w:rPr>
                <w:sz w:val="17"/>
                <w:szCs w:val="17"/>
                <w:color w:val="auto"/>
              </w:rPr>
            </w:pPr>
          </w:p>
        </w:tc>
      </w:tr>
      <w:tr>
        <w:trPr>
          <w:trHeight w:val="203"/>
        </w:trPr>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media.....................</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46%</w:t>
            </w:r>
          </w:p>
        </w:tc>
      </w:tr>
      <w:tr>
        <w:trPr>
          <w:trHeight w:val="203"/>
        </w:trPr>
        <w:tc>
          <w:tcPr>
            <w:tcW w:w="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57%</w:t>
            </w:r>
          </w:p>
        </w:tc>
        <w:tc>
          <w:tcPr>
            <w:tcW w:w="2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Miracle-Gro(R); Scotts(R);</w:t>
            </w:r>
          </w:p>
        </w:tc>
      </w:tr>
      <w:tr>
        <w:trPr>
          <w:trHeight w:val="203"/>
        </w:trPr>
        <w:tc>
          <w:tcPr>
            <w:tcW w:w="540" w:type="dxa"/>
            <w:vAlign w:val="bottom"/>
          </w:tcPr>
          <w:p>
            <w:pPr>
              <w:spacing w:after="0"/>
              <w:rPr>
                <w:sz w:val="17"/>
                <w:szCs w:val="17"/>
                <w:color w:val="auto"/>
              </w:rPr>
            </w:pPr>
          </w:p>
        </w:tc>
        <w:tc>
          <w:tcPr>
            <w:tcW w:w="2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Hyponex(R) Grass</w:t>
            </w:r>
          </w:p>
        </w:tc>
        <w:tc>
          <w:tcPr>
            <w:tcW w:w="420" w:type="dxa"/>
            <w:vAlign w:val="bottom"/>
          </w:tcPr>
          <w:p>
            <w:pPr>
              <w:spacing w:after="0"/>
              <w:rPr>
                <w:sz w:val="17"/>
                <w:szCs w:val="17"/>
                <w:color w:val="auto"/>
              </w:rPr>
            </w:pPr>
          </w:p>
        </w:tc>
      </w:tr>
      <w:tr>
        <w:trPr>
          <w:trHeight w:val="203"/>
        </w:trPr>
        <w:tc>
          <w:tcPr>
            <w:tcW w:w="30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6"/>
              </w:rPr>
              <w:t>seed........................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540" w:type="dxa"/>
            <w:vAlign w:val="bottom"/>
          </w:tcPr>
          <w:p>
            <w:pPr>
              <w:spacing w:after="0"/>
              <w:rPr>
                <w:sz w:val="17"/>
                <w:szCs w:val="17"/>
                <w:color w:val="auto"/>
              </w:rPr>
            </w:pPr>
          </w:p>
        </w:tc>
        <w:tc>
          <w:tcPr>
            <w:tcW w:w="2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41% Scotts(R)</w:t>
            </w:r>
          </w:p>
        </w:tc>
        <w:tc>
          <w:tcPr>
            <w:tcW w:w="420" w:type="dxa"/>
            <w:vAlign w:val="bottom"/>
          </w:tcPr>
          <w:p>
            <w:pPr>
              <w:spacing w:after="0"/>
              <w:rPr>
                <w:sz w:val="17"/>
                <w:szCs w:val="17"/>
                <w:color w:val="auto"/>
              </w:rPr>
            </w:pPr>
          </w:p>
        </w:tc>
      </w:tr>
      <w:tr>
        <w:trPr>
          <w:trHeight w:val="203"/>
        </w:trPr>
        <w:tc>
          <w:tcPr>
            <w:tcW w:w="3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4"/>
              </w:rPr>
              <w:t>Controls..........................</w:t>
            </w:r>
          </w:p>
        </w:tc>
      </w:tr>
    </w:tbl>
    <w:p>
      <w:pPr>
        <w:ind w:left="60"/>
        <w:spacing w:after="0" w:line="238" w:lineRule="auto"/>
        <w:rPr>
          <w:sz w:val="20"/>
          <w:szCs w:val="20"/>
          <w:color w:val="auto"/>
        </w:rPr>
      </w:pPr>
      <w:r>
        <w:rPr>
          <w:rFonts w:ascii="Courier New" w:cs="Courier New" w:eastAsia="Courier New" w:hAnsi="Courier New"/>
          <w:sz w:val="18"/>
          <w:szCs w:val="18"/>
          <w:color w:val="auto"/>
        </w:rPr>
        <w:t>41% 45% Ortho(R); Roundup(R)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740" w:right="2199" w:firstLine="5"/>
        <w:spacing w:after="0" w:line="235" w:lineRule="auto"/>
        <w:tabs>
          <w:tab w:leader="none" w:pos="95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Triad Systems market research reports for 1998 and January 2001 through September 2001.</w:t>
      </w:r>
    </w:p>
    <w:p>
      <w:pPr>
        <w:spacing w:after="0" w:line="208" w:lineRule="exact"/>
        <w:rPr>
          <w:sz w:val="20"/>
          <w:szCs w:val="20"/>
          <w:color w:val="auto"/>
        </w:rPr>
      </w:pPr>
    </w:p>
    <w:p>
      <w:pPr>
        <w:ind w:left="740" w:right="2619"/>
        <w:spacing w:after="0" w:line="279" w:lineRule="auto"/>
        <w:rPr>
          <w:sz w:val="20"/>
          <w:szCs w:val="20"/>
          <w:color w:val="auto"/>
        </w:rPr>
      </w:pPr>
      <w:r>
        <w:rPr>
          <w:rFonts w:ascii="Courier New" w:cs="Courier New" w:eastAsia="Courier New" w:hAnsi="Courier New"/>
          <w:sz w:val="16"/>
          <w:szCs w:val="16"/>
          <w:color w:val="auto"/>
        </w:rPr>
        <w:t>In addition, we have the following significant brands in Europe: Celaflor(R), Fertiligene(R), KB(R), Levington(R), Miracle-Gro(R), Nexa-Lotte(R), Shamrock(R), Substral(R) and Weedol(R).</w:t>
      </w:r>
    </w:p>
    <w:p>
      <w:pPr>
        <w:spacing w:after="0" w:line="178" w:lineRule="exact"/>
        <w:rPr>
          <w:sz w:val="20"/>
          <w:szCs w:val="20"/>
          <w:color w:val="auto"/>
        </w:rPr>
      </w:pPr>
    </w:p>
    <w:p>
      <w:pPr>
        <w:ind w:left="740" w:right="1779" w:firstLine="5"/>
        <w:spacing w:after="0" w:line="238" w:lineRule="auto"/>
        <w:tabs>
          <w:tab w:leader="none" w:pos="95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Strong Relationships with Key Retailers. We believe that our leading brands and our aggressive advertising make our products "traffic builders" at the retail locations. This, in addition to our position as the leading nation-wide supplier of a full line of consumer lawn and garden products, gives us an advantage in selling to retailers, who value the efficiency of dealing with a limited number of suppliers. We are the largest vendor to the lawn and garden departments at Home Depot, Wal-Mart, Lowe's and Kmart, and we have business development teams in place at each of these four retailers to work with their management. We serve as the lawn and garden category manager for Wal-Mart and Kmart. We are also the largest supplier of consumer lawn and garden products to the hardware coop channel. In addition, in fiscal 2001, we completed implementation of enterprise resource planning (or ERP) software systems in North America and realigned our sales force with our "one face to the customer" initiative to help meet the changing needs of our key customers.</w:t>
      </w:r>
    </w:p>
    <w:p>
      <w:pPr>
        <w:spacing w:after="0" w:line="208" w:lineRule="exact"/>
        <w:rPr>
          <w:rFonts w:ascii="Courier New" w:cs="Courier New" w:eastAsia="Courier New" w:hAnsi="Courier New"/>
          <w:sz w:val="18"/>
          <w:szCs w:val="18"/>
          <w:color w:val="auto"/>
        </w:rPr>
      </w:pPr>
    </w:p>
    <w:p>
      <w:pPr>
        <w:ind w:left="740" w:right="1779" w:firstLine="5"/>
        <w:spacing w:after="0" w:line="272" w:lineRule="auto"/>
        <w:tabs>
          <w:tab w:leader="none" w:pos="95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Brand Investment. We are the major media advertiser in the North American lawn and garden industry. During fiscal year 2001, we spent over $73 million advertising our leading portfolio of brands utilizing various media outlets in North America. We believe that we can leverage the current media market for more targeted exposure, primarily with prime time television spots to reach the key consumer audience.</w:t>
      </w:r>
    </w:p>
    <w:p>
      <w:pPr>
        <w:spacing w:after="0" w:line="185" w:lineRule="exact"/>
        <w:rPr>
          <w:rFonts w:ascii="Courier New" w:cs="Courier New" w:eastAsia="Courier New" w:hAnsi="Courier New"/>
          <w:sz w:val="16"/>
          <w:szCs w:val="16"/>
          <w:color w:val="auto"/>
        </w:rPr>
      </w:pPr>
    </w:p>
    <w:p>
      <w:pPr>
        <w:ind w:left="740" w:right="1779" w:firstLine="5"/>
        <w:spacing w:after="0" w:line="268" w:lineRule="auto"/>
        <w:tabs>
          <w:tab w:leader="none" w:pos="95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Focus on Product Innovation. We believe in the benefits of research and development to improve our existing products, manufacturing processes, packaging and delivery systems and to develop new products, manufacturing processes and package and delivery systems. Over the past three years we have invested over $70 million in research and development which has resulted in a portfolio of patents worldwide which support most of our fertilizers and many of our grass seeds and application devises.</w:t>
      </w:r>
    </w:p>
    <w:p>
      <w:pPr>
        <w:ind w:left="4220"/>
        <w:spacing w:after="0" w:line="234" w:lineRule="auto"/>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363" w:gutter="0" w:footer="0" w:header="0"/>
        </w:sectPr>
      </w:pPr>
    </w:p>
    <w:bookmarkStart w:id="8" w:name="page9"/>
    <w:bookmarkEnd w:id="8"/>
    <w:p>
      <w:pPr>
        <w:ind w:left="740" w:right="2099" w:firstLine="5"/>
        <w:spacing w:after="0" w:line="237" w:lineRule="auto"/>
        <w:tabs>
          <w:tab w:leader="none" w:pos="95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Favorable Industry Characteristics. We believe that the lawn and garden market should experience growth due to favorable demographic trends. Based on industry sources, people over the age of 50 are more likely to engage in gardening, which is the third largest U.S. leisure activity. According to census data, the fastest growing segment of the U.S. population is 50 and over.</w:t>
      </w:r>
    </w:p>
    <w:p>
      <w:pPr>
        <w:spacing w:after="0" w:line="209" w:lineRule="exact"/>
        <w:rPr>
          <w:rFonts w:ascii="Courier New" w:cs="Courier New" w:eastAsia="Courier New" w:hAnsi="Courier New"/>
          <w:sz w:val="18"/>
          <w:szCs w:val="18"/>
          <w:color w:val="auto"/>
        </w:rPr>
      </w:pPr>
    </w:p>
    <w:p>
      <w:pPr>
        <w:ind w:left="740" w:right="1999" w:firstLine="5"/>
        <w:spacing w:after="0" w:line="273" w:lineRule="auto"/>
        <w:tabs>
          <w:tab w:leader="none" w:pos="95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Experienced and Incentivised Management Team. Our senior management team has significant experience in the lawn and garden industry. Additionally as of November 27, 2001, our board of directors and executive officers collectively owned, individually or in partnership with members of their families, approximately 43% of our common shares.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STRATEGY</w:t>
      </w:r>
    </w:p>
    <w:p>
      <w:pPr>
        <w:spacing w:after="0" w:line="207" w:lineRule="exact"/>
        <w:rPr>
          <w:sz w:val="20"/>
          <w:szCs w:val="20"/>
          <w:color w:val="auto"/>
        </w:rPr>
      </w:pPr>
    </w:p>
    <w:p>
      <w:pPr>
        <w:ind w:left="740" w:right="1779" w:firstLine="5"/>
        <w:spacing w:after="0" w:line="237" w:lineRule="auto"/>
        <w:tabs>
          <w:tab w:leader="none" w:pos="95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Enhance Market Leadership through Consumer-focused Brand Management. We intend to continue to execute our successful push-pull marketing strategy to strengthen our leading market positions. We believe this approach, which balances consumer-directed, pull marketing with retailer-oriented promotions, builds brand awareness and drives product sales growth. We have grown sales, increased market share and grown the lawn and garden category by utilizing our four principal</w:t>
      </w:r>
    </w:p>
    <w:p>
      <w:pPr>
        <w:spacing w:after="0" w:line="8" w:lineRule="exact"/>
        <w:rPr>
          <w:rFonts w:ascii="Courier New" w:cs="Courier New" w:eastAsia="Courier New" w:hAnsi="Courier New"/>
          <w:sz w:val="18"/>
          <w:szCs w:val="18"/>
          <w:color w:val="auto"/>
        </w:rPr>
      </w:pPr>
    </w:p>
    <w:p>
      <w:pPr>
        <w:ind w:left="740" w:right="20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brands -- Scotts(R), Miracle-Gro(R), Ortho(R) and Roundup(R) -- in the past five years through the successful execution of this strategy.</w:t>
      </w:r>
    </w:p>
    <w:p>
      <w:pPr>
        <w:spacing w:after="0" w:line="164"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Sales by Growing the Overall Consumer Lawn and Garden</w:t>
      </w:r>
    </w:p>
    <w:p>
      <w:pPr>
        <w:spacing w:after="0" w:line="4"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Market. Our strategy is to grow the overall consumer lawn and garden category and to capture substantially all of this growth. In recent years, we have increased consumer advertising, expanded our range of products while reducing our number of SKUs, enhanced product packaging and emphasized year-round fertilizer applications to drive category growth. For example, in fiscal 2001, we introduced Turf Builder(R) Grass Seed, which helped us achieve 15 point market share growth in the grass seed category.</w:t>
      </w:r>
    </w:p>
    <w:p>
      <w:pPr>
        <w:spacing w:after="0" w:line="212" w:lineRule="exact"/>
        <w:rPr>
          <w:sz w:val="20"/>
          <w:szCs w:val="20"/>
          <w:color w:val="auto"/>
        </w:rPr>
      </w:pPr>
    </w:p>
    <w:p>
      <w:pPr>
        <w:ind w:left="740" w:right="1779" w:firstLine="5"/>
        <w:spacing w:after="0" w:line="268" w:lineRule="auto"/>
        <w:tabs>
          <w:tab w:leader="none" w:pos="95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Realize Cost Savings. During fiscal year 2001, in an effort to improve our profitability and increase our return on capital, we initiated a restructuring program and supply chain initiatives which are expected to generate cost savings of at least $30 million on an annual basis. The initiatives included closing several facilities in the United States and Europe, reducing headcount, streamlining our North American salesforce and supply chain, consolidating our world headquarters and North American headquarters and eliminating certain product lines.</w:t>
      </w:r>
    </w:p>
    <w:p>
      <w:pPr>
        <w:ind w:left="4220"/>
        <w:spacing w:after="0" w:line="235" w:lineRule="auto"/>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9" w:name="page10"/>
    <w:bookmarkEnd w:id="9"/>
    <w:p>
      <w:pPr>
        <w:jc w:val="center"/>
        <w:ind w:right="1779"/>
        <w:spacing w:after="0"/>
        <w:rPr>
          <w:sz w:val="20"/>
          <w:szCs w:val="20"/>
          <w:color w:val="auto"/>
        </w:rPr>
      </w:pPr>
      <w:r>
        <w:rPr>
          <w:rFonts w:ascii="Courier New" w:cs="Courier New" w:eastAsia="Courier New" w:hAnsi="Courier New"/>
          <w:sz w:val="18"/>
          <w:szCs w:val="18"/>
          <w:color w:val="auto"/>
        </w:rPr>
        <w:t>THE EXCHANGE OFFER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ORIGINAL NOTES....... We issued and sold $70 million in principal amount of</w:t>
      </w:r>
    </w:p>
    <w:p>
      <w:pPr>
        <w:spacing w:after="0" w:line="21" w:lineRule="exact"/>
        <w:rPr>
          <w:sz w:val="20"/>
          <w:szCs w:val="20"/>
          <w:color w:val="auto"/>
        </w:rPr>
      </w:pPr>
    </w:p>
    <w:p>
      <w:pPr>
        <w:ind w:left="2740" w:right="1779"/>
        <w:spacing w:after="0" w:line="271" w:lineRule="auto"/>
        <w:rPr>
          <w:sz w:val="20"/>
          <w:szCs w:val="20"/>
          <w:color w:val="auto"/>
        </w:rPr>
      </w:pPr>
      <w:r>
        <w:rPr>
          <w:rFonts w:ascii="Courier New" w:cs="Courier New" w:eastAsia="Courier New" w:hAnsi="Courier New"/>
          <w:sz w:val="16"/>
          <w:szCs w:val="16"/>
          <w:color w:val="auto"/>
        </w:rPr>
        <w:t>our 8.625% Series A senior subordinated notes due 2009 to J.P. Morgan Securities, Inc.; Banc of America Securities LLC; First Union Securities, Inc.; ABN AMRO Incorporated and Credit Lyonnais Securities (USA) Inc. on February 6, 2002. These initial purchasers subsequently resold our Series A notes under Rule 144A and Regulation S under the Securities Act. The purchasers of our Series A notes agreed to comply with transfer restrictions and other conditions.</w:t>
      </w:r>
    </w:p>
    <w:p>
      <w:pPr>
        <w:spacing w:after="0" w:line="388" w:lineRule="exact"/>
        <w:rPr>
          <w:sz w:val="20"/>
          <w:szCs w:val="20"/>
          <w:color w:val="auto"/>
        </w:rPr>
      </w:pPr>
    </w:p>
    <w:p>
      <w:pPr>
        <w:ind w:left="2740" w:right="1779"/>
        <w:spacing w:after="0" w:line="237" w:lineRule="auto"/>
        <w:rPr>
          <w:sz w:val="20"/>
          <w:szCs w:val="20"/>
          <w:color w:val="auto"/>
        </w:rPr>
      </w:pPr>
      <w:r>
        <w:rPr>
          <w:rFonts w:ascii="Courier New" w:cs="Courier New" w:eastAsia="Courier New" w:hAnsi="Courier New"/>
          <w:sz w:val="18"/>
          <w:szCs w:val="18"/>
          <w:color w:val="auto"/>
        </w:rPr>
        <w:t>The original notes are represented by three permanent, global notes which are registered in the name of a nominee of The Depository Trust Company. Participants in the DTC system who have accounts with DTC hold interests in the global notes in book-entry form. Accordingly, ownership of beneficial interests in the original notes is limited to DTC participants or person who hold their interests through DTC participants.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EXCHANGE OFFER....... We are offering to exchange up to $70 million in</w:t>
      </w:r>
    </w:p>
    <w:p>
      <w:pPr>
        <w:spacing w:after="0" w:line="4" w:lineRule="exact"/>
        <w:rPr>
          <w:sz w:val="20"/>
          <w:szCs w:val="20"/>
          <w:color w:val="auto"/>
        </w:rPr>
      </w:pPr>
    </w:p>
    <w:p>
      <w:pPr>
        <w:ind w:left="2740" w:right="1779"/>
        <w:spacing w:after="0" w:line="237" w:lineRule="auto"/>
        <w:rPr>
          <w:sz w:val="20"/>
          <w:szCs w:val="20"/>
          <w:color w:val="auto"/>
        </w:rPr>
      </w:pPr>
      <w:r>
        <w:rPr>
          <w:rFonts w:ascii="Courier New" w:cs="Courier New" w:eastAsia="Courier New" w:hAnsi="Courier New"/>
          <w:sz w:val="18"/>
          <w:szCs w:val="18"/>
          <w:color w:val="auto"/>
        </w:rPr>
        <w:t>principal amount of our exchange notes which have been registered under the Securities Act for a like amount of our outstanding original notes that are properly tendered and accepted.</w:t>
      </w:r>
    </w:p>
    <w:p>
      <w:pPr>
        <w:spacing w:after="0" w:line="207" w:lineRule="exact"/>
        <w:rPr>
          <w:sz w:val="20"/>
          <w:szCs w:val="20"/>
          <w:color w:val="auto"/>
        </w:rPr>
      </w:pPr>
    </w:p>
    <w:p>
      <w:pPr>
        <w:ind w:left="2740" w:right="1779"/>
        <w:spacing w:after="0" w:line="237" w:lineRule="auto"/>
        <w:rPr>
          <w:sz w:val="20"/>
          <w:szCs w:val="20"/>
          <w:color w:val="auto"/>
        </w:rPr>
      </w:pPr>
      <w:r>
        <w:rPr>
          <w:rFonts w:ascii="Courier New" w:cs="Courier New" w:eastAsia="Courier New" w:hAnsi="Courier New"/>
          <w:sz w:val="18"/>
          <w:szCs w:val="18"/>
          <w:color w:val="auto"/>
        </w:rPr>
        <w:t>You may tender outstanding original notes only in denominations of $1,000 and multiples of $1,000. We will issue the exchange notes on or promptly after the exchange offer expires.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EXPIRATION DATE.......... This exchange offer will expire at 5:00 p.m., New York</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ind w:left="2740"/>
              <w:spacing w:after="0"/>
              <w:rPr>
                <w:sz w:val="20"/>
                <w:szCs w:val="20"/>
                <w:color w:val="auto"/>
              </w:rPr>
            </w:pPr>
            <w:r>
              <w:rPr>
                <w:rFonts w:ascii="Courier New" w:cs="Courier New" w:eastAsia="Courier New" w:hAnsi="Courier New"/>
                <w:sz w:val="18"/>
                <w:szCs w:val="18"/>
                <w:color w:val="auto"/>
              </w:rPr>
              <w:t>City time, on</w:t>
            </w:r>
          </w:p>
        </w:tc>
        <w:tc>
          <w:tcPr>
            <w:tcW w:w="4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2002, unless extended, in</w:t>
            </w:r>
          </w:p>
        </w:tc>
      </w:tr>
      <w:tr>
        <w:trPr>
          <w:trHeight w:val="203"/>
        </w:trPr>
        <w:tc>
          <w:tcPr>
            <w:tcW w:w="5440" w:type="dxa"/>
            <w:vAlign w:val="bottom"/>
            <w:gridSpan w:val="2"/>
          </w:tcPr>
          <w:p>
            <w:pPr>
              <w:ind w:left="2740"/>
              <w:spacing w:after="0" w:line="203" w:lineRule="exact"/>
              <w:rPr>
                <w:sz w:val="20"/>
                <w:szCs w:val="20"/>
                <w:color w:val="auto"/>
              </w:rPr>
            </w:pPr>
            <w:r>
              <w:rPr>
                <w:rFonts w:ascii="Courier New" w:cs="Courier New" w:eastAsia="Courier New" w:hAnsi="Courier New"/>
                <w:sz w:val="18"/>
                <w:szCs w:val="18"/>
                <w:color w:val="auto"/>
                <w:w w:val="99"/>
              </w:rPr>
              <w:t>which case the expiration</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date will be the latest date</w:t>
            </w:r>
          </w:p>
        </w:tc>
      </w:tr>
      <w:tr>
        <w:trPr>
          <w:trHeight w:val="203"/>
        </w:trPr>
        <w:tc>
          <w:tcPr>
            <w:tcW w:w="8440" w:type="dxa"/>
            <w:vAlign w:val="bottom"/>
            <w:gridSpan w:val="3"/>
          </w:tcPr>
          <w:p>
            <w:pPr>
              <w:ind w:left="2740"/>
              <w:spacing w:after="0" w:line="203" w:lineRule="exact"/>
              <w:rPr>
                <w:sz w:val="20"/>
                <w:szCs w:val="20"/>
                <w:color w:val="auto"/>
              </w:rPr>
            </w:pPr>
            <w:r>
              <w:rPr>
                <w:rFonts w:ascii="Courier New" w:cs="Courier New" w:eastAsia="Courier New" w:hAnsi="Courier New"/>
                <w:sz w:val="18"/>
                <w:szCs w:val="18"/>
                <w:color w:val="auto"/>
              </w:rPr>
              <w:t>and time to which we extend the exchange offer.</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CONDITIONS TO THE</w:t>
            </w:r>
          </w:p>
        </w:tc>
        <w:tc>
          <w:tcPr>
            <w:tcW w:w="4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EXCHANGE OFFER........... The exchange offer is</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not</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subject to any condition</w:t>
            </w:r>
          </w:p>
        </w:tc>
      </w:tr>
      <w:tr>
        <w:trPr>
          <w:trHeight w:val="203"/>
        </w:trPr>
        <w:tc>
          <w:tcPr>
            <w:tcW w:w="8440" w:type="dxa"/>
            <w:vAlign w:val="bottom"/>
            <w:gridSpan w:val="3"/>
          </w:tcPr>
          <w:p>
            <w:pPr>
              <w:ind w:left="2740"/>
              <w:spacing w:after="0" w:line="203" w:lineRule="exact"/>
              <w:rPr>
                <w:sz w:val="20"/>
                <w:szCs w:val="20"/>
                <w:color w:val="auto"/>
              </w:rPr>
            </w:pPr>
            <w:r>
              <w:rPr>
                <w:rFonts w:ascii="Courier New" w:cs="Courier New" w:eastAsia="Courier New" w:hAnsi="Courier New"/>
                <w:sz w:val="18"/>
                <w:szCs w:val="18"/>
                <w:color w:val="auto"/>
              </w:rPr>
              <w:t>other than it will not violate applicable law or any</w:t>
            </w:r>
          </w:p>
        </w:tc>
      </w:tr>
      <w:tr>
        <w:trPr>
          <w:trHeight w:val="203"/>
        </w:trPr>
        <w:tc>
          <w:tcPr>
            <w:tcW w:w="5440" w:type="dxa"/>
            <w:vAlign w:val="bottom"/>
            <w:gridSpan w:val="2"/>
          </w:tcPr>
          <w:p>
            <w:pPr>
              <w:ind w:left="2740"/>
              <w:spacing w:after="0" w:line="203" w:lineRule="exact"/>
              <w:rPr>
                <w:sz w:val="20"/>
                <w:szCs w:val="20"/>
                <w:color w:val="auto"/>
              </w:rPr>
            </w:pPr>
            <w:r>
              <w:rPr>
                <w:rFonts w:ascii="Courier New" w:cs="Courier New" w:eastAsia="Courier New" w:hAnsi="Courier New"/>
                <w:sz w:val="18"/>
                <w:szCs w:val="18"/>
                <w:color w:val="auto"/>
                <w:w w:val="99"/>
              </w:rPr>
              <w:t>applicable interpretation</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of the staff of the SEC. The</w:t>
            </w:r>
          </w:p>
        </w:tc>
      </w:tr>
      <w:tr>
        <w:trPr>
          <w:trHeight w:val="203"/>
        </w:trPr>
        <w:tc>
          <w:tcPr>
            <w:tcW w:w="502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w w:val="99"/>
              </w:rPr>
              <w:t>exchange offer is not</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conditioned upon the tender of</w:t>
            </w:r>
          </w:p>
        </w:tc>
      </w:tr>
      <w:tr>
        <w:trPr>
          <w:trHeight w:val="203"/>
        </w:trPr>
        <w:tc>
          <w:tcPr>
            <w:tcW w:w="502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w w:val="99"/>
              </w:rPr>
              <w:t>any minimum principal</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amount of original notes.</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PROCEDURES FOR TENDERING</w:t>
            </w:r>
          </w:p>
        </w:tc>
        <w:tc>
          <w:tcPr>
            <w:tcW w:w="4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NOTES.................... If you want to accept</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exchange offer, you must</w:t>
            </w:r>
          </w:p>
        </w:tc>
      </w:tr>
      <w:tr>
        <w:trPr>
          <w:trHeight w:val="203"/>
        </w:trPr>
        <w:tc>
          <w:tcPr>
            <w:tcW w:w="8440" w:type="dxa"/>
            <w:vAlign w:val="bottom"/>
            <w:gridSpan w:val="3"/>
          </w:tcPr>
          <w:p>
            <w:pPr>
              <w:ind w:left="2740"/>
              <w:spacing w:after="0" w:line="203" w:lineRule="exact"/>
              <w:rPr>
                <w:sz w:val="20"/>
                <w:szCs w:val="20"/>
                <w:color w:val="auto"/>
              </w:rPr>
            </w:pPr>
            <w:r>
              <w:rPr>
                <w:rFonts w:ascii="Courier New" w:cs="Courier New" w:eastAsia="Courier New" w:hAnsi="Courier New"/>
                <w:sz w:val="18"/>
                <w:szCs w:val="18"/>
                <w:color w:val="auto"/>
              </w:rPr>
              <w:t>transmit to State Street Bank and Trust Company, the</w:t>
            </w:r>
          </w:p>
        </w:tc>
      </w:tr>
      <w:tr>
        <w:trPr>
          <w:trHeight w:val="203"/>
        </w:trPr>
        <w:tc>
          <w:tcPr>
            <w:tcW w:w="502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w w:val="99"/>
              </w:rPr>
              <w:t>exchange agent, on or</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before the expiration date,</w:t>
            </w:r>
          </w:p>
        </w:tc>
      </w:tr>
      <w:tr>
        <w:trPr>
          <w:trHeight w:val="203"/>
        </w:trPr>
        <w:tc>
          <w:tcPr>
            <w:tcW w:w="502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either</w:t>
            </w:r>
          </w:p>
        </w:tc>
        <w:tc>
          <w:tcPr>
            <w:tcW w:w="420" w:type="dxa"/>
            <w:vAlign w:val="bottom"/>
          </w:tcPr>
          <w:p>
            <w:pPr>
              <w:spacing w:after="0"/>
              <w:rPr>
                <w:sz w:val="17"/>
                <w:szCs w:val="17"/>
                <w:color w:val="auto"/>
              </w:rPr>
            </w:pPr>
          </w:p>
        </w:tc>
        <w:tc>
          <w:tcPr>
            <w:tcW w:w="3000" w:type="dxa"/>
            <w:vAlign w:val="bottom"/>
          </w:tcPr>
          <w:p>
            <w:pPr>
              <w:spacing w:after="0"/>
              <w:rPr>
                <w:sz w:val="17"/>
                <w:szCs w:val="17"/>
                <w:color w:val="auto"/>
              </w:rPr>
            </w:pPr>
          </w:p>
        </w:tc>
      </w:tr>
    </w:tbl>
    <w:p>
      <w:pPr>
        <w:spacing w:after="0" w:line="207" w:lineRule="exact"/>
        <w:rPr>
          <w:sz w:val="20"/>
          <w:szCs w:val="20"/>
          <w:color w:val="auto"/>
        </w:rPr>
      </w:pPr>
    </w:p>
    <w:p>
      <w:pPr>
        <w:ind w:left="2740" w:right="1779" w:firstLine="7"/>
        <w:spacing w:after="0" w:line="272" w:lineRule="auto"/>
        <w:tabs>
          <w:tab w:leader="none" w:pos="295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computer generated message transmitted through The Depository Trust Company's Automated Tender Offer Program system and received by the exchange agent and forming a part of a confirmation of book-entry transfer in which you acknowledge and agree to be bound by the terms of the letter of transmittal; or</w:t>
      </w:r>
    </w:p>
    <w:p>
      <w:pPr>
        <w:spacing w:after="0" w:line="185" w:lineRule="exact"/>
        <w:rPr>
          <w:rFonts w:ascii="Courier New" w:cs="Courier New" w:eastAsia="Courier New" w:hAnsi="Courier New"/>
          <w:sz w:val="16"/>
          <w:szCs w:val="16"/>
          <w:color w:val="auto"/>
        </w:rPr>
      </w:pPr>
    </w:p>
    <w:p>
      <w:pPr>
        <w:ind w:left="2740" w:right="1879" w:firstLine="7"/>
        <w:spacing w:after="0" w:line="237" w:lineRule="auto"/>
        <w:tabs>
          <w:tab w:leader="none" w:pos="295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properly completed and duly executed letter of transmittal, which accompanies this prospectus, or a facsimile of the letter of transmittal, together with your original notes and any other required documentation, to the exchange agent at the address listed in this prospectus and on the front cover of the letter of transmittal.</w:t>
      </w:r>
    </w:p>
    <w:p>
      <w:pPr>
        <w:spacing w:after="0" w:line="211" w:lineRule="exact"/>
        <w:rPr>
          <w:sz w:val="20"/>
          <w:szCs w:val="20"/>
          <w:color w:val="auto"/>
        </w:rPr>
      </w:pPr>
    </w:p>
    <w:p>
      <w:pPr>
        <w:ind w:left="2740" w:right="1779"/>
        <w:spacing w:after="0" w:line="237" w:lineRule="auto"/>
        <w:rPr>
          <w:sz w:val="20"/>
          <w:szCs w:val="20"/>
          <w:color w:val="auto"/>
        </w:rPr>
      </w:pPr>
      <w:r>
        <w:rPr>
          <w:rFonts w:ascii="Courier New" w:cs="Courier New" w:eastAsia="Courier New" w:hAnsi="Courier New"/>
          <w:sz w:val="18"/>
          <w:szCs w:val="18"/>
          <w:color w:val="auto"/>
        </w:rPr>
        <w:t>If you cannot satisfy either of these procedures on a timely basis, then you should comply with the guaranteed delivery procedures described below. By executing the letter of transmittal, you will make the representations to us described in the section entitled "The exchange offer -- Procedures for tendering."</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362"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SPECIAL PROCEDURES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 OWNERS........ If you are a beneficial owner whose original notes are</w:t>
      </w:r>
    </w:p>
    <w:p>
      <w:pPr>
        <w:spacing w:after="0" w:line="21" w:lineRule="exact"/>
        <w:rPr>
          <w:sz w:val="20"/>
          <w:szCs w:val="20"/>
          <w:color w:val="auto"/>
        </w:rPr>
      </w:pPr>
    </w:p>
    <w:p>
      <w:pPr>
        <w:ind w:left="2740" w:right="1779"/>
        <w:spacing w:after="0" w:line="238" w:lineRule="auto"/>
        <w:rPr>
          <w:sz w:val="20"/>
          <w:szCs w:val="20"/>
          <w:color w:val="auto"/>
        </w:rPr>
      </w:pPr>
      <w:r>
        <w:rPr>
          <w:rFonts w:ascii="Courier New" w:cs="Courier New" w:eastAsia="Courier New" w:hAnsi="Courier New"/>
          <w:sz w:val="18"/>
          <w:szCs w:val="18"/>
          <w:color w:val="auto"/>
        </w:rPr>
        <w:t>registered in the name of a broker, dealer, commercial bank, trust company or other nominee and you wish to tender your original notes in the exchange offer, you should contact the registered holder promptly and instruct the registered holder to tender on your behalf. If you wish to tender on your own behalf, you must either (1) make appropriate arrangements to register ownership of the original notes in your name or (2) obtain a properly completed bond power from the registered holder, before completing and executing the letter of transmittal and delivering your original 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GUARANTEED DELIVERY</w:t>
      </w:r>
    </w:p>
    <w:p>
      <w:pPr>
        <w:spacing w:after="0" w:line="238" w:lineRule="auto"/>
        <w:rPr>
          <w:sz w:val="20"/>
          <w:szCs w:val="20"/>
          <w:color w:val="auto"/>
        </w:rPr>
      </w:pPr>
      <w:r>
        <w:rPr>
          <w:rFonts w:ascii="Courier New" w:cs="Courier New" w:eastAsia="Courier New" w:hAnsi="Courier New"/>
          <w:sz w:val="18"/>
          <w:szCs w:val="18"/>
          <w:color w:val="auto"/>
        </w:rPr>
        <w:t>PROCEDURES............... If you want to tender your original notes and time</w:t>
      </w:r>
    </w:p>
    <w:p>
      <w:pPr>
        <w:spacing w:after="0" w:line="5" w:lineRule="exact"/>
        <w:rPr>
          <w:sz w:val="20"/>
          <w:szCs w:val="20"/>
          <w:color w:val="auto"/>
        </w:rPr>
      </w:pPr>
    </w:p>
    <w:p>
      <w:pPr>
        <w:ind w:left="2740" w:right="1879"/>
        <w:spacing w:after="0" w:line="237" w:lineRule="auto"/>
        <w:rPr>
          <w:sz w:val="20"/>
          <w:szCs w:val="20"/>
          <w:color w:val="auto"/>
        </w:rPr>
      </w:pPr>
      <w:r>
        <w:rPr>
          <w:rFonts w:ascii="Courier New" w:cs="Courier New" w:eastAsia="Courier New" w:hAnsi="Courier New"/>
          <w:sz w:val="18"/>
          <w:szCs w:val="18"/>
          <w:color w:val="auto"/>
        </w:rPr>
        <w:t>will not permit the documents required by the letter of transmittal to reach the exchange agent before the expiration date, or the procedure for book-entry transfer cannot be completed on a timely basis, you must tender your original notes according to the guaranteed delivery procedures described in the section entitled "The exchange offer -- Guaranteed delivery procedures."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ACCEPTANCE OF ORIGINAL</w:t>
      </w:r>
    </w:p>
    <w:p>
      <w:pPr>
        <w:spacing w:after="0" w:line="238" w:lineRule="auto"/>
        <w:rPr>
          <w:sz w:val="20"/>
          <w:szCs w:val="20"/>
          <w:color w:val="auto"/>
        </w:rPr>
      </w:pPr>
      <w:r>
        <w:rPr>
          <w:rFonts w:ascii="Courier New" w:cs="Courier New" w:eastAsia="Courier New" w:hAnsi="Courier New"/>
          <w:sz w:val="18"/>
          <w:szCs w:val="18"/>
          <w:color w:val="auto"/>
        </w:rPr>
        <w:t>NOTES AND DELIVERY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NOTES........... Subject to the satisfaction or waiver of the condition</w:t>
      </w:r>
    </w:p>
    <w:p>
      <w:pPr>
        <w:spacing w:after="0" w:line="21" w:lineRule="exact"/>
        <w:rPr>
          <w:sz w:val="20"/>
          <w:szCs w:val="20"/>
          <w:color w:val="auto"/>
        </w:rPr>
      </w:pPr>
    </w:p>
    <w:p>
      <w:pPr>
        <w:ind w:left="2740" w:right="1779"/>
        <w:spacing w:after="0" w:line="275" w:lineRule="auto"/>
        <w:rPr>
          <w:sz w:val="20"/>
          <w:szCs w:val="20"/>
          <w:color w:val="auto"/>
        </w:rPr>
      </w:pPr>
      <w:r>
        <w:rPr>
          <w:rFonts w:ascii="Courier New" w:cs="Courier New" w:eastAsia="Courier New" w:hAnsi="Courier New"/>
          <w:sz w:val="16"/>
          <w:szCs w:val="16"/>
          <w:color w:val="auto"/>
        </w:rPr>
        <w:t>to the exchange offer, we will accept for exchange any and all original notes which are validly tendered in the exchange offer and not withdrawn before 5:00 p.m., New York City time, on the expiration date.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WITHDRAWAL RIGHTS........ You may withdraw the tender of your original notes at</w:t>
      </w:r>
    </w:p>
    <w:p>
      <w:pPr>
        <w:spacing w:after="0" w:line="21" w:lineRule="exact"/>
        <w:rPr>
          <w:sz w:val="20"/>
          <w:szCs w:val="20"/>
          <w:color w:val="auto"/>
        </w:rPr>
      </w:pPr>
    </w:p>
    <w:p>
      <w:pPr>
        <w:ind w:left="2740" w:right="1779"/>
        <w:spacing w:after="0" w:line="237" w:lineRule="auto"/>
        <w:rPr>
          <w:sz w:val="20"/>
          <w:szCs w:val="20"/>
          <w:color w:val="auto"/>
        </w:rPr>
      </w:pPr>
      <w:r>
        <w:rPr>
          <w:rFonts w:ascii="Courier New" w:cs="Courier New" w:eastAsia="Courier New" w:hAnsi="Courier New"/>
          <w:sz w:val="18"/>
          <w:szCs w:val="18"/>
          <w:color w:val="auto"/>
        </w:rPr>
        <w:t>any time before 5:00 p.m., New York City time, on the expiration date, by complying with the procedures for withdrawal described in this prospectus in the section entitled "The exchange offer -- Withdrawal of tenders."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U.S. FEDERAL</w:t>
      </w:r>
    </w:p>
    <w:p>
      <w:pPr>
        <w:spacing w:after="0" w:line="238" w:lineRule="auto"/>
        <w:rPr>
          <w:sz w:val="20"/>
          <w:szCs w:val="20"/>
          <w:color w:val="auto"/>
        </w:rPr>
      </w:pPr>
      <w:r>
        <w:rPr>
          <w:rFonts w:ascii="Courier New" w:cs="Courier New" w:eastAsia="Courier New" w:hAnsi="Courier New"/>
          <w:sz w:val="18"/>
          <w:szCs w:val="18"/>
          <w:color w:val="auto"/>
        </w:rPr>
        <w:t>INCOME TAX</w:t>
      </w:r>
    </w:p>
    <w:p>
      <w:pPr>
        <w:spacing w:after="0"/>
        <w:rPr>
          <w:sz w:val="20"/>
          <w:szCs w:val="20"/>
          <w:color w:val="auto"/>
        </w:rPr>
      </w:pPr>
      <w:r>
        <w:rPr>
          <w:rFonts w:ascii="Courier New" w:cs="Courier New" w:eastAsia="Courier New" w:hAnsi="Courier New"/>
          <w:sz w:val="18"/>
          <w:szCs w:val="18"/>
          <w:color w:val="auto"/>
        </w:rPr>
        <w:t>CONSIDERATIONS........... The exchange of notes should not be a taxable event</w:t>
      </w:r>
    </w:p>
    <w:p>
      <w:pPr>
        <w:spacing w:after="0" w:line="3" w:lineRule="exact"/>
        <w:rPr>
          <w:sz w:val="20"/>
          <w:szCs w:val="20"/>
          <w:color w:val="auto"/>
        </w:rPr>
      </w:pPr>
    </w:p>
    <w:p>
      <w:pPr>
        <w:ind w:left="2740" w:right="1779"/>
        <w:spacing w:after="0" w:line="237" w:lineRule="auto"/>
        <w:rPr>
          <w:sz w:val="20"/>
          <w:szCs w:val="20"/>
          <w:color w:val="auto"/>
        </w:rPr>
      </w:pPr>
      <w:r>
        <w:rPr>
          <w:rFonts w:ascii="Courier New" w:cs="Courier New" w:eastAsia="Courier New" w:hAnsi="Courier New"/>
          <w:sz w:val="18"/>
          <w:szCs w:val="18"/>
          <w:color w:val="auto"/>
        </w:rPr>
        <w:t>for U.S. federal income tax purposes. For a discussion of the material federal income tax consequences relating to the exchange of notes, see the section entitled "Material U.S. federal income tax considerations."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AGENT........... State Street Bank and Trust Company, the trustee under</w:t>
      </w:r>
    </w:p>
    <w:p>
      <w:pPr>
        <w:spacing w:after="0" w:line="21" w:lineRule="exact"/>
        <w:rPr>
          <w:sz w:val="20"/>
          <w:szCs w:val="20"/>
          <w:color w:val="auto"/>
        </w:rPr>
      </w:pPr>
    </w:p>
    <w:p>
      <w:pPr>
        <w:ind w:left="2740" w:right="1999"/>
        <w:spacing w:after="0" w:line="235" w:lineRule="auto"/>
        <w:rPr>
          <w:sz w:val="20"/>
          <w:szCs w:val="20"/>
          <w:color w:val="auto"/>
        </w:rPr>
      </w:pPr>
      <w:r>
        <w:rPr>
          <w:rFonts w:ascii="Courier New" w:cs="Courier New" w:eastAsia="Courier New" w:hAnsi="Courier New"/>
          <w:sz w:val="18"/>
          <w:szCs w:val="18"/>
          <w:color w:val="auto"/>
        </w:rPr>
        <w:t>the indenture governing the notes, is serving as the exchange agent.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CONSEQUENCES OF FAILURE</w:t>
      </w:r>
    </w:p>
    <w:p>
      <w:pPr>
        <w:spacing w:after="0" w:line="238" w:lineRule="auto"/>
        <w:rPr>
          <w:sz w:val="20"/>
          <w:szCs w:val="20"/>
          <w:color w:val="auto"/>
        </w:rPr>
      </w:pPr>
      <w:r>
        <w:rPr>
          <w:rFonts w:ascii="Courier New" w:cs="Courier New" w:eastAsia="Courier New" w:hAnsi="Courier New"/>
          <w:sz w:val="18"/>
          <w:szCs w:val="18"/>
          <w:color w:val="auto"/>
        </w:rPr>
        <w:t>TO EXCHANGE ORIGINAL</w:t>
      </w:r>
    </w:p>
    <w:p>
      <w:pPr>
        <w:spacing w:after="0"/>
        <w:rPr>
          <w:sz w:val="20"/>
          <w:szCs w:val="20"/>
          <w:color w:val="auto"/>
        </w:rPr>
      </w:pPr>
      <w:r>
        <w:rPr>
          <w:rFonts w:ascii="Courier New" w:cs="Courier New" w:eastAsia="Courier New" w:hAnsi="Courier New"/>
          <w:sz w:val="18"/>
          <w:szCs w:val="18"/>
          <w:color w:val="auto"/>
        </w:rPr>
        <w:t>NOTES.................... If you do not exchange your original notes for</w:t>
      </w:r>
    </w:p>
    <w:p>
      <w:pPr>
        <w:spacing w:after="0" w:line="3" w:lineRule="exact"/>
        <w:rPr>
          <w:sz w:val="20"/>
          <w:szCs w:val="20"/>
          <w:color w:val="auto"/>
        </w:rPr>
      </w:pPr>
    </w:p>
    <w:p>
      <w:pPr>
        <w:ind w:left="2740" w:right="1779"/>
        <w:spacing w:after="0" w:line="238" w:lineRule="auto"/>
        <w:rPr>
          <w:sz w:val="20"/>
          <w:szCs w:val="20"/>
          <w:color w:val="auto"/>
        </w:rPr>
      </w:pPr>
      <w:r>
        <w:rPr>
          <w:rFonts w:ascii="Courier New" w:cs="Courier New" w:eastAsia="Courier New" w:hAnsi="Courier New"/>
          <w:sz w:val="18"/>
          <w:szCs w:val="18"/>
          <w:color w:val="auto"/>
        </w:rPr>
        <w:t>exchange notes, you will continue to be subject to the restrictions on transfer provided in the original notes and in the indenture governing the original notes. In general, the original notes may not be offered or sold, unless registered under the Securities Act, except pursuant to an exemption from, or in a transaction not subject to, the Securities Act and applicable state securities laws. We do not currently plan to register the original notes under the Securities Act. See "Risk factors -- If you do not exchange your original notes pursuant to this exchange offer, you may never be able to sell your original notes."</w:t>
      </w: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REGISTRATION RIGHTS</w:t>
      </w:r>
    </w:p>
    <w:p>
      <w:pPr>
        <w:spacing w:after="0" w:line="238" w:lineRule="auto"/>
        <w:rPr>
          <w:sz w:val="20"/>
          <w:szCs w:val="20"/>
          <w:color w:val="auto"/>
        </w:rPr>
      </w:pPr>
      <w:r>
        <w:rPr>
          <w:rFonts w:ascii="Courier New" w:cs="Courier New" w:eastAsia="Courier New" w:hAnsi="Courier New"/>
          <w:sz w:val="18"/>
          <w:szCs w:val="18"/>
          <w:color w:val="auto"/>
        </w:rPr>
        <w:t>AGREEMENT................ If you are a holder of original notes, you are</w:t>
      </w:r>
    </w:p>
    <w:p>
      <w:pPr>
        <w:spacing w:after="0" w:line="5" w:lineRule="exact"/>
        <w:rPr>
          <w:sz w:val="20"/>
          <w:szCs w:val="20"/>
          <w:color w:val="auto"/>
        </w:rPr>
      </w:pPr>
    </w:p>
    <w:p>
      <w:pPr>
        <w:ind w:left="2740" w:right="1779"/>
        <w:spacing w:after="0" w:line="237" w:lineRule="auto"/>
        <w:rPr>
          <w:sz w:val="20"/>
          <w:szCs w:val="20"/>
          <w:color w:val="auto"/>
        </w:rPr>
      </w:pPr>
      <w:r>
        <w:rPr>
          <w:rFonts w:ascii="Courier New" w:cs="Courier New" w:eastAsia="Courier New" w:hAnsi="Courier New"/>
          <w:sz w:val="18"/>
          <w:szCs w:val="18"/>
          <w:color w:val="auto"/>
        </w:rPr>
        <w:t>entitled to exchange your original notes for exchange notes with substantially identical terms. The exchange offer satisfies this right. After the exchange offer is completed, you will no longer be entitled to any exchange or registration rights with respect to your original notes.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EXPLAIN THE EXCHANGE OFFER IN GREATER DETAIL BEGINNING ON PAGE 21.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EXCHANGE NOTES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form and terms of the exchange notes are the same as the form and terms of the original notes, except that the exchange notes will be registered under the Securities Act and, therefore, will not be subject to the transfer restrictions, registration rights and provisions for an increase in interest rate applicable to the original notes. The exchange notes will evidence the same debt as the original notes. The indenture governing the exchange notes is the same indenture that governs our the exchange notes, and both series of notes will be entitled to the benefits of the indenture and treated as a single class of debt securities. The indenture also governs $330 million in principal amount of our 8.625% Series B senior subordinated notes due 2009 which are currently outstanding, which are identical to the exchange notes and which rank on a parity with the original notes and will rank on a parity with the exchange notes.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w w:val="99"/>
              </w:rPr>
              <w:t>ISSUER...................</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The</w:t>
            </w:r>
          </w:p>
        </w:tc>
        <w:tc>
          <w:tcPr>
            <w:tcW w:w="49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Scotts Company</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w w:val="99"/>
              </w:rPr>
              <w:t>SECURITIES...............</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$70</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million</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w w:val="96"/>
              </w:rPr>
              <w:t>in principal amount of 8.625% Series B</w:t>
            </w:r>
          </w:p>
        </w:tc>
      </w:tr>
      <w:tr>
        <w:trPr>
          <w:trHeight w:val="203"/>
        </w:trPr>
        <w:tc>
          <w:tcPr>
            <w:tcW w:w="2700" w:type="dxa"/>
            <w:vAlign w:val="bottom"/>
          </w:tcPr>
          <w:p>
            <w:pPr>
              <w:spacing w:after="0"/>
              <w:rPr>
                <w:sz w:val="17"/>
                <w:szCs w:val="17"/>
                <w:color w:val="auto"/>
              </w:rPr>
            </w:pPr>
          </w:p>
        </w:tc>
        <w:tc>
          <w:tcPr>
            <w:tcW w:w="5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senior subordinated notes due 2009.</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w w:val="99"/>
              </w:rPr>
              <w:t>MATURITY.................</w:t>
            </w:r>
          </w:p>
        </w:tc>
        <w:tc>
          <w:tcPr>
            <w:tcW w:w="1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January 15,</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rPr>
              <w:t>2009.</w:t>
            </w:r>
          </w:p>
        </w:tc>
      </w:tr>
    </w:tbl>
    <w:p>
      <w:pPr>
        <w:spacing w:after="0" w:line="207" w:lineRule="exact"/>
        <w:rPr>
          <w:sz w:val="20"/>
          <w:szCs w:val="20"/>
          <w:color w:val="auto"/>
        </w:rPr>
      </w:pPr>
    </w:p>
    <w:p>
      <w:pPr>
        <w:ind w:left="2740" w:right="2519" w:hanging="2738"/>
        <w:spacing w:after="0" w:line="235" w:lineRule="auto"/>
        <w:rPr>
          <w:sz w:val="20"/>
          <w:szCs w:val="20"/>
          <w:color w:val="auto"/>
        </w:rPr>
      </w:pPr>
      <w:r>
        <w:rPr>
          <w:rFonts w:ascii="Courier New" w:cs="Courier New" w:eastAsia="Courier New" w:hAnsi="Courier New"/>
          <w:sz w:val="18"/>
          <w:szCs w:val="18"/>
          <w:color w:val="auto"/>
        </w:rPr>
        <w:t>INTEREST PAYMENT DATES... January 15 and July 15 of each year, commencing January 15, 2003.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 GUARANTORS.... Each subsidiary guarantor is a wholly-owned domestic</w:t>
      </w:r>
    </w:p>
    <w:p>
      <w:pPr>
        <w:spacing w:after="0" w:line="4" w:lineRule="exact"/>
        <w:rPr>
          <w:sz w:val="20"/>
          <w:szCs w:val="20"/>
          <w:color w:val="auto"/>
        </w:rPr>
      </w:pPr>
    </w:p>
    <w:p>
      <w:pPr>
        <w:ind w:left="2740" w:right="1779"/>
        <w:spacing w:after="0" w:line="237" w:lineRule="auto"/>
        <w:rPr>
          <w:sz w:val="20"/>
          <w:szCs w:val="20"/>
          <w:color w:val="auto"/>
        </w:rPr>
      </w:pPr>
      <w:r>
        <w:rPr>
          <w:rFonts w:ascii="Courier New" w:cs="Courier New" w:eastAsia="Courier New" w:hAnsi="Courier New"/>
          <w:sz w:val="18"/>
          <w:szCs w:val="18"/>
          <w:color w:val="auto"/>
        </w:rPr>
        <w:t>subsidiary of Scotts. In the future, our non-wholly owned, restricted domestic subsidiaries that are significant subsidiaries and that guarantee other indebtedness will be required to guarantee the notes. Our foreign subsidiaries are not subsidiary guarantors of the notes. If we cannot make payments on the notes when they are due, the subsidiary guarantors must make them instead.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RANKING.................. The notes and the subsidiary guarantees are senior</w:t>
      </w:r>
    </w:p>
    <w:p>
      <w:pPr>
        <w:spacing w:after="0" w:line="4" w:lineRule="exact"/>
        <w:rPr>
          <w:sz w:val="20"/>
          <w:szCs w:val="20"/>
          <w:color w:val="auto"/>
        </w:rPr>
      </w:pPr>
    </w:p>
    <w:p>
      <w:pPr>
        <w:ind w:left="2740" w:right="1879"/>
        <w:spacing w:after="0" w:line="273" w:lineRule="auto"/>
        <w:rPr>
          <w:sz w:val="20"/>
          <w:szCs w:val="20"/>
          <w:color w:val="auto"/>
        </w:rPr>
      </w:pPr>
      <w:r>
        <w:rPr>
          <w:rFonts w:ascii="Courier New" w:cs="Courier New" w:eastAsia="Courier New" w:hAnsi="Courier New"/>
          <w:sz w:val="16"/>
          <w:szCs w:val="16"/>
          <w:color w:val="auto"/>
        </w:rPr>
        <w:t>subordinated obligations. They rank behind all of our and our subsidiary guarantors' current and future indebtedness (other than trade payables), except indebtedness that expressly provides that it is not senior to the notes and the subsidiary guarantees.</w:t>
      </w:r>
    </w:p>
    <w:p>
      <w:pPr>
        <w:spacing w:after="0" w:line="185" w:lineRule="exact"/>
        <w:rPr>
          <w:sz w:val="20"/>
          <w:szCs w:val="20"/>
          <w:color w:val="auto"/>
        </w:rPr>
      </w:pPr>
    </w:p>
    <w:p>
      <w:pPr>
        <w:ind w:left="2740" w:right="1779"/>
        <w:spacing w:after="0" w:line="237" w:lineRule="auto"/>
        <w:rPr>
          <w:sz w:val="20"/>
          <w:szCs w:val="20"/>
          <w:color w:val="auto"/>
        </w:rPr>
      </w:pPr>
      <w:r>
        <w:rPr>
          <w:rFonts w:ascii="Courier New" w:cs="Courier New" w:eastAsia="Courier New" w:hAnsi="Courier New"/>
          <w:sz w:val="18"/>
          <w:szCs w:val="18"/>
          <w:color w:val="auto"/>
        </w:rPr>
        <w:t>Assuming the offering of the original notes had been completed on March 30, 2002, and the proceeds had been applied as intended, the notes and the subsidiary guarantees would have been subordinated to $593.0 million of senior debt.</w:t>
      </w: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12" w:name="page13"/>
    <w:bookmarkEnd w:id="12"/>
    <w:p>
      <w:pPr>
        <w:ind w:left="2740" w:right="1779"/>
        <w:spacing w:after="0" w:line="237" w:lineRule="auto"/>
        <w:rPr>
          <w:sz w:val="20"/>
          <w:szCs w:val="20"/>
          <w:color w:val="auto"/>
        </w:rPr>
      </w:pPr>
      <w:r>
        <w:rPr>
          <w:rFonts w:ascii="Courier New" w:cs="Courier New" w:eastAsia="Courier New" w:hAnsi="Courier New"/>
          <w:sz w:val="18"/>
          <w:szCs w:val="18"/>
          <w:color w:val="auto"/>
        </w:rPr>
        <w:t>In addition, the subsidiary guarantees would have been structurally subordinated to $207.5 million of current operating liabilities of the non-guarantor subsidiaries as of March 30, 2002.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 On or after January 15, 2004, we may redeem some or</w:t>
      </w:r>
    </w:p>
    <w:p>
      <w:pPr>
        <w:spacing w:after="0" w:line="4" w:lineRule="exact"/>
        <w:rPr>
          <w:sz w:val="20"/>
          <w:szCs w:val="20"/>
          <w:color w:val="auto"/>
        </w:rPr>
      </w:pPr>
    </w:p>
    <w:p>
      <w:pPr>
        <w:ind w:left="2740" w:right="1779"/>
        <w:spacing w:after="0" w:line="236" w:lineRule="auto"/>
        <w:rPr>
          <w:sz w:val="20"/>
          <w:szCs w:val="20"/>
          <w:color w:val="auto"/>
        </w:rPr>
      </w:pPr>
      <w:r>
        <w:rPr>
          <w:rFonts w:ascii="Courier New" w:cs="Courier New" w:eastAsia="Courier New" w:hAnsi="Courier New"/>
          <w:sz w:val="18"/>
          <w:szCs w:val="18"/>
          <w:color w:val="auto"/>
        </w:rPr>
        <w:t>all of the notes at any time at the redemption prices listed in the "Description of notes" section under the heading "Optional redemption."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MANDATORY OFFER TO</w:t>
      </w:r>
    </w:p>
    <w:p>
      <w:pPr>
        <w:spacing w:after="0" w:line="238" w:lineRule="auto"/>
        <w:rPr>
          <w:sz w:val="20"/>
          <w:szCs w:val="20"/>
          <w:color w:val="auto"/>
        </w:rPr>
      </w:pPr>
      <w:r>
        <w:rPr>
          <w:rFonts w:ascii="Courier New" w:cs="Courier New" w:eastAsia="Courier New" w:hAnsi="Courier New"/>
          <w:sz w:val="18"/>
          <w:szCs w:val="18"/>
          <w:color w:val="auto"/>
        </w:rPr>
        <w:t>REPURCHASE............... If we sell certain assets or experience specified</w:t>
      </w:r>
    </w:p>
    <w:p>
      <w:pPr>
        <w:ind w:left="2740"/>
        <w:spacing w:after="0"/>
        <w:rPr>
          <w:sz w:val="20"/>
          <w:szCs w:val="20"/>
          <w:color w:val="auto"/>
        </w:rPr>
      </w:pPr>
      <w:r>
        <w:rPr>
          <w:rFonts w:ascii="Courier New" w:cs="Courier New" w:eastAsia="Courier New" w:hAnsi="Courier New"/>
          <w:sz w:val="18"/>
          <w:szCs w:val="18"/>
          <w:color w:val="auto"/>
        </w:rPr>
        <w:t>kinds of changes of control, we must offer to</w:t>
      </w:r>
    </w:p>
    <w:p>
      <w:pPr>
        <w:ind w:left="2740"/>
        <w:spacing w:after="0" w:line="237" w:lineRule="auto"/>
        <w:rPr>
          <w:sz w:val="20"/>
          <w:szCs w:val="20"/>
          <w:color w:val="auto"/>
        </w:rPr>
      </w:pPr>
      <w:r>
        <w:rPr>
          <w:rFonts w:ascii="Courier New" w:cs="Courier New" w:eastAsia="Courier New" w:hAnsi="Courier New"/>
          <w:sz w:val="18"/>
          <w:szCs w:val="18"/>
          <w:color w:val="auto"/>
        </w:rPr>
        <w:t>repurchase the notes at the prices listed in the</w:t>
      </w:r>
    </w:p>
    <w:p>
      <w:pPr>
        <w:ind w:left="2740"/>
        <w:spacing w:after="0" w:line="238" w:lineRule="auto"/>
        <w:rPr>
          <w:sz w:val="20"/>
          <w:szCs w:val="20"/>
          <w:color w:val="auto"/>
        </w:rPr>
      </w:pPr>
      <w:r>
        <w:rPr>
          <w:rFonts w:ascii="Courier New" w:cs="Courier New" w:eastAsia="Courier New" w:hAnsi="Courier New"/>
          <w:sz w:val="18"/>
          <w:szCs w:val="18"/>
          <w:color w:val="auto"/>
        </w:rPr>
        <w:t>"Description of notes" section under the heading</w:t>
      </w:r>
    </w:p>
    <w:p>
      <w:pPr>
        <w:ind w:left="2740"/>
        <w:spacing w:after="0"/>
        <w:rPr>
          <w:sz w:val="20"/>
          <w:szCs w:val="20"/>
          <w:color w:val="auto"/>
        </w:rPr>
      </w:pPr>
      <w:r>
        <w:rPr>
          <w:rFonts w:ascii="Courier New" w:cs="Courier New" w:eastAsia="Courier New" w:hAnsi="Courier New"/>
          <w:sz w:val="18"/>
          <w:szCs w:val="18"/>
          <w:color w:val="auto"/>
        </w:rPr>
        <w:t>"Repurchase at the option of holders."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BASIC COVENANTS.......... The indenture governing the exchange notes contains</w:t>
      </w:r>
    </w:p>
    <w:p>
      <w:pPr>
        <w:spacing w:after="0" w:line="4" w:lineRule="exact"/>
        <w:rPr>
          <w:sz w:val="20"/>
          <w:szCs w:val="20"/>
          <w:color w:val="auto"/>
        </w:rPr>
      </w:pPr>
    </w:p>
    <w:p>
      <w:pPr>
        <w:ind w:left="2740" w:right="1779"/>
        <w:spacing w:after="0" w:line="235" w:lineRule="auto"/>
        <w:rPr>
          <w:sz w:val="20"/>
          <w:szCs w:val="20"/>
          <w:color w:val="auto"/>
        </w:rPr>
      </w:pPr>
      <w:r>
        <w:rPr>
          <w:rFonts w:ascii="Courier New" w:cs="Courier New" w:eastAsia="Courier New" w:hAnsi="Courier New"/>
          <w:sz w:val="18"/>
          <w:szCs w:val="18"/>
          <w:color w:val="auto"/>
        </w:rPr>
        <w:t>covenants that restrict our ability and the ability of our subsidiaries to:</w:t>
      </w:r>
    </w:p>
    <w:p>
      <w:pPr>
        <w:spacing w:after="0" w:line="203" w:lineRule="exact"/>
        <w:rPr>
          <w:sz w:val="20"/>
          <w:szCs w:val="20"/>
          <w:color w:val="auto"/>
        </w:rPr>
      </w:pPr>
    </w:p>
    <w:p>
      <w:pPr>
        <w:ind w:left="2960" w:hanging="213"/>
        <w:spacing w:after="0"/>
        <w:tabs>
          <w:tab w:leader="none" w:pos="2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 money;</w:t>
      </w:r>
    </w:p>
    <w:p>
      <w:pPr>
        <w:spacing w:after="0" w:line="201" w:lineRule="exact"/>
        <w:rPr>
          <w:rFonts w:ascii="Courier New" w:cs="Courier New" w:eastAsia="Courier New" w:hAnsi="Courier New"/>
          <w:sz w:val="18"/>
          <w:szCs w:val="18"/>
          <w:color w:val="auto"/>
        </w:rPr>
      </w:pPr>
    </w:p>
    <w:p>
      <w:pPr>
        <w:ind w:left="2960" w:hanging="213"/>
        <w:spacing w:after="0"/>
        <w:tabs>
          <w:tab w:leader="none" w:pos="2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dividends on stock or purchase stock;</w:t>
      </w:r>
    </w:p>
    <w:p>
      <w:pPr>
        <w:spacing w:after="0" w:line="201" w:lineRule="exact"/>
        <w:rPr>
          <w:rFonts w:ascii="Courier New" w:cs="Courier New" w:eastAsia="Courier New" w:hAnsi="Courier New"/>
          <w:sz w:val="18"/>
          <w:szCs w:val="18"/>
          <w:color w:val="auto"/>
        </w:rPr>
      </w:pPr>
    </w:p>
    <w:p>
      <w:pPr>
        <w:ind w:left="2960" w:hanging="213"/>
        <w:spacing w:after="0"/>
        <w:tabs>
          <w:tab w:leader="none" w:pos="2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investments;</w:t>
      </w:r>
    </w:p>
    <w:p>
      <w:pPr>
        <w:spacing w:after="0" w:line="201" w:lineRule="exact"/>
        <w:rPr>
          <w:rFonts w:ascii="Courier New" w:cs="Courier New" w:eastAsia="Courier New" w:hAnsi="Courier New"/>
          <w:sz w:val="18"/>
          <w:szCs w:val="18"/>
          <w:color w:val="auto"/>
        </w:rPr>
      </w:pPr>
    </w:p>
    <w:p>
      <w:pPr>
        <w:ind w:left="2960" w:hanging="213"/>
        <w:spacing w:after="0"/>
        <w:tabs>
          <w:tab w:leader="none" w:pos="2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assets as security in other transactions; and</w:t>
      </w:r>
    </w:p>
    <w:p>
      <w:pPr>
        <w:spacing w:after="0" w:line="206" w:lineRule="exact"/>
        <w:rPr>
          <w:rFonts w:ascii="Courier New" w:cs="Courier New" w:eastAsia="Courier New" w:hAnsi="Courier New"/>
          <w:sz w:val="18"/>
          <w:szCs w:val="18"/>
          <w:color w:val="auto"/>
        </w:rPr>
      </w:pPr>
    </w:p>
    <w:p>
      <w:pPr>
        <w:ind w:left="2960" w:right="2319" w:hanging="213"/>
        <w:spacing w:after="0" w:line="235" w:lineRule="auto"/>
        <w:tabs>
          <w:tab w:leader="none" w:pos="2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certain assets or merge with or into other companies.</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For more details, see the "Description of notes"</w:t>
      </w:r>
    </w:p>
    <w:p>
      <w:pPr>
        <w:ind w:left="2740"/>
        <w:spacing w:after="0" w:line="238" w:lineRule="auto"/>
        <w:rPr>
          <w:sz w:val="20"/>
          <w:szCs w:val="20"/>
          <w:color w:val="auto"/>
        </w:rPr>
      </w:pPr>
      <w:r>
        <w:rPr>
          <w:rFonts w:ascii="Courier New" w:cs="Courier New" w:eastAsia="Courier New" w:hAnsi="Courier New"/>
          <w:sz w:val="18"/>
          <w:szCs w:val="18"/>
          <w:color w:val="auto"/>
        </w:rPr>
        <w:t>section under the heading "Certain covenants."</w:t>
      </w:r>
    </w:p>
    <w:p>
      <w:pPr>
        <w:spacing w:after="0" w:line="207" w:lineRule="exact"/>
        <w:rPr>
          <w:sz w:val="20"/>
          <w:szCs w:val="20"/>
          <w:color w:val="auto"/>
        </w:rPr>
      </w:pPr>
    </w:p>
    <w:p>
      <w:pPr>
        <w:ind w:left="2740" w:right="1879" w:hanging="2738"/>
        <w:spacing w:after="0" w:line="270" w:lineRule="auto"/>
        <w:rPr>
          <w:sz w:val="20"/>
          <w:szCs w:val="20"/>
          <w:color w:val="auto"/>
        </w:rPr>
      </w:pPr>
      <w:r>
        <w:rPr>
          <w:rFonts w:ascii="Courier New" w:cs="Courier New" w:eastAsia="Courier New" w:hAnsi="Courier New"/>
          <w:sz w:val="16"/>
          <w:szCs w:val="16"/>
          <w:color w:val="auto"/>
        </w:rPr>
        <w:t>FORM OF EXCHANGE NOTES... The exchange notes will be represented by one or more permanent global certificates, in fully registered form, deposited with a custodian for, and registered in the name of a nominee of, The Depository Trust Company, as depositary. You will not receive exchange notes in certificated form unless one of the events described in the section entitled "Book-entry, settlement and clearance" occurs. Instead, beneficial interests in the exchange notes will be shown on, and transfers of these notes will be effected only through, records maintained in book-entry form by The Depository Trust Company and its participants.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 We will not receive any cash proceeds in the exchange</w:t>
      </w:r>
    </w:p>
    <w:p>
      <w:pPr>
        <w:spacing w:after="0" w:line="1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offer.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FACTORS............. In evaluating an investment in the notes, you should</w:t>
      </w:r>
    </w:p>
    <w:p>
      <w:pPr>
        <w:spacing w:after="0" w:line="4" w:lineRule="exact"/>
        <w:rPr>
          <w:sz w:val="20"/>
          <w:szCs w:val="20"/>
          <w:color w:val="auto"/>
        </w:rPr>
      </w:pPr>
    </w:p>
    <w:p>
      <w:pPr>
        <w:ind w:left="2740" w:right="1879"/>
        <w:spacing w:after="0" w:line="237" w:lineRule="auto"/>
        <w:rPr>
          <w:sz w:val="20"/>
          <w:szCs w:val="20"/>
          <w:color w:val="auto"/>
        </w:rPr>
      </w:pPr>
      <w:r>
        <w:rPr>
          <w:rFonts w:ascii="Courier New" w:cs="Courier New" w:eastAsia="Courier New" w:hAnsi="Courier New"/>
          <w:sz w:val="18"/>
          <w:szCs w:val="18"/>
          <w:color w:val="auto"/>
        </w:rPr>
        <w:t>carefully consider, along with the other information set forth in, or incorporated by reference into, this prospectus, specific factors set forth under the section entitled "Risk factors" for risks involved with an investment in the notes.</w:t>
      </w: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3" w:name="page14"/>
    <w:bookmarkEnd w:id="13"/>
    <w:p>
      <w:pPr>
        <w:jc w:val="center"/>
        <w:ind w:right="1879"/>
        <w:spacing w:after="0"/>
        <w:rPr>
          <w:sz w:val="20"/>
          <w:szCs w:val="20"/>
          <w:color w:val="auto"/>
        </w:rPr>
      </w:pPr>
      <w:r>
        <w:rPr>
          <w:rFonts w:ascii="Courier New" w:cs="Courier New" w:eastAsia="Courier New" w:hAnsi="Courier New"/>
          <w:sz w:val="18"/>
          <w:szCs w:val="18"/>
          <w:color w:val="auto"/>
        </w:rPr>
        <w:t>SUMMARY CONSOLIDATED FINANCIAL DATA</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following summary consolidated operating and balance sheet data for, and as of the end of, each of the fiscal years in the three year period ended September 30, 2001, have been derived from our audited consolidated financial statements, and for, and as of the end of, each of the six month periods ended March 31, 2001 and March 30, 2002, have been derived from our unaudited consolidated financial statements. The following other financial data have been derived from our audited and unaudited consolidated financial statements and accounting records for the respective periods. You should read the following information in conjunction with "Management's discussion and analysis of financial condition and results of operations," "Selected consolidated financial data" and our consolidated financial statements and related notes, which are included in, or incorporated by reference into, this prospectus.</w:t>
      </w:r>
    </w:p>
    <w:p>
      <w:pPr>
        <w:spacing w:after="0" w:line="385" w:lineRule="exact"/>
        <w:rPr>
          <w:sz w:val="20"/>
          <w:szCs w:val="20"/>
          <w:color w:val="auto"/>
        </w:rPr>
      </w:pPr>
    </w:p>
    <w:p>
      <w:pPr>
        <w:ind w:left="280" w:hanging="220"/>
        <w:spacing w:after="0"/>
        <w:tabs>
          <w:tab w:leader="none" w:pos="2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 SIX</w:t>
      </w:r>
    </w:p>
    <w:p>
      <w:pPr>
        <w:ind w:left="60"/>
        <w:spacing w:after="0" w:line="237" w:lineRule="auto"/>
        <w:rPr>
          <w:sz w:val="20"/>
          <w:szCs w:val="20"/>
          <w:color w:val="auto"/>
        </w:rPr>
      </w:pPr>
      <w:r>
        <w:rPr>
          <w:rFonts w:ascii="Courier New" w:cs="Courier New" w:eastAsia="Courier New" w:hAnsi="Courier New"/>
          <w:sz w:val="18"/>
          <w:szCs w:val="18"/>
          <w:color w:val="auto"/>
        </w:rPr>
        <w:t>MONTHS ENDED, YEAR ENDED SEPTEMBER</w:t>
      </w:r>
    </w:p>
    <w:p>
      <w:pPr>
        <w:ind w:left="60"/>
        <w:spacing w:after="0" w:line="238" w:lineRule="auto"/>
        <w:rPr>
          <w:sz w:val="20"/>
          <w:szCs w:val="20"/>
          <w:color w:val="auto"/>
        </w:rPr>
      </w:pPr>
      <w:r>
        <w:rPr>
          <w:rFonts w:ascii="Courier New" w:cs="Courier New" w:eastAsia="Courier New" w:hAnsi="Courier New"/>
          <w:sz w:val="18"/>
          <w:szCs w:val="18"/>
          <w:color w:val="auto"/>
        </w:rPr>
        <w:t>30, ------------------------- ----</w:t>
      </w:r>
    </w:p>
    <w:p>
      <w:pPr>
        <w:ind w:left="160"/>
        <w:spacing w:after="0"/>
        <w:rPr>
          <w:sz w:val="20"/>
          <w:szCs w:val="20"/>
          <w:color w:val="auto"/>
        </w:rPr>
      </w:pPr>
      <w:r>
        <w:rPr>
          <w:rFonts w:ascii="Courier New" w:cs="Courier New" w:eastAsia="Courier New" w:hAnsi="Courier New"/>
          <w:sz w:val="18"/>
          <w:szCs w:val="18"/>
          <w:color w:val="auto"/>
        </w:rPr>
        <w:t>-------------------------- MARCH</w:t>
      </w:r>
    </w:p>
    <w:p>
      <w:pPr>
        <w:ind w:left="120"/>
        <w:spacing w:after="0" w:line="237" w:lineRule="auto"/>
        <w:rPr>
          <w:sz w:val="20"/>
          <w:szCs w:val="20"/>
          <w:color w:val="auto"/>
        </w:rPr>
      </w:pPr>
      <w:r>
        <w:rPr>
          <w:rFonts w:ascii="Courier New" w:cs="Courier New" w:eastAsia="Courier New" w:hAnsi="Courier New"/>
          <w:sz w:val="18"/>
          <w:szCs w:val="18"/>
          <w:color w:val="auto"/>
        </w:rPr>
        <w:t>31, MARCH 30, 1999 2000 2001 2001</w:t>
      </w:r>
    </w:p>
    <w:p>
      <w:pPr>
        <w:ind w:left="60"/>
        <w:spacing w:after="0"/>
        <w:rPr>
          <w:sz w:val="20"/>
          <w:szCs w:val="20"/>
          <w:color w:val="auto"/>
        </w:rPr>
      </w:pPr>
      <w:r>
        <w:rPr>
          <w:rFonts w:ascii="Courier New" w:cs="Courier New" w:eastAsia="Courier New" w:hAnsi="Courier New"/>
          <w:sz w:val="18"/>
          <w:szCs w:val="18"/>
          <w:color w:val="auto"/>
        </w:rPr>
        <w:t>2002 -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jc w:val="center"/>
        <w:ind w:right="6519"/>
        <w:spacing w:after="0" w:line="237" w:lineRule="auto"/>
        <w:rPr>
          <w:sz w:val="20"/>
          <w:szCs w:val="20"/>
          <w:color w:val="auto"/>
        </w:rPr>
      </w:pPr>
      <w:r>
        <w:rPr>
          <w:rFonts w:ascii="Courier New" w:cs="Courier New" w:eastAsia="Courier New" w:hAnsi="Courier New"/>
          <w:sz w:val="18"/>
          <w:szCs w:val="18"/>
          <w:color w:val="auto"/>
        </w:rPr>
        <w:t>(UNAUDITED) (UNAUDITED) OPERATING</w:t>
      </w:r>
    </w:p>
    <w:p>
      <w:pPr>
        <w:jc w:val="center"/>
        <w:ind w:right="6519"/>
        <w:spacing w:after="0" w:line="238" w:lineRule="auto"/>
        <w:rPr>
          <w:sz w:val="20"/>
          <w:szCs w:val="20"/>
          <w:color w:val="auto"/>
        </w:rPr>
      </w:pPr>
      <w:r>
        <w:rPr>
          <w:rFonts w:ascii="Courier New" w:cs="Courier New" w:eastAsia="Courier New" w:hAnsi="Courier New"/>
          <w:sz w:val="18"/>
          <w:szCs w:val="18"/>
          <w:color w:val="auto"/>
        </w:rPr>
        <w:t>DATA: Net</w:t>
      </w:r>
    </w:p>
    <w:p>
      <w:pPr>
        <w:ind w:left="220"/>
        <w:spacing w:after="0"/>
        <w:rPr>
          <w:sz w:val="20"/>
          <w:szCs w:val="20"/>
          <w:color w:val="auto"/>
        </w:rPr>
      </w:pPr>
      <w:r>
        <w:rPr>
          <w:rFonts w:ascii="Courier New" w:cs="Courier New" w:eastAsia="Courier New" w:hAnsi="Courier New"/>
          <w:sz w:val="18"/>
          <w:szCs w:val="18"/>
          <w:color w:val="auto"/>
        </w:rPr>
        <w:t>sales(1).......................</w:t>
      </w:r>
    </w:p>
    <w:p>
      <w:pPr>
        <w:ind w:left="60"/>
        <w:spacing w:after="0" w:line="237" w:lineRule="auto"/>
        <w:rPr>
          <w:sz w:val="20"/>
          <w:szCs w:val="20"/>
          <w:color w:val="auto"/>
        </w:rPr>
      </w:pPr>
      <w:r>
        <w:rPr>
          <w:rFonts w:ascii="Courier New" w:cs="Courier New" w:eastAsia="Courier New" w:hAnsi="Courier New"/>
          <w:sz w:val="18"/>
          <w:szCs w:val="18"/>
          <w:color w:val="auto"/>
        </w:rPr>
        <w:t>$1,576.6 $1,665.2 $1,696.6 $ 860.5</w:t>
      </w:r>
    </w:p>
    <w:p>
      <w:pPr>
        <w:spacing w:after="0" w:line="5" w:lineRule="exact"/>
        <w:rPr>
          <w:sz w:val="20"/>
          <w:szCs w:val="20"/>
          <w:color w:val="auto"/>
        </w:rPr>
      </w:pPr>
    </w:p>
    <w:p>
      <w:pPr>
        <w:ind w:left="320" w:right="6839" w:firstLine="847"/>
        <w:spacing w:after="0" w:line="268" w:lineRule="auto"/>
        <w:tabs>
          <w:tab w:leader="none" w:pos="137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765.1 Gross profit(1)....................</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589.3 612.8 597.2(2) 323.2</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270.9(2) Roundup(R) marketing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agreement(3): Gross</w:t>
      </w:r>
    </w:p>
    <w:tbl>
      <w:tblPr>
        <w:tblLayout w:type="fixed"/>
        <w:tblInd w:w="60" w:type="dxa"/>
        <w:tblCellMar>
          <w:top w:w="0" w:type="dxa"/>
          <w:left w:w="0" w:type="dxa"/>
          <w:bottom w:w="0" w:type="dxa"/>
          <w:right w:w="0" w:type="dxa"/>
        </w:tblCellMar>
      </w:tblPr>
      <w:tr>
        <w:trPr>
          <w:trHeight w:val="203"/>
        </w:trPr>
        <w:tc>
          <w:tcPr>
            <w:tcW w:w="21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73"/>
              </w:rPr>
              <w:t>commission.................</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30.3</w:t>
            </w:r>
          </w:p>
        </w:tc>
      </w:tr>
      <w:tr>
        <w:trPr>
          <w:trHeight w:val="203"/>
        </w:trPr>
        <w:tc>
          <w:tcPr>
            <w:tcW w:w="358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39.2 39.1 16.5 8.4 Contribution</w:t>
            </w:r>
          </w:p>
        </w:tc>
      </w:tr>
      <w:tr>
        <w:trPr>
          <w:trHeight w:val="203"/>
        </w:trPr>
        <w:tc>
          <w:tcPr>
            <w:tcW w:w="2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expenses(4).........</w:t>
            </w:r>
          </w:p>
        </w:tc>
        <w:tc>
          <w:tcPr>
            <w:tcW w:w="1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1.6 9.9 18.3</w:t>
            </w:r>
          </w:p>
        </w:tc>
      </w:tr>
      <w:tr>
        <w:trPr>
          <w:trHeight w:val="203"/>
        </w:trPr>
        <w:tc>
          <w:tcPr>
            <w:tcW w:w="900" w:type="dxa"/>
            <w:vAlign w:val="bottom"/>
          </w:tcPr>
          <w:p>
            <w:pPr>
              <w:spacing w:after="0"/>
              <w:rPr>
                <w:sz w:val="17"/>
                <w:szCs w:val="17"/>
                <w:color w:val="auto"/>
              </w:rPr>
            </w:pPr>
          </w:p>
        </w:tc>
        <w:tc>
          <w:tcPr>
            <w:tcW w:w="18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9.1 11.7 Net</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1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6"/>
              </w:rPr>
              <w:t>commission...................</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28.7</w:t>
            </w:r>
          </w:p>
        </w:tc>
      </w:tr>
      <w:tr>
        <w:trPr>
          <w:trHeight w:val="203"/>
        </w:trPr>
        <w:tc>
          <w:tcPr>
            <w:tcW w:w="358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6"/>
              </w:rPr>
              <w:t>29.3 20.8 7.4 (3.3) Advertising(1)</w:t>
            </w:r>
          </w:p>
        </w:tc>
      </w:tr>
      <w:tr>
        <w:trPr>
          <w:trHeight w:val="203"/>
        </w:trPr>
        <w:tc>
          <w:tcPr>
            <w:tcW w:w="14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74"/>
              </w:rPr>
              <w:t>(5)..................</w:t>
            </w:r>
          </w:p>
        </w:tc>
        <w:tc>
          <w:tcPr>
            <w:tcW w:w="680" w:type="dxa"/>
            <w:vAlign w:val="bottom"/>
          </w:tcPr>
          <w:p>
            <w:pPr>
              <w:spacing w:after="0"/>
              <w:rPr>
                <w:sz w:val="17"/>
                <w:szCs w:val="17"/>
                <w:color w:val="auto"/>
              </w:rPr>
            </w:pP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117.3</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107.1</w:t>
            </w:r>
          </w:p>
        </w:tc>
      </w:tr>
      <w:tr>
        <w:trPr>
          <w:trHeight w:val="203"/>
        </w:trPr>
        <w:tc>
          <w:tcPr>
            <w:tcW w:w="358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89.9 46.1 38.0 Selling, general</w:t>
            </w:r>
          </w:p>
        </w:tc>
      </w:tr>
      <w:tr>
        <w:trPr>
          <w:trHeight w:val="203"/>
        </w:trPr>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and</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7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74"/>
              </w:rPr>
              <w:t>administrative(1)................</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281.2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303.7</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324.1</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168.9</w:t>
            </w:r>
          </w:p>
        </w:tc>
        <w:tc>
          <w:tcPr>
            <w:tcW w:w="8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159.4</w:t>
            </w:r>
          </w:p>
        </w:tc>
      </w:tr>
      <w:tr>
        <w:trPr>
          <w:trHeight w:val="203"/>
        </w:trPr>
        <w:tc>
          <w:tcPr>
            <w:tcW w:w="3000" w:type="dxa"/>
            <w:vAlign w:val="bottom"/>
            <w:gridSpan w:val="5"/>
          </w:tcPr>
          <w:p>
            <w:pPr>
              <w:jc w:val="center"/>
              <w:ind w:left="494"/>
              <w:spacing w:after="0" w:line="203" w:lineRule="exact"/>
              <w:rPr>
                <w:sz w:val="20"/>
                <w:szCs w:val="20"/>
                <w:color w:val="auto"/>
              </w:rPr>
            </w:pPr>
            <w:r>
              <w:rPr>
                <w:rFonts w:ascii="Courier New" w:cs="Courier New" w:eastAsia="Courier New" w:hAnsi="Courier New"/>
                <w:sz w:val="18"/>
                <w:szCs w:val="18"/>
                <w:color w:val="auto"/>
                <w:w w:val="97"/>
              </w:rPr>
              <w:t>Restructuring and other</w:t>
            </w:r>
          </w:p>
        </w:tc>
        <w:tc>
          <w:tcPr>
            <w:tcW w:w="580" w:type="dxa"/>
            <w:vAlign w:val="bottom"/>
          </w:tcPr>
          <w:p>
            <w:pPr>
              <w:spacing w:after="0"/>
              <w:rPr>
                <w:sz w:val="17"/>
                <w:szCs w:val="17"/>
                <w:color w:val="auto"/>
              </w:rPr>
            </w:pPr>
          </w:p>
        </w:tc>
      </w:tr>
      <w:tr>
        <w:trPr>
          <w:trHeight w:val="203"/>
        </w:trPr>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charges....</w:t>
            </w:r>
          </w:p>
        </w:tc>
        <w:tc>
          <w:tcPr>
            <w:tcW w:w="210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1.4 -- 68.4 -- 1.2</w:t>
            </w:r>
          </w:p>
        </w:tc>
      </w:tr>
    </w:tbl>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98"/>
        </w:trPr>
        <w:tc>
          <w:tcPr>
            <w:tcW w:w="1460" w:type="dxa"/>
            <w:vAlign w:val="bottom"/>
            <w:gridSpan w:val="3"/>
          </w:tcPr>
          <w:p>
            <w:pPr>
              <w:jc w:val="right"/>
              <w:spacing w:after="0"/>
              <w:rPr>
                <w:sz w:val="20"/>
                <w:szCs w:val="20"/>
                <w:color w:val="auto"/>
              </w:rPr>
            </w:pPr>
            <w:r>
              <w:rPr>
                <w:rFonts w:ascii="Courier New" w:cs="Courier New" w:eastAsia="Courier New" w:hAnsi="Courier New"/>
                <w:sz w:val="10"/>
                <w:szCs w:val="10"/>
                <w:color w:val="auto"/>
                <w:w w:val="72"/>
              </w:rPr>
              <w:t>intangibles......................</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740" w:type="dxa"/>
            <w:vAlign w:val="bottom"/>
          </w:tcPr>
          <w:p>
            <w:pPr>
              <w:jc w:val="right"/>
              <w:ind w:right="42"/>
              <w:spacing w:after="0" w:line="203" w:lineRule="exact"/>
              <w:rPr>
                <w:sz w:val="20"/>
                <w:szCs w:val="20"/>
                <w:color w:val="auto"/>
              </w:rPr>
            </w:pPr>
            <w:r>
              <w:rPr>
                <w:rFonts w:ascii="Courier New" w:cs="Courier New" w:eastAsia="Courier New" w:hAnsi="Courier New"/>
                <w:sz w:val="18"/>
                <w:szCs w:val="18"/>
                <w:color w:val="auto"/>
              </w:rPr>
              <w:t>25.6</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27.1</w:t>
            </w:r>
          </w:p>
        </w:tc>
        <w:tc>
          <w:tcPr>
            <w:tcW w:w="116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27.7 14.2</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3.7</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w:t>
            </w:r>
          </w:p>
        </w:tc>
      </w:tr>
      <w:tr>
        <w:trPr>
          <w:trHeight w:val="203"/>
        </w:trPr>
        <w:tc>
          <w:tcPr>
            <w:tcW w:w="2040" w:type="dxa"/>
            <w:vAlign w:val="bottom"/>
            <w:gridSpan w:val="4"/>
          </w:tcPr>
          <w:p>
            <w:pPr>
              <w:jc w:val="center"/>
              <w:ind w:left="122"/>
              <w:spacing w:after="0"/>
              <w:rPr>
                <w:sz w:val="20"/>
                <w:szCs w:val="20"/>
                <w:color w:val="auto"/>
              </w:rPr>
            </w:pPr>
            <w:r>
              <w:rPr>
                <w:rFonts w:ascii="Courier New" w:cs="Courier New" w:eastAsia="Courier New" w:hAnsi="Courier New"/>
                <w:sz w:val="15"/>
                <w:szCs w:val="15"/>
                <w:color w:val="auto"/>
                <w:w w:val="70"/>
              </w:rPr>
              <w:t>income, net..................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c>
          <w:tcPr>
            <w:tcW w:w="7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(6.0)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(8.5)</w:t>
            </w: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5"/>
              </w:rPr>
              <w:t>Income from</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4"/>
          </w:tcPr>
          <w:p>
            <w:pPr>
              <w:jc w:val="center"/>
              <w:ind w:left="122"/>
              <w:spacing w:after="0" w:line="203" w:lineRule="exact"/>
              <w:rPr>
                <w:sz w:val="20"/>
                <w:szCs w:val="20"/>
                <w:color w:val="auto"/>
              </w:rPr>
            </w:pPr>
            <w:r>
              <w:rPr>
                <w:rFonts w:ascii="Courier New" w:cs="Courier New" w:eastAsia="Courier New" w:hAnsi="Courier New"/>
                <w:sz w:val="18"/>
                <w:szCs w:val="18"/>
                <w:color w:val="auto"/>
                <w:w w:val="74"/>
              </w:rPr>
              <w:t>operations.............</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196.1</w:t>
            </w:r>
          </w:p>
        </w:tc>
      </w:tr>
      <w:tr>
        <w:trPr>
          <w:trHeight w:val="203"/>
        </w:trPr>
        <w:tc>
          <w:tcPr>
            <w:tcW w:w="740" w:type="dxa"/>
            <w:vAlign w:val="bottom"/>
          </w:tcPr>
          <w:p>
            <w:pPr>
              <w:jc w:val="right"/>
              <w:ind w:right="42"/>
              <w:spacing w:after="0" w:line="203" w:lineRule="exact"/>
              <w:rPr>
                <w:sz w:val="20"/>
                <w:szCs w:val="20"/>
                <w:color w:val="auto"/>
              </w:rPr>
            </w:pPr>
            <w:r>
              <w:rPr>
                <w:rFonts w:ascii="Courier New" w:cs="Courier New" w:eastAsia="Courier New" w:hAnsi="Courier New"/>
                <w:sz w:val="18"/>
                <w:szCs w:val="18"/>
                <w:color w:val="auto"/>
              </w:rPr>
              <w:t>210.2</w:t>
            </w:r>
          </w:p>
        </w:tc>
        <w:tc>
          <w:tcPr>
            <w:tcW w:w="26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6"/>
              </w:rPr>
              <w:t>116.4 103.9 69.2 Interest</w:t>
            </w:r>
          </w:p>
        </w:tc>
      </w:tr>
      <w:tr>
        <w:trPr>
          <w:trHeight w:val="203"/>
        </w:trPr>
        <w:tc>
          <w:tcPr>
            <w:tcW w:w="146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0"/>
              </w:rPr>
              <w:t>expense(6)................</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79.1</w:t>
            </w:r>
          </w:p>
        </w:tc>
      </w:tr>
    </w:tbl>
    <w:p>
      <w:pPr>
        <w:ind w:left="120"/>
        <w:spacing w:after="0" w:line="238" w:lineRule="auto"/>
        <w:rPr>
          <w:sz w:val="20"/>
          <w:szCs w:val="20"/>
          <w:color w:val="auto"/>
        </w:rPr>
      </w:pPr>
      <w:r>
        <w:rPr>
          <w:rFonts w:ascii="Courier New" w:cs="Courier New" w:eastAsia="Courier New" w:hAnsi="Courier New"/>
          <w:sz w:val="18"/>
          <w:szCs w:val="18"/>
          <w:color w:val="auto"/>
        </w:rPr>
        <w:t>93.9 87.7 47.4 40.2 Income before</w:t>
      </w:r>
    </w:p>
    <w:tbl>
      <w:tblPr>
        <w:tblLayout w:type="fixed"/>
        <w:tblInd w:w="120" w:type="dxa"/>
        <w:tblCellMar>
          <w:top w:w="0" w:type="dxa"/>
          <w:left w:w="0" w:type="dxa"/>
          <w:bottom w:w="0" w:type="dxa"/>
          <w:right w:w="0" w:type="dxa"/>
        </w:tblCellMar>
      </w:tblPr>
      <w:tr>
        <w:trPr>
          <w:trHeight w:val="203"/>
        </w:trPr>
        <w:tc>
          <w:tcPr>
            <w:tcW w:w="2320" w:type="dxa"/>
            <w:vAlign w:val="bottom"/>
          </w:tcPr>
          <w:p>
            <w:pPr>
              <w:spacing w:after="0"/>
              <w:rPr>
                <w:sz w:val="20"/>
                <w:szCs w:val="20"/>
                <w:color w:val="auto"/>
              </w:rPr>
            </w:pPr>
            <w:r>
              <w:rPr>
                <w:rFonts w:ascii="Courier New" w:cs="Courier New" w:eastAsia="Courier New" w:hAnsi="Courier New"/>
                <w:sz w:val="18"/>
                <w:szCs w:val="18"/>
                <w:color w:val="auto"/>
              </w:rPr>
              <w:t>income taxes.........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2"/>
              </w:rPr>
              <w:t>117.0</w:t>
            </w:r>
          </w:p>
        </w:tc>
        <w:tc>
          <w:tcPr>
            <w:tcW w:w="560" w:type="dxa"/>
            <w:vAlign w:val="bottom"/>
          </w:tcPr>
          <w:p>
            <w:pPr>
              <w:jc w:val="right"/>
              <w:spacing w:after="0"/>
              <w:rPr>
                <w:sz w:val="20"/>
                <w:szCs w:val="20"/>
                <w:color w:val="auto"/>
              </w:rPr>
            </w:pPr>
            <w:r>
              <w:rPr>
                <w:rFonts w:ascii="Courier New" w:cs="Courier New" w:eastAsia="Courier New" w:hAnsi="Courier New"/>
                <w:sz w:val="18"/>
                <w:szCs w:val="18"/>
                <w:color w:val="auto"/>
                <w:w w:val="99"/>
              </w:rPr>
              <w:t>116.3</w:t>
            </w:r>
          </w:p>
        </w:tc>
      </w:tr>
      <w:tr>
        <w:trPr>
          <w:trHeight w:val="203"/>
        </w:trPr>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28.7 56.5 29.0 Income</w:t>
            </w:r>
          </w:p>
        </w:tc>
        <w:tc>
          <w:tcPr>
            <w:tcW w:w="560" w:type="dxa"/>
            <w:vAlign w:val="bottom"/>
          </w:tcPr>
          <w:p>
            <w:pPr>
              <w:spacing w:after="0"/>
              <w:rPr>
                <w:sz w:val="17"/>
                <w:szCs w:val="17"/>
                <w:color w:val="auto"/>
              </w:rPr>
            </w:pP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taxes.......................</w:t>
            </w:r>
          </w:p>
        </w:tc>
        <w:tc>
          <w:tcPr>
            <w:tcW w:w="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47.9</w:t>
            </w:r>
          </w:p>
        </w:tc>
      </w:tr>
    </w:tbl>
    <w:p>
      <w:pPr>
        <w:ind w:left="120"/>
        <w:spacing w:after="0" w:line="238" w:lineRule="auto"/>
        <w:rPr>
          <w:sz w:val="20"/>
          <w:szCs w:val="20"/>
          <w:color w:val="auto"/>
        </w:rPr>
      </w:pPr>
      <w:r>
        <w:rPr>
          <w:rFonts w:ascii="Courier New" w:cs="Courier New" w:eastAsia="Courier New" w:hAnsi="Courier New"/>
          <w:sz w:val="18"/>
          <w:szCs w:val="18"/>
          <w:color w:val="auto"/>
        </w:rPr>
        <w:t>43.2 13.2 22.9 11.1 Income before</w:t>
      </w:r>
    </w:p>
    <w:p>
      <w:pPr>
        <w:ind w:left="220"/>
        <w:spacing w:after="0"/>
        <w:rPr>
          <w:sz w:val="20"/>
          <w:szCs w:val="20"/>
          <w:color w:val="auto"/>
        </w:rPr>
      </w:pPr>
      <w:r>
        <w:rPr>
          <w:rFonts w:ascii="Courier New" w:cs="Courier New" w:eastAsia="Courier New" w:hAnsi="Courier New"/>
          <w:sz w:val="18"/>
          <w:szCs w:val="18"/>
          <w:color w:val="auto"/>
        </w:rPr>
        <w:t>cumulative effect of accounting</w:t>
      </w:r>
    </w:p>
    <w:p>
      <w:pPr>
        <w:ind w:left="160"/>
        <w:spacing w:after="0" w:line="237" w:lineRule="auto"/>
        <w:rPr>
          <w:sz w:val="20"/>
          <w:szCs w:val="20"/>
          <w:color w:val="auto"/>
        </w:rPr>
      </w:pPr>
      <w:r>
        <w:rPr>
          <w:rFonts w:ascii="Courier New" w:cs="Courier New" w:eastAsia="Courier New" w:hAnsi="Courier New"/>
          <w:sz w:val="18"/>
          <w:szCs w:val="18"/>
          <w:color w:val="auto"/>
        </w:rPr>
        <w:t>change(7)............. 63.2 73.1</w:t>
      </w:r>
    </w:p>
    <w:p>
      <w:pPr>
        <w:ind w:left="160"/>
        <w:spacing w:after="0" w:line="238" w:lineRule="auto"/>
        <w:rPr>
          <w:sz w:val="20"/>
          <w:szCs w:val="20"/>
          <w:color w:val="auto"/>
        </w:rPr>
      </w:pPr>
      <w:r>
        <w:rPr>
          <w:rFonts w:ascii="Courier New" w:cs="Courier New" w:eastAsia="Courier New" w:hAnsi="Courier New"/>
          <w:sz w:val="18"/>
          <w:szCs w:val="18"/>
          <w:color w:val="auto"/>
        </w:rPr>
        <w:t>15.5 33.6 17.9 Cumulative effect</w:t>
      </w:r>
    </w:p>
    <w:p>
      <w:pPr>
        <w:ind w:left="580"/>
        <w:spacing w:after="0"/>
        <w:rPr>
          <w:sz w:val="20"/>
          <w:szCs w:val="20"/>
          <w:color w:val="auto"/>
        </w:rPr>
      </w:pPr>
      <w:r>
        <w:rPr>
          <w:rFonts w:ascii="Courier New" w:cs="Courier New" w:eastAsia="Courier New" w:hAnsi="Courier New"/>
          <w:sz w:val="18"/>
          <w:szCs w:val="18"/>
          <w:color w:val="auto"/>
        </w:rPr>
        <w:t>of accounting change for</w:t>
      </w:r>
    </w:p>
    <w:p>
      <w:pPr>
        <w:ind w:left="540"/>
        <w:spacing w:after="0" w:line="237" w:lineRule="auto"/>
        <w:rPr>
          <w:sz w:val="20"/>
          <w:szCs w:val="20"/>
          <w:color w:val="auto"/>
        </w:rPr>
      </w:pPr>
      <w:r>
        <w:rPr>
          <w:rFonts w:ascii="Courier New" w:cs="Courier New" w:eastAsia="Courier New" w:hAnsi="Courier New"/>
          <w:sz w:val="18"/>
          <w:szCs w:val="18"/>
          <w:color w:val="auto"/>
        </w:rPr>
        <w:t>intangible assets, net of</w:t>
      </w:r>
    </w:p>
    <w:p>
      <w:pPr>
        <w:ind w:left="120"/>
        <w:spacing w:after="0"/>
        <w:rPr>
          <w:sz w:val="20"/>
          <w:szCs w:val="20"/>
          <w:color w:val="auto"/>
        </w:rPr>
      </w:pPr>
      <w:r>
        <w:rPr>
          <w:rFonts w:ascii="Courier New" w:cs="Courier New" w:eastAsia="Courier New" w:hAnsi="Courier New"/>
          <w:sz w:val="18"/>
          <w:szCs w:val="18"/>
          <w:color w:val="auto"/>
        </w:rPr>
        <w:t>tax........................... --</w:t>
      </w:r>
    </w:p>
    <w:p>
      <w:pPr>
        <w:ind w:left="120"/>
        <w:spacing w:after="0" w:line="237" w:lineRule="auto"/>
        <w:rPr>
          <w:sz w:val="20"/>
          <w:szCs w:val="20"/>
          <w:color w:val="auto"/>
        </w:rPr>
      </w:pPr>
      <w:r>
        <w:rPr>
          <w:rFonts w:ascii="Courier New" w:cs="Courier New" w:eastAsia="Courier New" w:hAnsi="Courier New"/>
          <w:sz w:val="18"/>
          <w:szCs w:val="18"/>
          <w:color w:val="auto"/>
        </w:rPr>
        <w:t>-- -- -- (18.5) Net income (loss)</w:t>
      </w:r>
    </w:p>
    <w:tbl>
      <w:tblPr>
        <w:tblLayout w:type="fixed"/>
        <w:tblInd w:w="0" w:type="dxa"/>
        <w:tblCellMar>
          <w:top w:w="0" w:type="dxa"/>
          <w:left w:w="0" w:type="dxa"/>
          <w:bottom w:w="0" w:type="dxa"/>
          <w:right w:w="0" w:type="dxa"/>
        </w:tblCellMar>
      </w:tblPr>
      <w:tr>
        <w:trPr>
          <w:trHeight w:val="203"/>
        </w:trPr>
        <w:tc>
          <w:tcPr>
            <w:tcW w:w="18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4"/>
              </w:rPr>
              <w:t>(7)...............</w:t>
            </w:r>
          </w:p>
        </w:tc>
        <w:tc>
          <w:tcPr>
            <w:tcW w:w="7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63.2</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73.1 15.5</w:t>
            </w:r>
          </w:p>
        </w:tc>
      </w:tr>
      <w:tr>
        <w:trPr>
          <w:trHeight w:val="203"/>
        </w:trPr>
        <w:tc>
          <w:tcPr>
            <w:tcW w:w="3540" w:type="dxa"/>
            <w:vAlign w:val="bottom"/>
            <w:gridSpan w:val="5"/>
          </w:tcPr>
          <w:p>
            <w:pPr>
              <w:jc w:val="center"/>
              <w:ind w:left="76"/>
              <w:spacing w:after="0" w:line="203" w:lineRule="exact"/>
              <w:rPr>
                <w:sz w:val="20"/>
                <w:szCs w:val="20"/>
                <w:color w:val="auto"/>
              </w:rPr>
            </w:pPr>
            <w:r>
              <w:rPr>
                <w:rFonts w:ascii="Courier New" w:cs="Courier New" w:eastAsia="Courier New" w:hAnsi="Courier New"/>
                <w:sz w:val="18"/>
                <w:szCs w:val="18"/>
                <w:color w:val="auto"/>
                <w:w w:val="97"/>
              </w:rPr>
              <w:t>33.6 (0.6) Basic earnings (loss)</w:t>
            </w:r>
          </w:p>
        </w:tc>
        <w:tc>
          <w:tcPr>
            <w:tcW w:w="10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360" w:type="dxa"/>
            <w:vAlign w:val="bottom"/>
            <w:gridSpan w:val="3"/>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per share(8)</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(10).....................</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$ 2.93</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3540" w:type="dxa"/>
            <w:vAlign w:val="bottom"/>
            <w:gridSpan w:val="5"/>
          </w:tcPr>
          <w:p>
            <w:pPr>
              <w:jc w:val="center"/>
              <w:ind w:left="76"/>
              <w:spacing w:after="0" w:line="203" w:lineRule="exact"/>
              <w:rPr>
                <w:sz w:val="20"/>
                <w:szCs w:val="20"/>
                <w:color w:val="auto"/>
              </w:rPr>
            </w:pPr>
            <w:r>
              <w:rPr>
                <w:rFonts w:ascii="Courier New" w:cs="Courier New" w:eastAsia="Courier New" w:hAnsi="Courier New"/>
                <w:sz w:val="18"/>
                <w:szCs w:val="18"/>
                <w:color w:val="auto"/>
                <w:w w:val="97"/>
              </w:rPr>
              <w:t>2.39 $ 0.55 $ 1.19 $ (0.02)(11)</w:t>
            </w:r>
          </w:p>
        </w:tc>
        <w:tc>
          <w:tcPr>
            <w:tcW w:w="100" w:type="dxa"/>
            <w:vAlign w:val="bottom"/>
          </w:tcPr>
          <w:p>
            <w:pPr>
              <w:spacing w:after="0"/>
              <w:rPr>
                <w:sz w:val="17"/>
                <w:szCs w:val="17"/>
                <w:color w:val="auto"/>
              </w:rPr>
            </w:pPr>
          </w:p>
        </w:tc>
      </w:tr>
      <w:tr>
        <w:trPr>
          <w:trHeight w:val="203"/>
        </w:trPr>
        <w:tc>
          <w:tcPr>
            <w:tcW w:w="3540" w:type="dxa"/>
            <w:vAlign w:val="bottom"/>
            <w:gridSpan w:val="5"/>
          </w:tcPr>
          <w:p>
            <w:pPr>
              <w:jc w:val="center"/>
              <w:ind w:left="76"/>
              <w:spacing w:after="0" w:line="203" w:lineRule="exact"/>
              <w:rPr>
                <w:sz w:val="20"/>
                <w:szCs w:val="20"/>
                <w:color w:val="auto"/>
              </w:rPr>
            </w:pPr>
            <w:r>
              <w:rPr>
                <w:rFonts w:ascii="Courier New" w:cs="Courier New" w:eastAsia="Courier New" w:hAnsi="Courier New"/>
                <w:sz w:val="18"/>
                <w:szCs w:val="18"/>
                <w:color w:val="auto"/>
                <w:w w:val="98"/>
              </w:rPr>
              <w:t>Diluted earnings (loss) per</w:t>
            </w:r>
          </w:p>
        </w:tc>
        <w:tc>
          <w:tcPr>
            <w:tcW w:w="100" w:type="dxa"/>
            <w:vAlign w:val="bottom"/>
          </w:tcPr>
          <w:p>
            <w:pPr>
              <w:spacing w:after="0"/>
              <w:rPr>
                <w:sz w:val="17"/>
                <w:szCs w:val="17"/>
                <w:color w:val="auto"/>
              </w:rPr>
            </w:pPr>
          </w:p>
        </w:tc>
      </w:tr>
      <w:tr>
        <w:trPr>
          <w:trHeight w:val="203"/>
        </w:trPr>
        <w:tc>
          <w:tcPr>
            <w:tcW w:w="23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2"/>
              </w:rPr>
              <w:t>share(9)(10).....................</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2.08 2.25</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0.51</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1.12</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(0.02)(12)</w:t>
            </w:r>
          </w:p>
        </w:tc>
        <w:tc>
          <w:tcPr>
            <w:tcW w:w="100" w:type="dxa"/>
            <w:vAlign w:val="bottom"/>
          </w:tcPr>
          <w:p>
            <w:pPr>
              <w:spacing w:after="0"/>
              <w:rPr>
                <w:sz w:val="17"/>
                <w:szCs w:val="17"/>
                <w:color w:val="auto"/>
              </w:rPr>
            </w:pPr>
          </w:p>
        </w:tc>
      </w:tr>
      <w:tr>
        <w:trPr>
          <w:trHeight w:val="203"/>
        </w:trPr>
        <w:tc>
          <w:tcPr>
            <w:tcW w:w="3540" w:type="dxa"/>
            <w:vAlign w:val="bottom"/>
            <w:gridSpan w:val="5"/>
          </w:tcPr>
          <w:p>
            <w:pPr>
              <w:jc w:val="center"/>
              <w:ind w:left="76"/>
              <w:spacing w:after="0" w:line="203" w:lineRule="exact"/>
              <w:rPr>
                <w:sz w:val="20"/>
                <w:szCs w:val="20"/>
                <w:color w:val="auto"/>
              </w:rPr>
            </w:pPr>
            <w:r>
              <w:rPr>
                <w:rFonts w:ascii="Courier New" w:cs="Courier New" w:eastAsia="Courier New" w:hAnsi="Courier New"/>
                <w:sz w:val="18"/>
                <w:szCs w:val="18"/>
                <w:color w:val="auto"/>
                <w:w w:val="97"/>
              </w:rPr>
              <w:t>OTHER FINANCIAL DATA:</w:t>
            </w:r>
          </w:p>
        </w:tc>
        <w:tc>
          <w:tcPr>
            <w:tcW w:w="100" w:type="dxa"/>
            <w:vAlign w:val="bottom"/>
          </w:tcPr>
          <w:p>
            <w:pPr>
              <w:spacing w:after="0"/>
              <w:rPr>
                <w:sz w:val="17"/>
                <w:szCs w:val="17"/>
                <w:color w:val="auto"/>
              </w:rPr>
            </w:pPr>
          </w:p>
        </w:tc>
      </w:tr>
      <w:tr>
        <w:trPr>
          <w:trHeight w:val="203"/>
        </w:trPr>
        <w:tc>
          <w:tcPr>
            <w:tcW w:w="18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EBITDA(13).........................</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ectPr>
          <w:pgSz w:w="11900" w:h="16838" w:orient="portrait"/>
          <w:cols w:equalWidth="0" w:num="1">
            <w:col w:w="10219"/>
          </w:cols>
          <w:pgMar w:left="240" w:top="717" w:right="1440"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3"/>
          </w:tcPr>
          <w:p>
            <w:pPr>
              <w:ind w:left="120"/>
              <w:spacing w:after="0"/>
              <w:rPr>
                <w:sz w:val="20"/>
                <w:szCs w:val="20"/>
                <w:color w:val="auto"/>
              </w:rPr>
            </w:pPr>
            <w:r>
              <w:rPr>
                <w:rFonts w:ascii="Courier New" w:cs="Courier New" w:eastAsia="Courier New" w:hAnsi="Courier New"/>
                <w:sz w:val="18"/>
                <w:szCs w:val="18"/>
                <w:color w:val="auto"/>
                <w:w w:val="94"/>
              </w:rPr>
              <w:t>$ 253.7 $</w:t>
            </w:r>
          </w:p>
        </w:tc>
        <w:tc>
          <w:tcPr>
            <w:tcW w:w="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271.2</w:t>
            </w:r>
          </w:p>
        </w:tc>
        <w:tc>
          <w:tcPr>
            <w:tcW w:w="18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$ 255.7 $ 135.7 $</w:t>
            </w:r>
          </w:p>
        </w:tc>
      </w:tr>
      <w:tr>
        <w:trPr>
          <w:trHeight w:val="203"/>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92.8</w:t>
            </w:r>
          </w:p>
        </w:tc>
        <w:tc>
          <w:tcPr>
            <w:tcW w:w="840" w:type="dxa"/>
            <w:vAlign w:val="bottom"/>
          </w:tcPr>
          <w:p>
            <w:pPr>
              <w:spacing w:after="0"/>
              <w:rPr>
                <w:sz w:val="17"/>
                <w:szCs w:val="17"/>
                <w:color w:val="auto"/>
              </w:rPr>
            </w:pPr>
          </w:p>
        </w:tc>
      </w:tr>
      <w:tr>
        <w:trPr>
          <w:trHeight w:val="203"/>
        </w:trPr>
        <w:tc>
          <w:tcPr>
            <w:tcW w:w="1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Depreciation</w:t>
            </w:r>
          </w:p>
        </w:tc>
        <w:tc>
          <w:tcPr>
            <w:tcW w:w="620" w:type="dxa"/>
            <w:vAlign w:val="bottom"/>
            <w:gridSpan w:val="2"/>
          </w:tcPr>
          <w:p>
            <w:pPr>
              <w:jc w:val="right"/>
              <w:spacing w:after="0"/>
              <w:rPr>
                <w:sz w:val="20"/>
                <w:szCs w:val="20"/>
                <w:color w:val="auto"/>
              </w:rPr>
            </w:pPr>
            <w:r>
              <w:rPr>
                <w:rFonts w:ascii="Courier New" w:cs="Courier New" w:eastAsia="Courier New" w:hAnsi="Courier New"/>
                <w:sz w:val="5"/>
                <w:szCs w:val="5"/>
                <w:color w:val="auto"/>
                <w:w w:val="86"/>
              </w:rPr>
              <w:t>.......................</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29.0</w:t>
            </w:r>
          </w:p>
        </w:tc>
        <w:tc>
          <w:tcPr>
            <w:tcW w:w="10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29.0 32.6</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16.0 16.0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Capital</w:t>
            </w:r>
          </w:p>
        </w:tc>
      </w:tr>
      <w:tr>
        <w:trPr>
          <w:trHeight w:val="203"/>
        </w:trPr>
        <w:tc>
          <w:tcPr>
            <w:tcW w:w="1900" w:type="dxa"/>
            <w:vAlign w:val="bottom"/>
            <w:gridSpan w:val="6"/>
          </w:tcPr>
          <w:p>
            <w:pPr>
              <w:ind w:left="160"/>
              <w:spacing w:after="0"/>
              <w:rPr>
                <w:sz w:val="20"/>
                <w:szCs w:val="20"/>
                <w:color w:val="auto"/>
              </w:rPr>
            </w:pPr>
            <w:r>
              <w:rPr>
                <w:rFonts w:ascii="Courier New" w:cs="Courier New" w:eastAsia="Courier New" w:hAnsi="Courier New"/>
                <w:sz w:val="15"/>
                <w:szCs w:val="15"/>
                <w:color w:val="auto"/>
                <w:w w:val="70"/>
              </w:rPr>
              <w:t>expenditures...............</w:t>
            </w:r>
          </w:p>
        </w:tc>
        <w:tc>
          <w:tcPr>
            <w:tcW w:w="8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66.7</w:t>
            </w:r>
          </w:p>
        </w:tc>
      </w:tr>
      <w:tr>
        <w:trPr>
          <w:trHeight w:val="203"/>
        </w:trPr>
        <w:tc>
          <w:tcPr>
            <w:tcW w:w="10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4"/>
              </w:rPr>
              <w:t>72.5 63.4</w:t>
            </w:r>
          </w:p>
        </w:tc>
        <w:tc>
          <w:tcPr>
            <w:tcW w:w="2520" w:type="dxa"/>
            <w:vAlign w:val="bottom"/>
            <w:gridSpan w:val="5"/>
          </w:tcPr>
          <w:p>
            <w:pPr>
              <w:jc w:val="center"/>
              <w:ind w:left="21"/>
              <w:spacing w:after="0" w:line="203" w:lineRule="exact"/>
              <w:rPr>
                <w:sz w:val="20"/>
                <w:szCs w:val="20"/>
                <w:color w:val="auto"/>
              </w:rPr>
            </w:pPr>
            <w:r>
              <w:rPr>
                <w:rFonts w:ascii="Courier New" w:cs="Courier New" w:eastAsia="Courier New" w:hAnsi="Courier New"/>
                <w:sz w:val="18"/>
                <w:szCs w:val="18"/>
                <w:color w:val="auto"/>
                <w:w w:val="97"/>
              </w:rPr>
              <w:t>26.7 22.3 BALANCE SHEET</w:t>
            </w:r>
          </w:p>
        </w:tc>
      </w:tr>
      <w:tr>
        <w:trPr>
          <w:trHeight w:val="203"/>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4"/>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DATA: Working</w:t>
            </w:r>
          </w:p>
        </w:tc>
        <w:tc>
          <w:tcPr>
            <w:tcW w:w="840" w:type="dxa"/>
            <w:vAlign w:val="bottom"/>
          </w:tcPr>
          <w:p>
            <w:pPr>
              <w:spacing w:after="0"/>
              <w:rPr>
                <w:sz w:val="17"/>
                <w:szCs w:val="17"/>
                <w:color w:val="auto"/>
              </w:rPr>
            </w:pPr>
          </w:p>
        </w:tc>
      </w:tr>
      <w:tr>
        <w:trPr>
          <w:trHeight w:val="203"/>
        </w:trPr>
        <w:tc>
          <w:tcPr>
            <w:tcW w:w="10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5"/>
              </w:rPr>
              <w:t>capital</w:t>
            </w:r>
          </w:p>
        </w:tc>
        <w:tc>
          <w:tcPr>
            <w:tcW w:w="6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3"/>
              </w:rPr>
              <w:t>....................</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2"/>
              </w:rPr>
              <w:t>274.8</w:t>
            </w:r>
          </w:p>
        </w:tc>
        <w:tc>
          <w:tcPr>
            <w:tcW w:w="960" w:type="dxa"/>
            <w:vAlign w:val="bottom"/>
            <w:gridSpan w:val="3"/>
          </w:tcPr>
          <w:p>
            <w:pPr>
              <w:jc w:val="right"/>
              <w:ind w:right="47"/>
              <w:spacing w:after="0" w:line="203" w:lineRule="exact"/>
              <w:rPr>
                <w:sz w:val="20"/>
                <w:szCs w:val="20"/>
                <w:color w:val="auto"/>
              </w:rPr>
            </w:pPr>
            <w:r>
              <w:rPr>
                <w:rFonts w:ascii="Courier New" w:cs="Courier New" w:eastAsia="Courier New" w:hAnsi="Courier New"/>
                <w:sz w:val="18"/>
                <w:szCs w:val="18"/>
                <w:color w:val="auto"/>
              </w:rPr>
              <w:t>$ 234.1</w:t>
            </w:r>
          </w:p>
        </w:tc>
        <w:tc>
          <w:tcPr>
            <w:tcW w:w="18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$ 249.1 $ 339.6 $</w:t>
            </w:r>
          </w:p>
        </w:tc>
      </w:tr>
      <w:tr>
        <w:trPr>
          <w:trHeight w:val="203"/>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378.2 Total</w:t>
            </w:r>
          </w:p>
        </w:tc>
        <w:tc>
          <w:tcPr>
            <w:tcW w:w="840" w:type="dxa"/>
            <w:vAlign w:val="bottom"/>
          </w:tcPr>
          <w:p>
            <w:pPr>
              <w:spacing w:after="0"/>
              <w:rPr>
                <w:sz w:val="17"/>
                <w:szCs w:val="17"/>
                <w:color w:val="auto"/>
              </w:rPr>
            </w:pPr>
          </w:p>
        </w:tc>
      </w:tr>
      <w:tr>
        <w:trPr>
          <w:trHeight w:val="203"/>
        </w:trPr>
        <w:tc>
          <w:tcPr>
            <w:tcW w:w="1280" w:type="dxa"/>
            <w:vAlign w:val="bottom"/>
            <w:gridSpan w:val="4"/>
          </w:tcPr>
          <w:p>
            <w:pPr>
              <w:ind w:left="320"/>
              <w:spacing w:after="0"/>
              <w:rPr>
                <w:sz w:val="20"/>
                <w:szCs w:val="20"/>
                <w:color w:val="auto"/>
              </w:rPr>
            </w:pPr>
            <w:r>
              <w:rPr>
                <w:rFonts w:ascii="Courier New" w:cs="Courier New" w:eastAsia="Courier New" w:hAnsi="Courier New"/>
                <w:sz w:val="7"/>
                <w:szCs w:val="7"/>
                <w:color w:val="auto"/>
                <w:w w:val="77"/>
              </w:rPr>
              <w:t>assets.......................</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0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1,769.6</w:t>
            </w:r>
          </w:p>
        </w:tc>
        <w:tc>
          <w:tcPr>
            <w:tcW w:w="8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1,761.4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1,843.0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2,346.9</w:t>
            </w:r>
          </w:p>
        </w:tc>
      </w:tr>
      <w:tr>
        <w:trPr>
          <w:trHeight w:val="203"/>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4"/>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2,240.3 Total</w:t>
            </w:r>
          </w:p>
        </w:tc>
        <w:tc>
          <w:tcPr>
            <w:tcW w:w="840" w:type="dxa"/>
            <w:vAlign w:val="bottom"/>
          </w:tcPr>
          <w:p>
            <w:pPr>
              <w:spacing w:after="0"/>
              <w:rPr>
                <w:sz w:val="17"/>
                <w:szCs w:val="17"/>
                <w:color w:val="auto"/>
              </w:rPr>
            </w:pPr>
          </w:p>
        </w:tc>
      </w:tr>
      <w:tr>
        <w:trPr>
          <w:trHeight w:val="203"/>
        </w:trPr>
        <w:tc>
          <w:tcPr>
            <w:tcW w:w="1060" w:type="dxa"/>
            <w:vAlign w:val="bottom"/>
            <w:gridSpan w:val="3"/>
          </w:tcPr>
          <w:p>
            <w:pPr>
              <w:ind w:left="320"/>
              <w:spacing w:after="0"/>
              <w:rPr>
                <w:sz w:val="20"/>
                <w:szCs w:val="20"/>
                <w:color w:val="auto"/>
              </w:rPr>
            </w:pPr>
            <w:r>
              <w:rPr>
                <w:rFonts w:ascii="Courier New" w:cs="Courier New" w:eastAsia="Courier New" w:hAnsi="Courier New"/>
                <w:sz w:val="5"/>
                <w:szCs w:val="5"/>
                <w:color w:val="auto"/>
                <w:w w:val="82"/>
              </w:rPr>
              <w:t>debt.........................</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950.0</w:t>
            </w:r>
          </w:p>
        </w:tc>
        <w:tc>
          <w:tcPr>
            <w:tcW w:w="80" w:type="dxa"/>
            <w:vAlign w:val="bottom"/>
          </w:tcPr>
          <w:p>
            <w:pPr>
              <w:spacing w:after="0"/>
              <w:rPr>
                <w:sz w:val="17"/>
                <w:szCs w:val="17"/>
                <w:color w:val="auto"/>
              </w:rPr>
            </w:pPr>
          </w:p>
        </w:tc>
        <w:tc>
          <w:tcPr>
            <w:tcW w:w="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862.8</w:t>
            </w:r>
          </w:p>
        </w:tc>
        <w:tc>
          <w:tcPr>
            <w:tcW w:w="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887.8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1,208.2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1,126.7</w:t>
            </w:r>
          </w:p>
        </w:tc>
      </w:tr>
      <w:tr>
        <w:trPr>
          <w:trHeight w:val="203"/>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gridSpan w:val="6"/>
          </w:tcPr>
          <w:p>
            <w:pPr>
              <w:jc w:val="center"/>
              <w:ind w:right="512"/>
              <w:spacing w:after="0" w:line="203" w:lineRule="exact"/>
              <w:rPr>
                <w:sz w:val="20"/>
                <w:szCs w:val="20"/>
                <w:color w:val="auto"/>
              </w:rPr>
            </w:pPr>
            <w:r>
              <w:rPr>
                <w:rFonts w:ascii="Courier New" w:cs="Courier New" w:eastAsia="Courier New" w:hAnsi="Courier New"/>
                <w:sz w:val="18"/>
                <w:szCs w:val="18"/>
                <w:color w:val="auto"/>
                <w:w w:val="97"/>
              </w:rPr>
              <w:t>Total shareholders'</w:t>
            </w:r>
          </w:p>
        </w:tc>
      </w:tr>
      <w:tr>
        <w:trPr>
          <w:trHeight w:val="203"/>
        </w:trPr>
        <w:tc>
          <w:tcPr>
            <w:tcW w:w="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2"/>
              </w:rPr>
              <w:t>equity</w:t>
            </w:r>
          </w:p>
        </w:tc>
        <w:tc>
          <w:tcPr>
            <w:tcW w:w="540" w:type="dxa"/>
            <w:vAlign w:val="bottom"/>
            <w:gridSpan w:val="2"/>
          </w:tcPr>
          <w:p>
            <w:pPr>
              <w:spacing w:after="0"/>
              <w:rPr>
                <w:sz w:val="20"/>
                <w:szCs w:val="20"/>
                <w:color w:val="auto"/>
              </w:rPr>
            </w:pPr>
            <w:r>
              <w:rPr>
                <w:rFonts w:ascii="Courier New" w:cs="Courier New" w:eastAsia="Courier New" w:hAnsi="Courier New"/>
                <w:sz w:val="13"/>
                <w:szCs w:val="13"/>
                <w:color w:val="auto"/>
                <w:w w:val="74"/>
              </w:rPr>
              <w:t>.........</w:t>
            </w:r>
          </w:p>
        </w:tc>
        <w:tc>
          <w:tcPr>
            <w:tcW w:w="420" w:type="dxa"/>
            <w:vAlign w:val="bottom"/>
          </w:tcPr>
          <w:p>
            <w:pPr>
              <w:spacing w:after="0"/>
              <w:rPr>
                <w:sz w:val="17"/>
                <w:szCs w:val="17"/>
                <w:color w:val="auto"/>
              </w:rPr>
            </w:pPr>
          </w:p>
        </w:tc>
        <w:tc>
          <w:tcPr>
            <w:tcW w:w="18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443.3 477.9 506.2</w:t>
            </w:r>
          </w:p>
        </w:tc>
      </w:tr>
    </w:tbl>
    <w:p>
      <w:pPr>
        <w:ind w:left="60"/>
        <w:spacing w:after="0" w:line="238" w:lineRule="auto"/>
        <w:rPr>
          <w:sz w:val="20"/>
          <w:szCs w:val="20"/>
          <w:color w:val="auto"/>
        </w:rPr>
      </w:pPr>
      <w:r>
        <w:rPr>
          <w:rFonts w:ascii="Courier New" w:cs="Courier New" w:eastAsia="Courier New" w:hAnsi="Courier New"/>
          <w:sz w:val="18"/>
          <w:szCs w:val="18"/>
          <w:color w:val="auto"/>
        </w:rPr>
        <w:t>519.2 516.9 -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36" w:right="1440" w:bottom="1440" w:gutter="0" w:footer="0" w:header="0"/>
        </w:sectPr>
      </w:pPr>
    </w:p>
    <w:bookmarkStart w:id="15" w:name="page16"/>
    <w:bookmarkEnd w:id="15"/>
    <w:p>
      <w:pPr>
        <w:ind w:right="1779" w:firstLine="8"/>
        <w:spacing w:after="0" w:line="268" w:lineRule="auto"/>
        <w:tabs>
          <w:tab w:leader="none" w:pos="42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fiscal 2002, we adopted an accounting policy that requires that certain consideration from a vendor to a retailer be classified as a reduction in sales. Like many other companies, we have historically classified these as advertising and promotion costs. The information for all periods presented reflects this new method of presentation. The amounts reclassified for the fiscal years ended September 30, 1999, 2000 and 2001 and for the six month period ended March 31,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2001 are as follows: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SIX MONTHS ENDED YEAR ENDED SEPTEMBER 30, ----------------</w:t>
      </w:r>
    </w:p>
    <w:p>
      <w:pPr>
        <w:ind w:left="120"/>
        <w:spacing w:after="0" w:line="238" w:lineRule="auto"/>
        <w:rPr>
          <w:sz w:val="20"/>
          <w:szCs w:val="20"/>
          <w:color w:val="auto"/>
        </w:rPr>
      </w:pPr>
      <w:r>
        <w:rPr>
          <w:rFonts w:ascii="Courier New" w:cs="Courier New" w:eastAsia="Courier New" w:hAnsi="Courier New"/>
          <w:sz w:val="18"/>
          <w:szCs w:val="18"/>
          <w:color w:val="auto"/>
        </w:rPr>
        <w:t>---------------------------- MARCH 31, 1999 2000 2001 2001</w:t>
      </w:r>
    </w:p>
    <w:p>
      <w:pPr>
        <w:jc w:val="center"/>
        <w:ind w:right="3899"/>
        <w:spacing w:after="0"/>
        <w:rPr>
          <w:sz w:val="20"/>
          <w:szCs w:val="20"/>
          <w:color w:val="auto"/>
        </w:rPr>
      </w:pPr>
      <w:r>
        <w:rPr>
          <w:rFonts w:ascii="Courier New" w:cs="Courier New" w:eastAsia="Courier New" w:hAnsi="Courier New"/>
          <w:sz w:val="18"/>
          <w:szCs w:val="18"/>
          <w:color w:val="auto"/>
        </w:rPr>
        <w:t>------ ------ ------ --------- (UNAUDITED) Net</w:t>
      </w:r>
    </w:p>
    <w:p>
      <w:pPr>
        <w:jc w:val="center"/>
        <w:ind w:right="3899"/>
        <w:spacing w:after="0" w:line="237" w:lineRule="auto"/>
        <w:rPr>
          <w:sz w:val="20"/>
          <w:szCs w:val="20"/>
          <w:color w:val="auto"/>
        </w:rPr>
      </w:pPr>
      <w:r>
        <w:rPr>
          <w:rFonts w:ascii="Courier New" w:cs="Courier New" w:eastAsia="Courier New" w:hAnsi="Courier New"/>
          <w:sz w:val="18"/>
          <w:szCs w:val="18"/>
          <w:color w:val="auto"/>
        </w:rPr>
        <w:t>sales...................................................</w:t>
      </w:r>
    </w:p>
    <w:p>
      <w:pPr>
        <w:jc w:val="center"/>
        <w:ind w:right="3899"/>
        <w:spacing w:after="0" w:line="238" w:lineRule="auto"/>
        <w:rPr>
          <w:sz w:val="20"/>
          <w:szCs w:val="20"/>
          <w:color w:val="auto"/>
        </w:rPr>
      </w:pPr>
      <w:r>
        <w:rPr>
          <w:rFonts w:ascii="Courier New" w:cs="Courier New" w:eastAsia="Courier New" w:hAnsi="Courier New"/>
          <w:sz w:val="18"/>
          <w:szCs w:val="18"/>
          <w:color w:val="auto"/>
        </w:rPr>
        <w:t>$(25.9) $(43.8) $(51.1) $(28.6) Gross</w:t>
      </w:r>
    </w:p>
    <w:p>
      <w:pPr>
        <w:jc w:val="center"/>
        <w:ind w:right="3899"/>
        <w:spacing w:after="0"/>
        <w:rPr>
          <w:sz w:val="20"/>
          <w:szCs w:val="20"/>
          <w:color w:val="auto"/>
        </w:rPr>
      </w:pPr>
      <w:r>
        <w:rPr>
          <w:rFonts w:ascii="Courier New" w:cs="Courier New" w:eastAsia="Courier New" w:hAnsi="Courier New"/>
          <w:sz w:val="18"/>
          <w:szCs w:val="18"/>
          <w:color w:val="auto"/>
        </w:rPr>
        <w:t>profit................................................</w:t>
      </w:r>
    </w:p>
    <w:p>
      <w:pPr>
        <w:jc w:val="center"/>
        <w:ind w:right="3899"/>
        <w:spacing w:after="0" w:line="237" w:lineRule="auto"/>
        <w:rPr>
          <w:sz w:val="20"/>
          <w:szCs w:val="20"/>
          <w:color w:val="auto"/>
        </w:rPr>
      </w:pPr>
      <w:r>
        <w:rPr>
          <w:rFonts w:ascii="Courier New" w:cs="Courier New" w:eastAsia="Courier New" w:hAnsi="Courier New"/>
          <w:sz w:val="18"/>
          <w:szCs w:val="18"/>
          <w:color w:val="auto"/>
        </w:rPr>
        <w:t>(25.9) (45.7) (54.2) (30.4)</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Advertising.................................................</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(25.9) (46.7) (61.1) (34.7) Selling, general and</w:t>
      </w:r>
    </w:p>
    <w:p>
      <w:pPr>
        <w:jc w:val="center"/>
        <w:ind w:right="3899"/>
        <w:spacing w:after="0" w:line="238" w:lineRule="auto"/>
        <w:rPr>
          <w:sz w:val="20"/>
          <w:szCs w:val="20"/>
          <w:color w:val="auto"/>
        </w:rPr>
      </w:pPr>
      <w:r>
        <w:rPr>
          <w:rFonts w:ascii="Courier New" w:cs="Courier New" w:eastAsia="Courier New" w:hAnsi="Courier New"/>
          <w:sz w:val="18"/>
          <w:szCs w:val="18"/>
          <w:color w:val="auto"/>
        </w:rPr>
        <w:t>administrative......................... -- 1.0 6.9 4.3</w:t>
      </w:r>
    </w:p>
    <w:p>
      <w:pPr>
        <w:spacing w:after="0" w:line="200" w:lineRule="exact"/>
        <w:rPr>
          <w:sz w:val="20"/>
          <w:szCs w:val="20"/>
          <w:color w:val="auto"/>
        </w:rPr>
      </w:pPr>
    </w:p>
    <w:p>
      <w:pPr>
        <w:spacing w:after="0" w:line="210" w:lineRule="exact"/>
        <w:rPr>
          <w:sz w:val="20"/>
          <w:szCs w:val="20"/>
          <w:color w:val="auto"/>
        </w:rPr>
      </w:pPr>
    </w:p>
    <w:p>
      <w:pPr>
        <w:ind w:right="1879" w:firstLine="8"/>
        <w:spacing w:after="0" w:line="290" w:lineRule="auto"/>
        <w:tabs>
          <w:tab w:leader="none" w:pos="42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$7.3 million of restructuring and other charges for the year ended September 30, 2001 and $1.1 million for the six months ended March 30, 2002.</w:t>
      </w:r>
    </w:p>
    <w:p>
      <w:pPr>
        <w:spacing w:after="0" w:line="169"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commissions received and contribution expenses paid under the marketing agreement with Monsanto relating to the marketing and distribution of consumer Roundup(R) products in the United States and other countries around the world. For more information, see "Business -- Roundup(R) Marketing Agreement" in our Form 10-K for the fiscal year ended September 30, 2001, which is incorporated by reference into this prospectus.</w:t>
      </w:r>
    </w:p>
    <w:p>
      <w:pPr>
        <w:spacing w:after="0" w:line="209" w:lineRule="exact"/>
        <w:rPr>
          <w:rFonts w:ascii="Courier New" w:cs="Courier New" w:eastAsia="Courier New" w:hAnsi="Courier New"/>
          <w:sz w:val="18"/>
          <w:szCs w:val="18"/>
          <w:color w:val="auto"/>
        </w:rPr>
      </w:pPr>
    </w:p>
    <w:p>
      <w:pPr>
        <w:ind w:right="1879" w:firstLine="8"/>
        <w:spacing w:after="0" w:line="237"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amortization expense associated with the amortization of the $32 million marketing fee under the Roundup(R) marketing agreement of $1.6 million, $4.9 million and $3.3 million for 1999, 2000 and 2001, respectively, and $1.6 million in each of the six month periods ended March 31, 2001 and March 30, 2002.</w:t>
      </w:r>
    </w:p>
    <w:p>
      <w:pPr>
        <w:spacing w:after="0" w:line="208" w:lineRule="exact"/>
        <w:rPr>
          <w:rFonts w:ascii="Courier New" w:cs="Courier New" w:eastAsia="Courier New" w:hAnsi="Courier New"/>
          <w:sz w:val="18"/>
          <w:szCs w:val="18"/>
          <w:color w:val="auto"/>
        </w:rPr>
      </w:pPr>
    </w:p>
    <w:p>
      <w:pPr>
        <w:ind w:right="2419" w:firstLine="8"/>
        <w:spacing w:after="0" w:line="235"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Advertising represents the cost of Scotts' external media campaign and related fees and expenses.</w:t>
      </w:r>
    </w:p>
    <w:p>
      <w:pPr>
        <w:spacing w:after="0" w:line="208" w:lineRule="exact"/>
        <w:rPr>
          <w:rFonts w:ascii="Courier New" w:cs="Courier New" w:eastAsia="Courier New" w:hAnsi="Courier New"/>
          <w:sz w:val="18"/>
          <w:szCs w:val="18"/>
          <w:color w:val="auto"/>
        </w:rPr>
      </w:pPr>
    </w:p>
    <w:p>
      <w:pPr>
        <w:ind w:right="1999" w:firstLine="8"/>
        <w:spacing w:after="0" w:line="235"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amortization of deferred financing costs, interest rate locks and debt discount.</w:t>
      </w:r>
    </w:p>
    <w:p>
      <w:pPr>
        <w:spacing w:after="0" w:line="208" w:lineRule="exact"/>
        <w:rPr>
          <w:rFonts w:ascii="Courier New" w:cs="Courier New" w:eastAsia="Courier New" w:hAnsi="Courier New"/>
          <w:sz w:val="18"/>
          <w:szCs w:val="18"/>
          <w:color w:val="auto"/>
        </w:rPr>
      </w:pPr>
    </w:p>
    <w:p>
      <w:pPr>
        <w:ind w:right="1879" w:firstLine="8"/>
        <w:spacing w:after="0" w:line="235"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extraordinary loss of $5.9 million, net of income tax benefit, for fiscal 1999.</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extraordinary loss of $0.32 per share for fiscal 1999.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extraordinary loss of $0.19 per share for fiscal 1999.</w:t>
      </w:r>
    </w:p>
    <w:p>
      <w:pPr>
        <w:spacing w:after="0" w:line="206" w:lineRule="exact"/>
        <w:rPr>
          <w:rFonts w:ascii="Courier New" w:cs="Courier New" w:eastAsia="Courier New" w:hAnsi="Courier New"/>
          <w:sz w:val="18"/>
          <w:szCs w:val="18"/>
          <w:color w:val="auto"/>
        </w:rPr>
      </w:pPr>
    </w:p>
    <w:p>
      <w:pPr>
        <w:jc w:val="both"/>
        <w:ind w:right="1879" w:firstLine="8"/>
        <w:spacing w:after="0" w:line="237" w:lineRule="auto"/>
        <w:tabs>
          <w:tab w:leader="none" w:pos="52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available to common shareholders and basic and diluted earnings per share would have been as follows if the accounting change for intangible assets adopted in the fiscal year beginning October 1, 2001, had been adopted as of October 1, 1998:</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SIX MONTHS ENDED YEAR ENDED SEPTEMBER 30, -----------</w:t>
      </w:r>
    </w:p>
    <w:p>
      <w:pPr>
        <w:spacing w:after="0" w:line="4" w:lineRule="exact"/>
        <w:rPr>
          <w:sz w:val="20"/>
          <w:szCs w:val="20"/>
          <w:color w:val="auto"/>
        </w:rPr>
      </w:pPr>
    </w:p>
    <w:p>
      <w:pPr>
        <w:ind w:left="480" w:right="4779" w:hanging="210"/>
        <w:spacing w:after="0" w:line="268" w:lineRule="auto"/>
        <w:tabs>
          <w:tab w:leader="none" w:pos="90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MARCH 31, 1999 2000 2001 2001 ------ ------ ------ ---------</w:t>
      </w:r>
    </w:p>
    <w:p>
      <w:pPr>
        <w:jc w:val="center"/>
        <w:ind w:right="4519"/>
        <w:spacing w:after="0" w:line="233" w:lineRule="auto"/>
        <w:rPr>
          <w:sz w:val="20"/>
          <w:szCs w:val="20"/>
          <w:color w:val="auto"/>
        </w:rPr>
      </w:pPr>
      <w:r>
        <w:rPr>
          <w:rFonts w:ascii="Courier New" w:cs="Courier New" w:eastAsia="Courier New" w:hAnsi="Courier New"/>
          <w:sz w:val="18"/>
          <w:szCs w:val="18"/>
          <w:color w:val="auto"/>
        </w:rPr>
        <w:t>(UNAUDITED) Income available to common</w:t>
      </w:r>
    </w:p>
    <w:p>
      <w:pPr>
        <w:jc w:val="center"/>
        <w:ind w:right="4519"/>
        <w:spacing w:after="0"/>
        <w:rPr>
          <w:sz w:val="20"/>
          <w:szCs w:val="20"/>
          <w:color w:val="auto"/>
        </w:rPr>
      </w:pPr>
      <w:r>
        <w:rPr>
          <w:rFonts w:ascii="Courier New" w:cs="Courier New" w:eastAsia="Courier New" w:hAnsi="Courier New"/>
          <w:sz w:val="18"/>
          <w:szCs w:val="18"/>
          <w:color w:val="auto"/>
        </w:rPr>
        <w:t>shareholders(7).................. $ 68.5 $ 83.4 $</w:t>
      </w:r>
    </w:p>
    <w:p>
      <w:pPr>
        <w:jc w:val="center"/>
        <w:ind w:right="4519"/>
        <w:spacing w:after="0" w:line="237" w:lineRule="auto"/>
        <w:rPr>
          <w:sz w:val="20"/>
          <w:szCs w:val="20"/>
          <w:color w:val="auto"/>
        </w:rPr>
      </w:pPr>
      <w:r>
        <w:rPr>
          <w:rFonts w:ascii="Courier New" w:cs="Courier New" w:eastAsia="Courier New" w:hAnsi="Courier New"/>
          <w:sz w:val="18"/>
          <w:szCs w:val="18"/>
          <w:color w:val="auto"/>
        </w:rPr>
        <w:t>32.1 $41.9 Basic</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EPS...................................................</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$ 3.76(8) $ 2.98 $ 1.13 $1.48 Diluted</w:t>
      </w:r>
    </w:p>
    <w:p>
      <w:pPr>
        <w:jc w:val="center"/>
        <w:ind w:right="4519"/>
        <w:spacing w:after="0" w:line="238" w:lineRule="auto"/>
        <w:rPr>
          <w:sz w:val="20"/>
          <w:szCs w:val="20"/>
          <w:color w:val="auto"/>
        </w:rPr>
      </w:pPr>
      <w:r>
        <w:rPr>
          <w:rFonts w:ascii="Courier New" w:cs="Courier New" w:eastAsia="Courier New" w:hAnsi="Courier New"/>
          <w:sz w:val="18"/>
          <w:szCs w:val="18"/>
          <w:color w:val="auto"/>
        </w:rPr>
        <w:t>EPS.................................................</w:t>
      </w:r>
    </w:p>
    <w:p>
      <w:pPr>
        <w:jc w:val="center"/>
        <w:ind w:right="4519"/>
        <w:spacing w:after="0"/>
        <w:rPr>
          <w:sz w:val="20"/>
          <w:szCs w:val="20"/>
          <w:color w:val="auto"/>
        </w:rPr>
      </w:pPr>
      <w:r>
        <w:rPr>
          <w:rFonts w:ascii="Courier New" w:cs="Courier New" w:eastAsia="Courier New" w:hAnsi="Courier New"/>
          <w:sz w:val="18"/>
          <w:szCs w:val="18"/>
          <w:color w:val="auto"/>
        </w:rPr>
        <w:t>2.57(9) 2.81 1.05 1.40</w:t>
      </w:r>
    </w:p>
    <w:p>
      <w:pPr>
        <w:spacing w:after="0" w:line="200" w:lineRule="exact"/>
        <w:rPr>
          <w:sz w:val="20"/>
          <w:szCs w:val="20"/>
          <w:color w:val="auto"/>
        </w:rPr>
      </w:pPr>
    </w:p>
    <w:p>
      <w:pPr>
        <w:spacing w:after="0" w:line="209" w:lineRule="exact"/>
        <w:rPr>
          <w:sz w:val="20"/>
          <w:szCs w:val="20"/>
          <w:color w:val="auto"/>
        </w:rPr>
      </w:pPr>
    </w:p>
    <w:p>
      <w:pPr>
        <w:ind w:right="1999" w:firstLine="8"/>
        <w:spacing w:after="0" w:line="235" w:lineRule="auto"/>
        <w:tabs>
          <w:tab w:leader="none" w:pos="52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cumulative effect of change in accounting for intangible assets, net of income tax benefit, of $(0.64) per share.</w:t>
      </w:r>
    </w:p>
    <w:p>
      <w:pPr>
        <w:spacing w:after="0" w:line="208" w:lineRule="exact"/>
        <w:rPr>
          <w:rFonts w:ascii="Courier New" w:cs="Courier New" w:eastAsia="Courier New" w:hAnsi="Courier New"/>
          <w:sz w:val="18"/>
          <w:szCs w:val="18"/>
          <w:color w:val="auto"/>
        </w:rPr>
      </w:pPr>
    </w:p>
    <w:p>
      <w:pPr>
        <w:ind w:right="1999" w:firstLine="8"/>
        <w:spacing w:after="0" w:line="235" w:lineRule="auto"/>
        <w:tabs>
          <w:tab w:leader="none" w:pos="52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cumulative effect of change in accounting for intangible assets, net of income tax benefit, of $(0.59) per share.</w:t>
      </w:r>
    </w:p>
    <w:p>
      <w:pPr>
        <w:spacing w:after="0" w:line="208" w:lineRule="exact"/>
        <w:rPr>
          <w:rFonts w:ascii="Courier New" w:cs="Courier New" w:eastAsia="Courier New" w:hAnsi="Courier New"/>
          <w:sz w:val="18"/>
          <w:szCs w:val="18"/>
          <w:color w:val="auto"/>
        </w:rPr>
      </w:pPr>
    </w:p>
    <w:p>
      <w:pPr>
        <w:ind w:right="1779" w:firstLine="8"/>
        <w:spacing w:after="0" w:line="272" w:lineRule="auto"/>
        <w:tabs>
          <w:tab w:leader="none" w:pos="527"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EBITDA is defined as income from operations, plus restructuring and other charges, depreciation and amortization. EBITDA is not intended to represent cash flow from operations as defined by generally accepted accounting principles and should not be used as an alternative to net income as an indicator of operating performance or to cash flow as a measure of liquidity. EBITDA is included in this offering memorandum because it is a basis upon which Scotts' management</w:t>
      </w:r>
    </w:p>
    <w:p>
      <w:pPr>
        <w:sectPr>
          <w:pgSz w:w="11900" w:h="16838" w:orient="portrait"/>
          <w:cols w:equalWidth="0" w:num="1">
            <w:col w:w="10219"/>
          </w:cols>
          <w:pgMar w:left="240" w:top="723" w:right="1440" w:bottom="0" w:gutter="0" w:footer="0" w:header="0"/>
        </w:sectPr>
      </w:pPr>
    </w:p>
    <w:bookmarkStart w:id="16" w:name="page17"/>
    <w:bookmarkEnd w:id="16"/>
    <w:p>
      <w:pPr>
        <w:ind w:right="1779"/>
        <w:spacing w:after="0" w:line="237" w:lineRule="auto"/>
        <w:rPr>
          <w:sz w:val="20"/>
          <w:szCs w:val="20"/>
          <w:color w:val="auto"/>
        </w:rPr>
      </w:pPr>
      <w:r>
        <w:rPr>
          <w:rFonts w:ascii="Courier New" w:cs="Courier New" w:eastAsia="Courier New" w:hAnsi="Courier New"/>
          <w:sz w:val="18"/>
          <w:szCs w:val="18"/>
          <w:color w:val="auto"/>
        </w:rPr>
        <w:t>assesses financial performance. While EBITDA is frequently used as a measure of operations and the ability to meet debt service requirements, it is not necessarily comparable to other similarly titled captions of other companies due to potential inconsistencies in the method of calculation.</w:t>
      </w: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42" w:right="1440" w:bottom="1440" w:gutter="0" w:footer="0" w:header="0"/>
        </w:sectPr>
      </w:pPr>
    </w:p>
    <w:bookmarkStart w:id="17" w:name="page18"/>
    <w:bookmarkEnd w:id="17"/>
    <w:p>
      <w:pPr>
        <w:ind w:left="3580"/>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You should carefully consider the risks described below as well as other information and data included in the prospectus and in the documents incorporated by reference before making a decision to tender your original notes in the exchange offer. The risk factors set forth below, other than the first risk factor set forth below, are generally applicable to the original notes as well as the exchange notes. If any of the following risks actually occur, our business, financial condition, operating results and prospects could be materially adversely affected, which in turn could adversely affect our ability to repay the notes.</w:t>
      </w:r>
    </w:p>
    <w:p>
      <w:pPr>
        <w:spacing w:after="0" w:line="21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IF YOU DO NOT EXCHANGE YOUR ORIGINAL NOTES PURSUANT TO THIS EXCHANGE OFFER, YOU MAY NEVER BE ABLE TO SELL YOUR ORIGINAL NOTES.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It may be difficult for you to sell original notes that are not exchanged in the exchange offer. Those notes may not be offered or sold unless they are registered or they are exempt from the registration requirements under the Securities Act and applicable state securities laws. The restrictions on transfer of your original notes arise because we issued the original notes pursuant to an exemption from the registration requirements of the Securities Act and applicable state securities laws. We do not intend to register the original notes under the Securities Act.</w:t>
      </w:r>
    </w:p>
    <w:p>
      <w:pPr>
        <w:spacing w:after="0" w:line="212"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If you do not tender your original notes or if we do not accept some of your original notes, those notes will continue to be subject to the transfer and exchange restrictions in:</w:t>
      </w:r>
    </w:p>
    <w:p>
      <w:pPr>
        <w:spacing w:after="0" w:line="203" w:lineRule="exact"/>
        <w:rPr>
          <w:sz w:val="20"/>
          <w:szCs w:val="20"/>
          <w:color w:val="auto"/>
        </w:rPr>
      </w:pPr>
    </w:p>
    <w:p>
      <w:pPr>
        <w:ind w:left="960" w:hanging="215"/>
        <w:spacing w:after="0"/>
        <w:tabs>
          <w:tab w:leader="none" w:pos="9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indenture;</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legend on the original notes; and</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offering memorandum relating to the original notes.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Moreover, to the extent original notes are tendered and accepted in the exchange offer, the trading market, if any, for the original notes would be adversely affected.</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OUR SUBSTANTIAL INDEBTEDNESS COULD ADVERSELY AFFECT OUR FINANCIAL HEALTH AND PREVENT US FROM FULFILLING OUR OBLIGATIONS.</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have a significant amount of debt. As of March 30, 2002, on an as adjusted basis after giving effect to the offering of the original notes, we had approximately $1,126.7 million of total indebtedness, approximately $593.0 million of which was senior or secured debt.</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Our substantial indebtedness could have important consequences for you. For example, it could:</w:t>
      </w:r>
    </w:p>
    <w:p>
      <w:pPr>
        <w:spacing w:after="0" w:line="208" w:lineRule="exact"/>
        <w:rPr>
          <w:sz w:val="20"/>
          <w:szCs w:val="20"/>
          <w:color w:val="auto"/>
        </w:rPr>
      </w:pPr>
    </w:p>
    <w:p>
      <w:pPr>
        <w:ind w:left="740" w:right="2319" w:firstLine="5"/>
        <w:spacing w:after="0" w:line="235" w:lineRule="auto"/>
        <w:tabs>
          <w:tab w:leader="none" w:pos="95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it more difficult for us to satisfy our obligations under the notes and otherwise;</w:t>
      </w:r>
    </w:p>
    <w:p>
      <w:pPr>
        <w:spacing w:after="0" w:line="208" w:lineRule="exact"/>
        <w:rPr>
          <w:rFonts w:ascii="Courier New" w:cs="Courier New" w:eastAsia="Courier New" w:hAnsi="Courier New"/>
          <w:sz w:val="18"/>
          <w:szCs w:val="18"/>
          <w:color w:val="auto"/>
        </w:rPr>
      </w:pPr>
    </w:p>
    <w:p>
      <w:pPr>
        <w:ind w:left="740" w:right="2199" w:firstLine="5"/>
        <w:spacing w:after="0" w:line="235" w:lineRule="auto"/>
        <w:tabs>
          <w:tab w:leader="none" w:pos="95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our vulnerability to general adverse economic and industry conditions;</w:t>
      </w:r>
    </w:p>
    <w:p>
      <w:pPr>
        <w:spacing w:after="0" w:line="208" w:lineRule="exact"/>
        <w:rPr>
          <w:rFonts w:ascii="Courier New" w:cs="Courier New" w:eastAsia="Courier New" w:hAnsi="Courier New"/>
          <w:sz w:val="18"/>
          <w:szCs w:val="18"/>
          <w:color w:val="auto"/>
        </w:rPr>
      </w:pPr>
    </w:p>
    <w:p>
      <w:pPr>
        <w:ind w:left="740" w:right="1999" w:firstLine="5"/>
        <w:spacing w:after="0" w:line="275" w:lineRule="auto"/>
        <w:tabs>
          <w:tab w:leader="none" w:pos="95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 us to dedicate a substantial portion of cash flows from operations to payments on our indebtedness, which would reduce the cash flows available to fund working capital, capital expenditures, research and development efforts and other general corporate requirements;</w:t>
      </w:r>
    </w:p>
    <w:p>
      <w:pPr>
        <w:spacing w:after="0" w:line="182" w:lineRule="exact"/>
        <w:rPr>
          <w:rFonts w:ascii="Courier New" w:cs="Courier New" w:eastAsia="Courier New" w:hAnsi="Courier New"/>
          <w:sz w:val="16"/>
          <w:szCs w:val="16"/>
          <w:color w:val="auto"/>
        </w:rPr>
      </w:pPr>
    </w:p>
    <w:p>
      <w:pPr>
        <w:ind w:left="740" w:right="1999" w:firstLine="5"/>
        <w:spacing w:after="0" w:line="235" w:lineRule="auto"/>
        <w:tabs>
          <w:tab w:leader="none" w:pos="95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our flexibility in planning for, or reacting to, changes in our business and the industry in which we operate;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8" w:name="page19"/>
    <w:bookmarkEnd w:id="18"/>
    <w:p>
      <w:pPr>
        <w:ind w:left="740" w:right="1779" w:firstLine="5"/>
        <w:spacing w:after="0" w:line="235" w:lineRule="auto"/>
        <w:tabs>
          <w:tab w:leader="none" w:pos="95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us at a competitive disadvantage compared to our competitors that have less debt;</w:t>
      </w:r>
    </w:p>
    <w:p>
      <w:pPr>
        <w:spacing w:after="0" w:line="202"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our ability to borrow additional funds; and</w:t>
      </w:r>
    </w:p>
    <w:p>
      <w:pPr>
        <w:spacing w:after="0" w:line="206" w:lineRule="exact"/>
        <w:rPr>
          <w:rFonts w:ascii="Courier New" w:cs="Courier New" w:eastAsia="Courier New" w:hAnsi="Courier New"/>
          <w:sz w:val="18"/>
          <w:szCs w:val="18"/>
          <w:color w:val="auto"/>
        </w:rPr>
      </w:pPr>
    </w:p>
    <w:p>
      <w:pPr>
        <w:ind w:left="740" w:right="1879" w:firstLine="5"/>
        <w:spacing w:after="0" w:line="279" w:lineRule="auto"/>
        <w:tabs>
          <w:tab w:leader="none" w:pos="95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expose us to risks inherent in interest rate fluctuations because some of our borrowings are at variable rates of interest, which could result in higher interest expense in the event of increases in interest rates.</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ability to make payments on and to refinance our indebtedness, including the notes, and to fund planned capital expenditures and research and development efforts will depend on our ability to generate cash in the future. This, to some extent, is subject to general economic, financial, competitive, legislative, regulatory and other factors that are beyond our control.</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We cannot assure you that our business will generate sufficient cash flow from operations or that currently anticipated cost savings and operating improvements will be realized on schedule or at all. We also cannot assure that future borrowings will be available to us under our credit facility in amounts sufficient to enable us to pay our indebtedness, including the notes, or to fund our other liquidity needs. We may need to refinance all or a portion of our indebtedness, on or before maturity. We cannot assure that we will be able to refinance any of our indebtedness on commercially reasonable terms or at all.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RESTRICTIVE COVENANTS MAY ADVERSELY AFFECT US.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indenture governing the notes contains various covenants that limit our ability to engage in specified types of transactions. These covenants limit our ability to:</w:t>
      </w:r>
    </w:p>
    <w:p>
      <w:pPr>
        <w:spacing w:after="0" w:line="209" w:lineRule="exact"/>
        <w:rPr>
          <w:sz w:val="20"/>
          <w:szCs w:val="20"/>
          <w:color w:val="auto"/>
        </w:rPr>
      </w:pPr>
    </w:p>
    <w:p>
      <w:pPr>
        <w:ind w:left="740" w:right="1779" w:firstLine="5"/>
        <w:spacing w:after="0" w:line="235" w:lineRule="auto"/>
        <w:tabs>
          <w:tab w:leader="none" w:pos="95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additional debt or issue redeemable preferred stock or subsidiary preferred stock;</w:t>
      </w:r>
    </w:p>
    <w:p>
      <w:pPr>
        <w:spacing w:after="0" w:line="202"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liens;</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or repurchase capital stock or subordinated debt;</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transactions with affiliates;</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businesses unrelated to our current businesses;</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some types of investments or sell assets; or</w:t>
      </w:r>
    </w:p>
    <w:p>
      <w:pPr>
        <w:spacing w:after="0" w:line="206" w:lineRule="exact"/>
        <w:rPr>
          <w:rFonts w:ascii="Courier New" w:cs="Courier New" w:eastAsia="Courier New" w:hAnsi="Courier New"/>
          <w:sz w:val="18"/>
          <w:szCs w:val="18"/>
          <w:color w:val="auto"/>
        </w:rPr>
      </w:pPr>
    </w:p>
    <w:p>
      <w:pPr>
        <w:ind w:left="740" w:right="2199" w:firstLine="5"/>
        <w:spacing w:after="0" w:line="235" w:lineRule="auto"/>
        <w:tabs>
          <w:tab w:leader="none" w:pos="95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 or merge with or into, or sell substantially all of our assets to, another person.</w:t>
      </w:r>
    </w:p>
    <w:p>
      <w:pPr>
        <w:spacing w:after="0" w:line="208"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In addition, our credit facility contains restrictive covenants and requires us to maintain specified financial ratios and satisfy other financial condition tests. See "Description of certain other indebtedness -- Credit facility." Our ability to meet those financial ratios and tests can be affected by events beyond our control, and we cannot assure you that we will meet those tests. A breach of any of these covenants could result in a default under our credit facility and/or the notes. Upon the occurrence of an event of default under our credit facility, the lenders could elect to declare all amounts outstanding under our credit facility to be immediately due and payable and terminate all commitments to extend further credit. If we were unable to repay those amounts, the lenders under the credit facility could proceed against the collateral granted to them to secure that indebtedness. We have pledged a significant portion of our assets as security under our credit facility. If the lenders under the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9" w:name="page20"/>
    <w:bookmarkEnd w:id="19"/>
    <w:p>
      <w:pPr>
        <w:ind w:right="1999"/>
        <w:spacing w:after="0" w:line="236" w:lineRule="auto"/>
        <w:rPr>
          <w:sz w:val="20"/>
          <w:szCs w:val="20"/>
          <w:color w:val="auto"/>
        </w:rPr>
      </w:pPr>
      <w:r>
        <w:rPr>
          <w:rFonts w:ascii="Courier New" w:cs="Courier New" w:eastAsia="Courier New" w:hAnsi="Courier New"/>
          <w:sz w:val="18"/>
          <w:szCs w:val="18"/>
          <w:color w:val="auto"/>
        </w:rPr>
        <w:t>credit facility accelerate the repayment of borrowings, we cannot assure you that we will have sufficient assets to repay our credit facility and our other indebtedness, including the notes.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September 30, 2001, we were not in compliance with the covenants pertaining to net worth, leverage and interest coverage under our credit facility. A waiver of non-compliance for these covenant violations was received in October 2001. In December 2001, we amended our credit facility resulting in the elimination or resetting of certain negative and affirmative covenants. We were in compliance with all covenants at March 30, 2002.</w:t>
      </w:r>
    </w:p>
    <w:p>
      <w:pPr>
        <w:spacing w:after="0" w:line="210"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DESPITE CURRENT INDEBTEDNESS LEVELS, WE MAY STILL BE ABLE TO INCUR SUBSTANTIALLY MORE DEBT. THIS COULD FURTHER EXACERBATE THE RISKS DESCRIBED ABOVE.</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and our subsidiaries may be able to incur substantial additional indebtedness in the future. The terms of the indenture do not fully prohibit us or our subsidiaries from doing so. Our credit facility permits additional borrowings of up to $1.1 billion. All of those borrowings would be senior to the notes and the subsidiary guarantees. If new debt is added to our current debt levels, the related risks that we and they now face could intensify.</w:t>
      </w:r>
    </w:p>
    <w:p>
      <w:pPr>
        <w:spacing w:after="0" w:line="210"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YOUR RIGHT TO RECEIVE PAYMENTS ON THE NOTES IS JUNIOR TO OUR EXISTING INDEBTEDNESS AND, POSSIBLY, ALL OF OUR FUTURE BORROWINGS.</w:t>
      </w:r>
    </w:p>
    <w:p>
      <w:pPr>
        <w:spacing w:after="0" w:line="20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The notes and the subsidiary guarantees rank behind all of our and the subsidiary guarantors' existing indebtedness and all of our and their future borrowings, except:</w:t>
      </w:r>
    </w:p>
    <w:p>
      <w:pPr>
        <w:spacing w:after="0" w:line="203" w:lineRule="exact"/>
        <w:rPr>
          <w:sz w:val="20"/>
          <w:szCs w:val="20"/>
          <w:color w:val="auto"/>
        </w:rPr>
      </w:pPr>
    </w:p>
    <w:p>
      <w:pPr>
        <w:ind w:left="960" w:hanging="215"/>
        <w:spacing w:after="0"/>
        <w:tabs>
          <w:tab w:leader="none" w:pos="9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payables; and</w:t>
      </w:r>
    </w:p>
    <w:p>
      <w:pPr>
        <w:spacing w:after="0" w:line="206" w:lineRule="exact"/>
        <w:rPr>
          <w:rFonts w:ascii="Courier New" w:cs="Courier New" w:eastAsia="Courier New" w:hAnsi="Courier New"/>
          <w:sz w:val="18"/>
          <w:szCs w:val="18"/>
          <w:color w:val="auto"/>
        </w:rPr>
      </w:pPr>
    </w:p>
    <w:p>
      <w:pPr>
        <w:ind w:left="740" w:right="2199" w:firstLine="5"/>
        <w:spacing w:after="0" w:line="236" w:lineRule="auto"/>
        <w:tabs>
          <w:tab w:leader="none" w:pos="95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future indebtedness that expressly provides that it ranks equal with, or is subordinated in right of payment to, the notes and the subsidiary guarantees.</w:t>
      </w:r>
    </w:p>
    <w:p>
      <w:pPr>
        <w:spacing w:after="0" w:line="209"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As a result, upon any distribution to our creditors or the creditors of the subsidiary guarantors in a bankruptcy, liquidation or reorganization or similar proceeding, the holders of senior debt will be entitled to be paid in full in cash before any payment may be made on the notes or the subsidiary guarantees.</w:t>
      </w:r>
    </w:p>
    <w:p>
      <w:pPr>
        <w:spacing w:after="0" w:line="18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addition, all payments on the notes and the subsidiary guarantees will be blocked in the event of a payment default on senior debt and may be blocked for up to 179 of 360 consecutive days in the event of certain non-payment defaults on senior debt.</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the event of a bankruptcy, liquidation or reorganization or similar proceeding relating to Scotts or the subsidiary guarantors, holders of the notes will participate with all other holders of subordinated indebtedness in the assets remaining after we have paid all of the senior debt. Because the indenture requires that amounts otherwise payable to holders of the notes in a bankruptcy or similar proceeding be paid to holders of senior debt, holders of the notes may receive less, ratably, than holders of trade payables in any bankruptcy or similar proceeding. In any of these cases, we and the subsidiary guarantors may not have sufficient funds to pay all of our creditors, and holders of notes may receive less, ratably, than the holders of senior debt. We will be permitted to borrow substantial additional indebtedness, including senior debt, in the future under the terms of the indenture.</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NOTES WILL BE STRUCTURALLY JUNIOR TO ALL INDEBTEDNESS OF OUR SUBSIDIARIES THAT ARE NOT GUARANTORS OF THE NOTES.</w:t>
      </w:r>
    </w:p>
    <w:p>
      <w:pPr>
        <w:spacing w:after="0" w:line="20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You will not have any claim as a creditor against our subsidiaries that are not guarantors of the notes, and indebtedness and other liabilities, including trade payables, whether secured 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20" w:name="page21"/>
    <w:bookmarkEnd w:id="20"/>
    <w:p>
      <w:pPr>
        <w:ind w:right="1779"/>
        <w:spacing w:after="0" w:line="270" w:lineRule="auto"/>
        <w:rPr>
          <w:sz w:val="20"/>
          <w:szCs w:val="20"/>
          <w:color w:val="auto"/>
        </w:rPr>
      </w:pPr>
      <w:r>
        <w:rPr>
          <w:rFonts w:ascii="Courier New" w:cs="Courier New" w:eastAsia="Courier New" w:hAnsi="Courier New"/>
          <w:sz w:val="16"/>
          <w:szCs w:val="16"/>
          <w:color w:val="auto"/>
        </w:rPr>
        <w:t>unsecured, of those subsidiaries will effectively be senior to your claims against those subsidiaries. For the year ended September 30, 2001, non-guarantor subsidiaries represent approximately 11.7% of our EBITDA but did not represent a positive percentage of our operating income or earnings before taxes. At September 30, 2001 and March 30, 2002, respectively, these subsidiaries represented approximately 26.9% and 27.3% of our total assets. As of September 30, 2001 and March 30, 2002, respectively, these subsidiaries had approximately $411 million and $558 million of outstanding liabilities, including trade payables, but excluding intercompany obligations. In addition, the indenture permits, subject to certain limitations, these subsidiaries to incur additional indebtedness and does not contain any limitation on the amount of other liabilities, such as trade payables, that may be incurred by these subsidiaries.</w:t>
      </w:r>
    </w:p>
    <w:p>
      <w:pPr>
        <w:spacing w:after="0" w:line="39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YOUR ABILITY TO RECEIVE PAYMENTS ON THESE NOTES IS JUNIOR TO THOSE LENDERS WHO HAVE A SECURITY INTEREST IN OUR ASSETS.</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notes will not be secured by any of our assets. However, our obligations under our credit facility are, subject to certain exceptions, secured by a first priority security interest in substantially all of our assets. If we become insolvent or are liquidated, or if payments under our credit facility are accelerated, the lenders under our credit facility would be entitled to exercise the remedies available to secured lenders. Accordingly, these lenders will have a claim on substantially all of our assets and will have priority over any claim for payment under the notes or the guarantees. In any such event, because the notes will not be secured by any of our assets, it is possible that there would be no assets remaining from which claims of the holders of the notes could be satisfied or, if any assets remained, they might be insufficient to satisfy such claims fully.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ADVERSE WEATHER CONDITIONS COULD ADVERSELY IMPACT FINANCIAL RESULTS.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Weather conditions in North America and Europe have a significant impact on the timing of sales in the spring selling season and overall annual sales. Periods of wet weather can slow fertilizer sales, while periods of dry, hot weather can decrease pesticide sales. In addition, an abnormally cold spring throughout North America and/or Europe could adversely affect both fertilizer and pesticide sales and therefore our financial results.</w:t>
      </w:r>
    </w:p>
    <w:p>
      <w:pPr>
        <w:spacing w:after="0" w:line="210"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OUR HISTORICAL SEASONALITY COULD IMPAIR OUR ABILITY TO PAY OBLIGATIONS AS THEY COME DUE IN ADDITION TO OUR OPERATING EXPENSES.</w:t>
      </w:r>
    </w:p>
    <w:p>
      <w:pPr>
        <w:spacing w:after="0" w:line="20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Because our products are used primarily in the spring and summer, our business is highly seasonal. For the past two fiscal years, approximately 75% to 77% of our net sales have occurred in the second and third fiscal quarters combined. We believe that for this fiscal year a significant portion of the sales historically made by Scotts in the second fiscal quarter will be made in the third fiscal quarter because Scotts' major customers have implemented general policies to reduce their on hand inventories. The foregoing is our assessment of current trends related to our customers' changing inventory management practices; however, there can be no assurances that the fiscal year 2002 revenue shortfall experienced through the second quarter of fiscal year 2002 will be recovered during the balance of fiscal year 2002, or at all. Our working capital needs and our borrowings peak near the middle of our second fiscal quarter because we are generating fewer revenues while incurring expenditures in preparation for the spring selling season. If cash on hand is insufficient to pay our obligations as they come due, including interest payments on our indebtedness, or our operating expenses, at a time when we are unable to draw on our credit facility, this seasonality could have a material adverse</w:t>
      </w:r>
    </w:p>
    <w:p>
      <w:pPr>
        <w:spacing w:after="0" w:line="18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21" w:name="page22"/>
    <w:bookmarkEnd w:id="21"/>
    <w:p>
      <w:pPr>
        <w:ind w:right="1879"/>
        <w:spacing w:after="0" w:line="235" w:lineRule="auto"/>
        <w:rPr>
          <w:sz w:val="20"/>
          <w:szCs w:val="20"/>
          <w:color w:val="auto"/>
        </w:rPr>
      </w:pPr>
      <w:r>
        <w:rPr>
          <w:rFonts w:ascii="Courier New" w:cs="Courier New" w:eastAsia="Courier New" w:hAnsi="Courier New"/>
          <w:sz w:val="18"/>
          <w:szCs w:val="18"/>
          <w:color w:val="auto"/>
        </w:rPr>
        <w:t>affect on our ability to conduct our business. Adverse weather conditions could heighten this risk.</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PUBLIC PERCEPTIONS THAT THE PRODUCTS WE PRODUCE AND MARKET ARE NOT SAFE COULD ADVERSELY AFFECT US.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manufacture and market a number of complex chemical products, such as fertilizers, growing media, herbicides and pesticides, bearing one of our brands. On occasion, customers and some current or former employees have alleged that some products failed to perform up to expectations or have caused damage or injury to individuals or property. Public perception that our products are not safe, whether justified or not, could impair our reputation, damage our brand names and materially adversely affect our business.</w:t>
      </w:r>
    </w:p>
    <w:p>
      <w:pPr>
        <w:spacing w:after="0" w:line="21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BECAUSE OF THE CONCENTRATION OF OUR SALES TO A SMALL NUMBER OF RETAIL CUSTOMERS, THE LOSS OF ONE OR MORE OF OUR TOP CUSTOMERS COULD ADVERSELY AFFECT OUR FINANCIAL RESULTS.</w:t>
      </w:r>
    </w:p>
    <w:p>
      <w:pPr>
        <w:spacing w:after="0" w:line="209"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Our top 10 North American retail customers together accounted for approximately 70% of our fiscal year 2001 net sales and 37% of our outstanding accounts receivable as of September 30, 2001. Our top four customers, Home Depot, Wal-Mart, Kmart and Lowe's represented approximately 25%, 12%, 8% and 7%, respectively, of our fiscal year 2001 net sales and continue to be significant customers in fiscal 2002. These customers hold significant positions in the retail lawn and garden market. The loss of, or reduction in orders from, Home Depot, Wal-Mart, Kmart, Lowe's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w:t>
      </w:r>
    </w:p>
    <w:p>
      <w:pPr>
        <w:spacing w:after="0" w:line="39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We do not have long-term sales agreements or other contractual assurances as to future sales to any of our major retail customers. In addition, continued consolidation in the retail industry has resulted in an increasingly concentrated retail base. To the extent such concentration continues to occur, our net sales and operating income may be increasingly sensitive to a deterioration in the financial condition of, or other adverse developments involving our relationship with, one or more customers. As a result of consolidation in the retail industry, our customers are able to exert increasing pressure on us with respect to pricing and new product introductions.</w:t>
      </w:r>
    </w:p>
    <w:p>
      <w:pPr>
        <w:spacing w:after="0" w:line="388"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Kmart, one of our top customers, filed for bankruptcy relief under Chapter 11 of the bankruptcy code on January 22, 2002. Following such filing, we recommenced shipping products to Kmart, and we intend to continue shipping products to Kmart for the foreseeable future. If Kmart does not successfully emerge from its bankruptcy reorganization, our business could be adversely affected.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MONSANTO WERE TO TERMINATE THE MARKETING AGREEMENT FOR CONSUMER ROUNDUP(R)</w:t>
      </w:r>
    </w:p>
    <w:p>
      <w:pPr>
        <w:spacing w:after="0" w:line="238" w:lineRule="auto"/>
        <w:rPr>
          <w:sz w:val="20"/>
          <w:szCs w:val="20"/>
          <w:color w:val="auto"/>
        </w:rPr>
      </w:pPr>
      <w:r>
        <w:rPr>
          <w:rFonts w:ascii="Courier New" w:cs="Courier New" w:eastAsia="Courier New" w:hAnsi="Courier New"/>
          <w:sz w:val="18"/>
          <w:szCs w:val="18"/>
          <w:color w:val="auto"/>
        </w:rPr>
        <w:t>PRODUCTS, WE WOULD LOSE A SUBSTANTIAL SOURCE OF FUTURE EARNINGS.</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If we were to commit a serious default under the marketing agreement with Monsanto for consumer Roundup(R) products, Monsanto may have the right to terminate the agreement. If Monsanto were to terminate the marketing agreement rightfully, we would not be entitled to any termination fee, and we would lose all, or a significant portion, of the significant source of earnings we believe the marketing agreement provides. Monsanto may also be able to</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22" w:name="page23"/>
    <w:bookmarkEnd w:id="22"/>
    <w:p>
      <w:pPr>
        <w:ind w:right="2419"/>
        <w:spacing w:after="0" w:line="236" w:lineRule="auto"/>
        <w:rPr>
          <w:sz w:val="20"/>
          <w:szCs w:val="20"/>
          <w:color w:val="auto"/>
        </w:rPr>
      </w:pPr>
      <w:r>
        <w:rPr>
          <w:rFonts w:ascii="Courier New" w:cs="Courier New" w:eastAsia="Courier New" w:hAnsi="Courier New"/>
          <w:sz w:val="18"/>
          <w:szCs w:val="18"/>
          <w:color w:val="auto"/>
        </w:rPr>
        <w:t>terminate the marketing agreement within a given region, including North America, without paying us a termination fee if sales to consumers in that region decline:</w:t>
      </w:r>
    </w:p>
    <w:p>
      <w:pPr>
        <w:spacing w:after="0" w:line="203" w:lineRule="exact"/>
        <w:rPr>
          <w:sz w:val="20"/>
          <w:szCs w:val="20"/>
          <w:color w:val="auto"/>
        </w:rPr>
      </w:pPr>
    </w:p>
    <w:p>
      <w:pPr>
        <w:ind w:left="960" w:hanging="215"/>
        <w:spacing w:after="0"/>
        <w:tabs>
          <w:tab w:leader="none" w:pos="9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 a cumulative three fiscal year period; or</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more than 5% for each of two consecutive fiscal years.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EXPIRATION OF PATENTS RELATING TO ROUNDUP(R) AND THE SCOTTS TURF BUILDER(R) LINE OF PRODUCTS COULD SUBSTANTIALLY INCREASE OUR COMPETITION IN THE UNITED STATES.</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Glyphosate, the active ingredient in Roundup(R), was subject to a patent in the United States that expired in September 2000. We cannot predict the success of Roundup(R) now that glyphosate is no longer patented. Substantial new competition in the United States could adversely affect us. Glyphosate is no longer subject to patent in Europe and is not subject to patent in Canada. While sales of Roundup(R) in such countries have continued to increase despite the lack of patent protection, sales in the United States may decline as a result of increased competition. Any such decline in sales would adversely affect our financial results through the reduction of commissions as calculated under the Roundup(R) marketing agreement. We are aware that Spectrum Brands produced glyphosate one-gallon products for Home Depot and Lowe's to be sold under the Real- Kill(R) and No-Pest(R) brand names, respectively, in fiscal year 2001. Additional competitive products have been introduced in fiscal year 2002. It is too early to determine whether these product introductions will have a material adverse effect on our sales of Roundup(R).</w:t>
      </w:r>
    </w:p>
    <w:p>
      <w:pPr>
        <w:spacing w:after="0" w:line="38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Our methylene-urea product composition patent, which covered Scotts Turf Builder(R), Scotts Turf Builder(R) Plus 2(R) with Weed Control and Scotts Turf Builder(R) with Halts(R) Crabgrass Preventer, expired in July 2001. This could also result in increased competition. Any decline in sales of Turf Builder(R)products after the expiration of the methylene-urea product composition patent could adversely affect our financial results.</w:t>
      </w:r>
    </w:p>
    <w:p>
      <w:pPr>
        <w:spacing w:after="0" w:line="210"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HAGEDORN PARTNERSHIP L.P. BENEFICIALLY OWNS APPROXIMATELY 40% OF THE OUTSTANDING COMMON SHARES OF SCOTTS ON A FULLY DILUTED BASIS.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Hagedorn Partnership L.P. beneficially owns approximately 40% of the outstanding common shares of Scotts on a fully diluted basis and has sufficient voting power to significantly influence the election of directors and the approval of other actions requiring the approval of our shareholders.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COMPLIANCE WITH ENVIRONMENTAL AND OTHER PUBLIC HEALTH REGULATIONS COULD INCREASE OUR COST OF DOING BUSINESS.</w:t>
      </w:r>
    </w:p>
    <w:p>
      <w:pPr>
        <w:spacing w:after="0" w:line="20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Local, state, federal and foreign laws and regulations relating to environmental matters affect us in several ways. In the United States, all products containing pesticides must be registered with the United States Environmental Protection Agency ("U.S. EPA") and, in many cases, similar state agencies before they can be sold. The inability to obtain or the cancellation of any registration could have an adverse effect on our business.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18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Food Quality Protection Act, enacted by the U.S. Congress in August 1996, establishes a standard for food-use pesticides, which is that a reasonable certainty of no harm will result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2" w:right="1440" w:bottom="1440" w:gutter="0" w:footer="0" w:header="0"/>
        </w:sectPr>
      </w:pPr>
    </w:p>
    <w:bookmarkStart w:id="23" w:name="page24"/>
    <w:bookmarkEnd w:id="23"/>
    <w:p>
      <w:pPr>
        <w:ind w:right="1779"/>
        <w:spacing w:after="0" w:line="270" w:lineRule="auto"/>
        <w:rPr>
          <w:sz w:val="20"/>
          <w:szCs w:val="20"/>
          <w:color w:val="auto"/>
        </w:rPr>
      </w:pPr>
      <w:r>
        <w:rPr>
          <w:rFonts w:ascii="Courier New" w:cs="Courier New" w:eastAsia="Courier New" w:hAnsi="Courier New"/>
          <w:sz w:val="16"/>
          <w:szCs w:val="16"/>
          <w:color w:val="auto"/>
        </w:rPr>
        <w:t>from the cumulative effect of pesticide exposures. Under this act, the U.S. EPA is evaluating the cumulative risks from dietary and non-dietary exposures to pesticides. The pesticides in our products, certain of which may be used on crops processed into various food products, continue to be evaluated by the U.S. EPA as part of this exposure risk assessment. It is possible that the U.S. EPA or a third party active ingredient registrant may decide that a pesticide we use in our products will be limited or made unavailable to us. For example, in June 2000, DowAgroSciences, an active ingredient registrant, voluntarily agreed to a gradual phase-out of residential uses of chlorpyrifos, an active ingredient used by us in our lawn and garden products. In December 2000, the U.S. EPA reached agreement with various parties, including manufacturers of the active ingredient diazinon, regarding a phased withdrawal of residential uses of products containing diazinon, used also by us in our lawn and garden products. We cannot predict the outcome or the severity of the effect of the U.S. EPA's continuing evaluations of active ingredients used in our products.</w:t>
      </w:r>
    </w:p>
    <w:p>
      <w:pPr>
        <w:spacing w:after="0" w:line="38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use of certain pesticide and fertilizer products is regulated by various local, state, federal and foreign environmental and public health agencies. Regulations regarding the use of some pesticide and fertilizer products may include requirements that only certified or professional users apply the product, that the products be used only in specified locations or that certain ingredients not be used. Users may be required to post notices on properties to which products have been or will be applied and may be required to notify individuals in the vicinity that products will be applied in the future. Even if we are able to comply with all such regulations and obtain all necessary registrations, we cannot assure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208"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legislation.</w:t>
      </w:r>
    </w:p>
    <w:p>
      <w:pPr>
        <w:spacing w:after="0" w:line="18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addition to the regulations already described, local, state, federal and foreign agencies regulate the disposal, handling and storage of waste, air and water discharges from our facilities. In June 1997, the Ohio Environmental Protection Agency ("Ohio EPA") initiated an enforcement action against us with respect to alleged surface water violations and inadequate treatment capabilities at our Marysville facility and seeking corrective action under the Resource Conservation Recovery Act. We have met with the Ohio EPA and the Ohio Attorney General's office to negotiate an amicable resolution of these issues. On December 3, 2001, an agreed judicial Consent Order was submitted to the Union County Common Pleas Court and was entered by the court on January 25, 2002.</w:t>
      </w:r>
    </w:p>
    <w:p>
      <w:pPr>
        <w:spacing w:after="0" w:line="386"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For the six months ended March 30, 2002, we made approximately $1.5 million in environmental capital expenditures, compared with approximately $0.6 million in environmental capital expenditures and $2.1 million in other environmental expenses for the entire fiscal year 2001. Management anticipates that environmental capital expenditures and other environmental expenses for the remainder of fiscal year 2002 will not differ significantly from those incurred in fiscal year 2001. The adequacy of these anticipated future expenditures is</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24" w:name="page25"/>
    <w:bookmarkEnd w:id="24"/>
    <w:p>
      <w:pPr>
        <w:ind w:right="1999"/>
        <w:spacing w:after="0" w:line="290" w:lineRule="auto"/>
        <w:rPr>
          <w:sz w:val="20"/>
          <w:szCs w:val="20"/>
          <w:color w:val="auto"/>
        </w:rPr>
      </w:pPr>
      <w:r>
        <w:rPr>
          <w:rFonts w:ascii="Courier New" w:cs="Courier New" w:eastAsia="Courier New" w:hAnsi="Courier New"/>
          <w:sz w:val="16"/>
          <w:szCs w:val="16"/>
          <w:color w:val="auto"/>
        </w:rPr>
        <w:t>based on our operating in substantial compliance with applicable environmental and public health laws and regulations and several significant assumptions:</w:t>
      </w:r>
    </w:p>
    <w:p>
      <w:pPr>
        <w:spacing w:after="0" w:line="170" w:lineRule="exact"/>
        <w:rPr>
          <w:sz w:val="20"/>
          <w:szCs w:val="20"/>
          <w:color w:val="auto"/>
        </w:rPr>
      </w:pPr>
    </w:p>
    <w:p>
      <w:pPr>
        <w:ind w:left="740" w:right="2419" w:firstLine="5"/>
        <w:spacing w:after="0" w:line="235" w:lineRule="auto"/>
        <w:tabs>
          <w:tab w:leader="none" w:pos="95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we have identified all of the significant sites that must be remediated;</w:t>
      </w:r>
    </w:p>
    <w:p>
      <w:pPr>
        <w:spacing w:after="0" w:line="208" w:lineRule="exact"/>
        <w:rPr>
          <w:rFonts w:ascii="Courier New" w:cs="Courier New" w:eastAsia="Courier New" w:hAnsi="Courier New"/>
          <w:sz w:val="18"/>
          <w:szCs w:val="18"/>
          <w:color w:val="auto"/>
        </w:rPr>
      </w:pPr>
    </w:p>
    <w:p>
      <w:pPr>
        <w:ind w:left="740" w:right="2199" w:firstLine="5"/>
        <w:spacing w:after="0" w:line="235" w:lineRule="auto"/>
        <w:tabs>
          <w:tab w:leader="none" w:pos="95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there are no significant conditions of potential contamination that are unknown to us; and</w:t>
      </w:r>
    </w:p>
    <w:p>
      <w:pPr>
        <w:spacing w:after="0" w:line="208" w:lineRule="exact"/>
        <w:rPr>
          <w:rFonts w:ascii="Courier New" w:cs="Courier New" w:eastAsia="Courier New" w:hAnsi="Courier New"/>
          <w:sz w:val="18"/>
          <w:szCs w:val="18"/>
          <w:color w:val="auto"/>
        </w:rPr>
      </w:pPr>
    </w:p>
    <w:p>
      <w:pPr>
        <w:ind w:left="740" w:right="2099" w:firstLine="5"/>
        <w:spacing w:after="0" w:line="237" w:lineRule="auto"/>
        <w:tabs>
          <w:tab w:leader="none" w:pos="95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there is a significant change in the facts and circumstances surrounding these assumptions or if we are found not to be in substantial compliance with applicable environmental and public health laws and regulations, it could have a material impact on future environmental capital expenditures and other environmental expenses and our results of operations, financial position and cash flows.</w:t>
      </w:r>
    </w:p>
    <w:p>
      <w:pPr>
        <w:spacing w:after="0" w:line="210"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OUR SIGNIFICANT INTERNATIONAL OPERATIONS MAKE US MORE SUSCEPTIBLE TO FLUCTUATIONS IN CURRENCY EXCHANGE RATES AND TO THE COSTS OF INTERNATIONAL REGULATION.</w:t>
      </w: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We currently operate manufacturing, sales and service facilities outside of North America, particularly in the United Kingdom, Germany and France. Our international operations have increased with the acquisitions of Levington, Miracle Garden Care Limited, Ortho and Rhone-Poulenc Jardin and with the marketing agreement for consumer Roundup(R) products. In fiscal year 2001, international sales accounted for approximately 20% of our total sales. Accordingly, we are subject to risks associated with operations in foreign countries, including:</w:t>
      </w:r>
    </w:p>
    <w:p>
      <w:pPr>
        <w:spacing w:after="0" w:line="207" w:lineRule="exact"/>
        <w:rPr>
          <w:sz w:val="20"/>
          <w:szCs w:val="20"/>
          <w:color w:val="auto"/>
        </w:rPr>
      </w:pPr>
    </w:p>
    <w:p>
      <w:pPr>
        <w:ind w:left="960" w:hanging="215"/>
        <w:spacing w:after="0"/>
        <w:tabs>
          <w:tab w:leader="none" w:pos="9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fluctuations in currency exchange rates;</w:t>
      </w:r>
    </w:p>
    <w:p>
      <w:pPr>
        <w:spacing w:after="0" w:line="206"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the conversion of foreign currencies into U.S. dollars;</w:t>
      </w:r>
    </w:p>
    <w:p>
      <w:pPr>
        <w:spacing w:after="0" w:line="223" w:lineRule="exact"/>
        <w:rPr>
          <w:rFonts w:ascii="Courier New" w:cs="Courier New" w:eastAsia="Courier New" w:hAnsi="Courier New"/>
          <w:sz w:val="16"/>
          <w:szCs w:val="16"/>
          <w:color w:val="auto"/>
        </w:rPr>
      </w:pPr>
    </w:p>
    <w:p>
      <w:pPr>
        <w:ind w:left="740" w:right="2519" w:firstLine="5"/>
        <w:spacing w:after="0" w:line="235" w:lineRule="auto"/>
        <w:tabs>
          <w:tab w:leader="none" w:pos="95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the remittance of dividends and other payments by foreign subsidiaries;</w:t>
      </w:r>
    </w:p>
    <w:p>
      <w:pPr>
        <w:spacing w:after="0" w:line="202"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costs of compliance with local regulations; and</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historically, higher rates of inflation than in the United States.</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related to our international operations could adversely affect our operations and financial results in the future.</w:t>
      </w:r>
    </w:p>
    <w:p>
      <w:pPr>
        <w:spacing w:after="0" w:line="18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WE MAY NOT HAVE THE ABILITY TO RAISE THE FUNDS NECESSARY TO FINANCE THE CHANGE OF CONTROL OFFER REQUIRED BY THE INDENTURE.</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Upon the occurrence of specific kinds of change of control events, we will be required to offer to repurchase all outstanding notes at 101% of their principal amount. It is possible that we will not have sufficient funds at the time of the change of control to make the required repurchase of notes or that restrictions in our credit facility will not allow repurchases. Accordingly, we may not be able to satisfy our obligations to purchase your notes unless we are able to refinance or obtain waivers under our credit facility. Our credit agreement also provides that a change of control will be a default that permits lenders to accelerate the</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5" w:name="page26"/>
    <w:bookmarkEnd w:id="25"/>
    <w:p>
      <w:pPr>
        <w:ind w:right="1779"/>
        <w:spacing w:after="0" w:line="237" w:lineRule="auto"/>
        <w:rPr>
          <w:sz w:val="20"/>
          <w:szCs w:val="20"/>
          <w:color w:val="auto"/>
        </w:rPr>
      </w:pPr>
      <w:r>
        <w:rPr>
          <w:rFonts w:ascii="Courier New" w:cs="Courier New" w:eastAsia="Courier New" w:hAnsi="Courier New"/>
          <w:sz w:val="18"/>
          <w:szCs w:val="18"/>
          <w:color w:val="auto"/>
        </w:rPr>
        <w:t>maturity of all borrowings thereunder. Any of our future debt agreements may contain similar provisions. In addition, important corporate events, such as leveraged recapitalizations that would increase the level of our indebtedness, would not constitute a "Change of Control" under the indenture. Therefore, if an event occurs that does not constitute a "Change of Control," we will not be required to make a repurchase offer, and you may be required to continue to hold your notes despite the event. For more detail, see the "Description of notes" section under the heading "Repurchase at the option of holders -- Change of control."</w:t>
      </w:r>
    </w:p>
    <w:p>
      <w:pPr>
        <w:spacing w:after="0" w:line="21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FEDERAL AND STATE STATUTES ALLOW COURTS, UNDER SPECIFIC CIRCUMSTANCES, TO VOID THE GUARANTEES AND REQUIRE NOTEHOLDERS TO RETURN PAYMENTS RECEIVED FROM SUBSIDIARY GUARANTORS.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Under the federal bankruptcy law and comparable provisions of state fraudulent transfer laws, the subsidiary guarantees could be voided. Alternatively, claims in respect of the subsidiary guarantees could be subordinated to all other debts of any subsidiary guarantor. Either of these events could occur if the subsidiary guarantor, at the time it incurred the indebtedness evidenced by its subsidiary guarantee, received less than reasonably equivalent value or fair consideration for the incurrence of such indebtedness, and:</w:t>
      </w:r>
    </w:p>
    <w:p>
      <w:pPr>
        <w:spacing w:after="0" w:line="211" w:lineRule="exact"/>
        <w:rPr>
          <w:sz w:val="20"/>
          <w:szCs w:val="20"/>
          <w:color w:val="auto"/>
        </w:rPr>
      </w:pPr>
    </w:p>
    <w:p>
      <w:pPr>
        <w:ind w:left="740" w:right="1879" w:firstLine="5"/>
        <w:spacing w:after="0" w:line="235" w:lineRule="auto"/>
        <w:tabs>
          <w:tab w:leader="none" w:pos="95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was insolvent or rendered insolvent by reason of the incurrence of the indebtedness; or</w:t>
      </w:r>
    </w:p>
    <w:p>
      <w:pPr>
        <w:spacing w:after="0" w:line="208" w:lineRule="exact"/>
        <w:rPr>
          <w:rFonts w:ascii="Courier New" w:cs="Courier New" w:eastAsia="Courier New" w:hAnsi="Courier New"/>
          <w:sz w:val="18"/>
          <w:szCs w:val="18"/>
          <w:color w:val="auto"/>
        </w:rPr>
      </w:pPr>
    </w:p>
    <w:p>
      <w:pPr>
        <w:ind w:left="740" w:right="1999" w:firstLine="5"/>
        <w:spacing w:after="0" w:line="290" w:lineRule="auto"/>
        <w:tabs>
          <w:tab w:leader="none" w:pos="95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engaged in a business or transaction for which the subsidiary guarantor's remaining assets constituted unreasonably small capital; or</w:t>
      </w:r>
    </w:p>
    <w:p>
      <w:pPr>
        <w:spacing w:after="0" w:line="169" w:lineRule="exact"/>
        <w:rPr>
          <w:rFonts w:ascii="Courier New" w:cs="Courier New" w:eastAsia="Courier New" w:hAnsi="Courier New"/>
          <w:sz w:val="16"/>
          <w:szCs w:val="16"/>
          <w:color w:val="auto"/>
        </w:rPr>
      </w:pPr>
    </w:p>
    <w:p>
      <w:pPr>
        <w:ind w:left="740" w:right="2099" w:firstLine="5"/>
        <w:spacing w:after="0" w:line="235" w:lineRule="auto"/>
        <w:tabs>
          <w:tab w:leader="none" w:pos="95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intended to incur, or believed that it would incur, debts beyond its ability to pay as they mature.</w:t>
      </w:r>
    </w:p>
    <w:p>
      <w:pPr>
        <w:spacing w:after="0" w:line="20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In addition, any payment by any subsidiary guarantor under a subsidiary guarantee could be voided and required to be returned to the subsidiary guarantor, or to a fund for the benefit of the creditors of the subsidiary guarantor.</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measures of insolvency for purposes of these fraudulent transfer laws will vary depending upon the law applied in any proceeding to determine whether a fraudulent transfer has occurred. Generally, however, a subsidiary guarantor would be considered insolvent if:</w:t>
      </w:r>
    </w:p>
    <w:p>
      <w:pPr>
        <w:spacing w:after="0" w:line="207" w:lineRule="exact"/>
        <w:rPr>
          <w:sz w:val="20"/>
          <w:szCs w:val="20"/>
          <w:color w:val="auto"/>
        </w:rPr>
      </w:pPr>
    </w:p>
    <w:p>
      <w:pPr>
        <w:ind w:left="740" w:right="2099" w:firstLine="5"/>
        <w:spacing w:after="0" w:line="235" w:lineRule="auto"/>
        <w:tabs>
          <w:tab w:leader="none" w:pos="951"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 its debts, including contingent liabilities, were greater than the fair salable value of all of its assets; or</w:t>
      </w:r>
    </w:p>
    <w:p>
      <w:pPr>
        <w:spacing w:after="0" w:line="208" w:lineRule="exact"/>
        <w:rPr>
          <w:rFonts w:ascii="Courier New" w:cs="Courier New" w:eastAsia="Courier New" w:hAnsi="Courier New"/>
          <w:sz w:val="18"/>
          <w:szCs w:val="18"/>
          <w:color w:val="auto"/>
        </w:rPr>
      </w:pPr>
    </w:p>
    <w:p>
      <w:pPr>
        <w:ind w:left="740" w:right="1779" w:firstLine="5"/>
        <w:spacing w:after="0" w:line="237" w:lineRule="auto"/>
        <w:tabs>
          <w:tab w:leader="none" w:pos="951"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present fair salable value of its assets were less than the amount that would be required to pay its probable liability on its existing debts, including contingent liabilities, as they become absolute and mature; or</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could not pay its debts as they become due.</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We cannot be certain as to the standards a court would use to determine whether or not the subsidiary guarantors were solvent at the relevant time, or regardless of the standard that a court uses, that the issuance of the guarantees would not be subordinated to the subsidiary guarantor's other debt.</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the subsidiary guarantees were legally challenged, any guarantee could also be subject to the claim that, since the guarantee was incurred for our benefit, and only indirectly for the benefit of the subsidiary guarantor, the obligations of the applicable subsidiary guarantor were incurred for less than fair consideration.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6" w:name="page27"/>
    <w:bookmarkEnd w:id="26"/>
    <w:p>
      <w:pPr>
        <w:ind w:right="2199"/>
        <w:spacing w:after="0" w:line="236" w:lineRule="auto"/>
        <w:rPr>
          <w:sz w:val="20"/>
          <w:szCs w:val="20"/>
          <w:color w:val="auto"/>
        </w:rPr>
      </w:pPr>
      <w:r>
        <w:rPr>
          <w:rFonts w:ascii="Courier New" w:cs="Courier New" w:eastAsia="Courier New" w:hAnsi="Courier New"/>
          <w:sz w:val="18"/>
          <w:szCs w:val="18"/>
          <w:color w:val="auto"/>
        </w:rPr>
        <w:t>A court could thus void the obligations under the subsidiary guarantees, subordinate them to the applicable subsidiary guarantor's other debt or take other action detrimental to the holders of the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 CANNOT BE SURE THAT AN ACTIVE TRADING MARKET WILL DEVELOP FOR THE NOTES.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notes are a new issue of securities with no established trading market and will not be listed on any securities exchange. We have been informed by the initial purchasers that they intend to make a market in the exchange notes if the exchange offer is completed. However, they may cease their market-making at any time. In addition, the liquidity of the trading market in the notes, and the market price quoted for the notes, may be adversely affected by changes in the overall market for high yield securities and by changes in our financial performance or prospects or in the prospects for companies in our industry generally. As a result, you cannot be sure that an active trading market will develop for the notes. Historically, the market for non-investment grade debt has been subject to disruptions that have caused volatility in prices. It is possible that the market for the exchange notes will be subject to disruptions. Any such disruption may have a negative effect on you as the holder of the note or, if issued, the exchange note, regardless of our prospects or financial performance.</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TERRORIST ATTACKS, SUCH AS THE ATTACKS THAT OCCURRED IN NEW YORK AND WASHINGTON, DC, ON SEPTEMBER 11, 2001, AND OTHER ACTS OF VIOLENCE OR WAR MAY AFFECT THE MARKETS ON WHICH THE NOTES TRADE, THE MARKETS IN WHICH WE OPERATE, OUR OPERATIONS AND OUR PROFITABILITY.</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Terrorist attacks may negatively affect our operations and your investment. There can be no assurance that there will not be further terrorist attacks against the United States or U.S. businesses. These attacks or armed conflicts may directly impact our physical facilities or those of our suppliers or customers. Furthermore, these attacks may make travel and the transportation of our supplies and products more difficult and more expensive and ultimately affect our sales. Also as a result of terrorism, the United States has entered into an armed conflict which could have a further impact on our sales, our supply chain, and our ability to deliver product to our customers. Political and economic instability in some regions of the world may also result and could negatively impact our business. The consequences of any of these armed conflicts are unpredictable, and we may not be able to foresee events that could have an adverse effect on our business or your investment. More generally, any of these events could cause consumer confidence and spending to decrease or result in increased volatility in the United States and worldwide financial markets and economy. They also could result in economic recession in the United States or abroad. Any of these occurrences could have a significant impact on our operating results, revenues and costs and may result in the volatility of the market price for our securities and on the future price of our securities.</w:t>
      </w:r>
    </w:p>
    <w:p>
      <w:pPr>
        <w:spacing w:after="0" w:line="38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27" w:name="page28"/>
    <w:bookmarkEnd w:id="27"/>
    <w:p>
      <w:pPr>
        <w:ind w:left="3280"/>
        <w:spacing w:after="0"/>
        <w:rPr>
          <w:sz w:val="20"/>
          <w:szCs w:val="20"/>
          <w:color w:val="auto"/>
        </w:rPr>
      </w:pPr>
      <w:r>
        <w:rPr>
          <w:rFonts w:ascii="Courier New" w:cs="Courier New" w:eastAsia="Courier New" w:hAnsi="Courier New"/>
          <w:sz w:val="18"/>
          <w:szCs w:val="18"/>
          <w:color w:val="auto"/>
        </w:rPr>
        <w:t>THE EXCHANGE OFFER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 OF THE EXCHANGE OFFER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issued the original notes on February 6, 2002 to J.P. Morgan Securities Inc., Banc of America Securities LLC; First Union Securities, Inc.; ABN AMRO Incorporated and Credit Lyonnais Securities (USA) Inc., the initial purchasers, pursuant to a purchase agreement. The initial purchasers subsequently sold the original notes to "qualified institutional buyers," as defined in Rule 144A under the Securities Act, in reliance on Rule 144A, and outside the United States under Regulation S of the Securities Act. As a condition to the sale of the original notes, we entered into a registration rights agreement with the initial purchasers on February 6, 2002.</w:t>
      </w:r>
    </w:p>
    <w:p>
      <w:pPr>
        <w:spacing w:after="0" w:line="21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Pursuant to the registration rights agreement, we agreed that we would use our reasonable best efforts (1) to file with the SEC and cause to become effective a registration statement with respect to an exchange offer for the original notes,</w:t>
      </w:r>
    </w:p>
    <w:p>
      <w:pPr>
        <w:spacing w:after="0" w:line="1" w:lineRule="exact"/>
        <w:rPr>
          <w:sz w:val="20"/>
          <w:szCs w:val="20"/>
          <w:color w:val="auto"/>
        </w:rPr>
      </w:pPr>
    </w:p>
    <w:p>
      <w:pPr>
        <w:ind w:right="1779" w:firstLine="8"/>
        <w:spacing w:after="0" w:line="237" w:lineRule="auto"/>
        <w:tabs>
          <w:tab w:leader="none" w:pos="421"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keep the exchange offer open for at least 20 business days after the date we mail notice of the exchange offer to the noteholders and (3) to complete the exchange offer within 30 days after the effective date of the registration statement.</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We filed a copy of the registration rights agreement as an exhibit to the registration statement.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RESALE OF THE EXCHANGE NOTES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Based upon an interpretation by the staff of the SEC contained in no-action letters issued to third parties, we believe that you may exchange original notes for exchange notes in the ordinary course of business. For further information on the SEC's position, see Exxon Capital Holdings Corporation, available May 13, 1988, Morgan Stanley &amp; Co. Incorporated, available June 5, 1991 and Shearman &amp; Sterling, available July 2, 1993, and other interpretive letters to similar effect. You will be allowed to resell exchange notes to the public without further registration under the Securities Act and without delivering to purchasers of the exchange notes a prospectus that satisfies the requirements of Section 10 of the Securities Act so long as you do not participate, do not intend to participate, and have no arrangement with any person to participate, in a distribution of the exchange notes. However, the foregoing does not apply to you if you are:</w:t>
      </w:r>
    </w:p>
    <w:p>
      <w:pPr>
        <w:spacing w:after="0" w:line="207" w:lineRule="exact"/>
        <w:rPr>
          <w:sz w:val="20"/>
          <w:szCs w:val="20"/>
          <w:color w:val="auto"/>
        </w:rPr>
      </w:pPr>
    </w:p>
    <w:p>
      <w:pPr>
        <w:ind w:left="740" w:right="1999" w:firstLine="5"/>
        <w:spacing w:after="0" w:line="236" w:lineRule="auto"/>
        <w:tabs>
          <w:tab w:leader="none" w:pos="95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broker-dealer who purchased the exchange notes directly from us to resell pursuant to Rule 144A or any other available exemption under the Securities Act; or</w:t>
      </w:r>
    </w:p>
    <w:p>
      <w:pPr>
        <w:spacing w:after="0" w:line="208" w:lineRule="exact"/>
        <w:rPr>
          <w:rFonts w:ascii="Courier New" w:cs="Courier New" w:eastAsia="Courier New" w:hAnsi="Courier New"/>
          <w:sz w:val="18"/>
          <w:szCs w:val="18"/>
          <w:color w:val="auto"/>
        </w:rPr>
      </w:pPr>
    </w:p>
    <w:p>
      <w:pPr>
        <w:ind w:left="740" w:right="1779" w:firstLine="5"/>
        <w:spacing w:after="0" w:line="235" w:lineRule="auto"/>
        <w:tabs>
          <w:tab w:leader="none" w:pos="95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an "affiliate" of ours within the meaning of Rule 405 under the Securities Act.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addition, if:</w:t>
      </w:r>
    </w:p>
    <w:p>
      <w:pPr>
        <w:spacing w:after="0" w:line="201" w:lineRule="exact"/>
        <w:rPr>
          <w:sz w:val="20"/>
          <w:szCs w:val="20"/>
          <w:color w:val="auto"/>
        </w:rPr>
      </w:pPr>
    </w:p>
    <w:p>
      <w:pPr>
        <w:ind w:left="960" w:hanging="215"/>
        <w:spacing w:after="0"/>
        <w:tabs>
          <w:tab w:leader="none" w:pos="9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a broker-dealer; or</w:t>
      </w:r>
    </w:p>
    <w:p>
      <w:pPr>
        <w:spacing w:after="0" w:line="206" w:lineRule="exact"/>
        <w:rPr>
          <w:rFonts w:ascii="Courier New" w:cs="Courier New" w:eastAsia="Courier New" w:hAnsi="Courier New"/>
          <w:sz w:val="18"/>
          <w:szCs w:val="18"/>
          <w:color w:val="auto"/>
        </w:rPr>
      </w:pPr>
    </w:p>
    <w:p>
      <w:pPr>
        <w:ind w:left="740" w:right="1879" w:firstLine="5"/>
        <w:spacing w:after="0" w:line="290" w:lineRule="auto"/>
        <w:tabs>
          <w:tab w:leader="none" w:pos="95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acquire exchange notes in the exchange offer for the purpose of distributing or participating in the distribution of the exchange notes,</w:t>
      </w:r>
    </w:p>
    <w:p>
      <w:pPr>
        <w:spacing w:after="0" w:line="17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you cannot rely on the position of the staff of the SEC contained in the no-action letters mentioned above and must comply with the registration and prospectus delivery requirements of the Securities Act in connection with any resale transaction, unless an exemption from registration is otherwise available.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28" w:name="page29"/>
    <w:bookmarkEnd w:id="28"/>
    <w:p>
      <w:pPr>
        <w:ind w:right="1879"/>
        <w:spacing w:after="0" w:line="237" w:lineRule="auto"/>
        <w:rPr>
          <w:sz w:val="20"/>
          <w:szCs w:val="20"/>
          <w:color w:val="auto"/>
        </w:rPr>
      </w:pPr>
      <w:r>
        <w:rPr>
          <w:rFonts w:ascii="Courier New" w:cs="Courier New" w:eastAsia="Courier New" w:hAnsi="Courier New"/>
          <w:sz w:val="18"/>
          <w:szCs w:val="18"/>
          <w:color w:val="auto"/>
        </w:rPr>
        <w:t>Each broker-dealer that receives exchange notes for its own account in exchange for original notes, which the broker-dealer acquired as a result of market-making activities or other trading activities, must acknowledge that it will deliver a prospectus in connection with any resale of the exchange notes. The letter of transmittal states that by so acknowledging and by delivering a prospectus, a broker-dealer will not be deemed to admit that it is an "underwriter" within the meaning of the Securities Act. A broker-dealer may use this prospectus, as it may be amended or supplemented from time to time, in connection with resales of exchange notes received in exchange for original notes which the broker-dealer acquired as a result of market-making or other trading activities.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 OF THE EXCHANGE OFFER</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Upon the terms and subject to the conditions described in this prospectus and in the letter of transmittal, we will accept any and all original notes validly tendered and not withdrawn before the expiration date. We will issue $1,000 principal amount of exchange notes in exchange for each $1,000 principal amount of outstanding original notes surrendered pursuant to the exchange offer. You may tender original notes only in integral multiples of $1,000.</w:t>
      </w:r>
    </w:p>
    <w:p>
      <w:pPr>
        <w:spacing w:after="0" w:line="18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form and terms of the exchange notes are the same as the form and terms of the original notes except that:</w:t>
      </w:r>
    </w:p>
    <w:p>
      <w:pPr>
        <w:spacing w:after="0" w:line="203" w:lineRule="exact"/>
        <w:rPr>
          <w:sz w:val="20"/>
          <w:szCs w:val="20"/>
          <w:color w:val="auto"/>
        </w:rPr>
      </w:pPr>
    </w:p>
    <w:p>
      <w:pPr>
        <w:ind w:left="960" w:hanging="215"/>
        <w:spacing w:after="0"/>
        <w:tabs>
          <w:tab w:leader="none" w:pos="9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register the exchange notes under the Securities Act and,</w:t>
      </w:r>
    </w:p>
    <w:p>
      <w:pPr>
        <w:spacing w:after="0" w:line="4" w:lineRule="exact"/>
        <w:rPr>
          <w:rFonts w:ascii="Courier New" w:cs="Courier New" w:eastAsia="Courier New" w:hAnsi="Courier New"/>
          <w:sz w:val="18"/>
          <w:szCs w:val="18"/>
          <w:color w:val="auto"/>
        </w:rPr>
      </w:pPr>
    </w:p>
    <w:p>
      <w:pPr>
        <w:ind w:left="740"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therefore, the exchange notes will not bear legends restricting their transfer; and</w:t>
      </w:r>
    </w:p>
    <w:p>
      <w:pPr>
        <w:spacing w:after="0" w:line="208" w:lineRule="exact"/>
        <w:rPr>
          <w:rFonts w:ascii="Courier New" w:cs="Courier New" w:eastAsia="Courier New" w:hAnsi="Courier New"/>
          <w:sz w:val="18"/>
          <w:szCs w:val="18"/>
          <w:color w:val="auto"/>
        </w:rPr>
      </w:pPr>
    </w:p>
    <w:p>
      <w:pPr>
        <w:ind w:left="740" w:right="1779" w:firstLine="5"/>
        <w:spacing w:after="0" w:line="279" w:lineRule="auto"/>
        <w:tabs>
          <w:tab w:leader="none" w:pos="95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the exchange notes will not be entitled to any of the rights of holders of original note under the registration rights agreement, which rights will terminate upon the completion of the exchange offer.</w:t>
      </w:r>
    </w:p>
    <w:p>
      <w:pPr>
        <w:spacing w:after="0" w:line="178"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exchange notes will evidence the same debt as the original notes. The indenture governing the exchange notes is the same indenture that governs the original notes.</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As of the date of this prospectus, $70,000,000 in aggregate principal amount of the original notes are outstanding and registered in the name of Cede &amp; Co., as nominee for The Depository Trust Company. Only registered holders of the original notes, or their legal representative or attorney-in-fact, as reflected on the records of the trustee under the indentures, may participate in the exchange offer. We will not set a fixed record date for determining registered holders of the original notes entitled to participate in the exchange offer.</w:t>
      </w:r>
    </w:p>
    <w:p>
      <w:pPr>
        <w:spacing w:after="0" w:line="18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You do not have any appraisal or dissenters' rights under the indenture or applicable law in connection with the exchange offer. We intend to conduct the exchange offer in accordance with the provisions of the registration rights agreement and the applicable requirements of the Securities Act, the Exchange Act and the rules and regulations of the SEC.</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will be deemed to have accepted validly tendered original notes when, as and if we had given oral or written notice of acceptance to the exchange agent. The exchange agent will act as your agent for the purposes of receiving the exchange notes from us.</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If you tender original notes in the exchange offer you will not be required to pay brokerage commissions or fees or, subject to the instructions in the letter of transmittal, transfer taxes with respect to the exchange of original notes pursuant to the exchange offer. We will pay all charges and expenses, other than the applicable taxes described below, in connection with the exchange offer.</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4"/>
        </w:trPr>
        <w:tc>
          <w:tcPr>
            <w:tcW w:w="1120" w:type="dxa"/>
            <w:vAlign w:val="bottom"/>
            <w:gridSpan w:val="2"/>
          </w:tcPr>
          <w:p>
            <w:pPr>
              <w:spacing w:after="0"/>
              <w:rPr>
                <w:sz w:val="20"/>
                <w:szCs w:val="20"/>
                <w:color w:val="auto"/>
              </w:rPr>
            </w:pPr>
            <w:r>
              <w:rPr>
                <w:rFonts w:ascii="Courier New" w:cs="Courier New" w:eastAsia="Courier New" w:hAnsi="Courier New"/>
                <w:sz w:val="18"/>
                <w:szCs w:val="18"/>
                <w:color w:val="auto"/>
              </w:rPr>
              <w:t>EXPIRATION</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DATE;</w:t>
            </w:r>
          </w:p>
        </w:tc>
        <w:tc>
          <w:tcPr>
            <w:tcW w:w="1280" w:type="dxa"/>
            <w:vAlign w:val="bottom"/>
          </w:tcPr>
          <w:p>
            <w:pPr>
              <w:ind w:left="60"/>
              <w:spacing w:after="0"/>
              <w:rPr>
                <w:sz w:val="20"/>
                <w:szCs w:val="20"/>
                <w:color w:val="auto"/>
              </w:rPr>
            </w:pPr>
            <w:r>
              <w:rPr>
                <w:rFonts w:ascii="Courier New" w:cs="Courier New" w:eastAsia="Courier New" w:hAnsi="Courier New"/>
                <w:sz w:val="18"/>
                <w:szCs w:val="18"/>
                <w:color w:val="auto"/>
              </w:rPr>
              <w:t>EXTENSIONS;</w:t>
            </w:r>
          </w:p>
        </w:tc>
        <w:tc>
          <w:tcPr>
            <w:tcW w:w="4100" w:type="dxa"/>
            <w:vAlign w:val="bottom"/>
            <w:gridSpan w:val="2"/>
          </w:tcPr>
          <w:p>
            <w:pPr>
              <w:jc w:val="right"/>
              <w:ind w:right="2912"/>
              <w:spacing w:after="0"/>
              <w:rPr>
                <w:sz w:val="20"/>
                <w:szCs w:val="20"/>
                <w:color w:val="auto"/>
              </w:rPr>
            </w:pPr>
            <w:r>
              <w:rPr>
                <w:rFonts w:ascii="Courier New" w:cs="Courier New" w:eastAsia="Courier New" w:hAnsi="Courier New"/>
                <w:sz w:val="18"/>
                <w:szCs w:val="18"/>
                <w:color w:val="auto"/>
                <w:w w:val="99"/>
              </w:rPr>
              <w:t>AMENDMENTS</w:t>
            </w:r>
          </w:p>
        </w:tc>
        <w:tc>
          <w:tcPr>
            <w:tcW w:w="122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The term</w:t>
            </w:r>
          </w:p>
        </w:tc>
        <w:tc>
          <w:tcPr>
            <w:tcW w:w="274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8"/>
              </w:rPr>
              <w:t>expiration date will mean</w:t>
            </w:r>
          </w:p>
        </w:tc>
        <w:tc>
          <w:tcPr>
            <w:tcW w:w="3480" w:type="dxa"/>
            <w:vAlign w:val="bottom"/>
          </w:tcPr>
          <w:p>
            <w:pPr>
              <w:jc w:val="right"/>
              <w:spacing w:after="0"/>
              <w:rPr>
                <w:sz w:val="20"/>
                <w:szCs w:val="20"/>
                <w:color w:val="auto"/>
              </w:rPr>
            </w:pPr>
            <w:r>
              <w:rPr>
                <w:rFonts w:ascii="Courier New" w:cs="Courier New" w:eastAsia="Courier New" w:hAnsi="Courier New"/>
                <w:sz w:val="18"/>
                <w:szCs w:val="18"/>
                <w:color w:val="auto"/>
                <w:w w:val="98"/>
              </w:rPr>
              <w:t>5:00 p.m., New York City time on</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2002, unless we,</w:t>
            </w:r>
          </w:p>
        </w:tc>
        <w:tc>
          <w:tcPr>
            <w:tcW w:w="1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our sole</w:t>
            </w:r>
          </w:p>
        </w:tc>
        <w:tc>
          <w:tcPr>
            <w:tcW w:w="4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discretion, extend the exchange offer,</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which</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case the</w:t>
            </w:r>
          </w:p>
        </w:tc>
        <w:tc>
          <w:tcPr>
            <w:tcW w:w="27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8"/>
              </w:rPr>
              <w:t>term expiration date will</w:t>
            </w:r>
          </w:p>
        </w:tc>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mean the latest date and time to</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which we</w:t>
            </w:r>
          </w:p>
        </w:tc>
      </w:tr>
      <w:tr>
        <w:trPr>
          <w:trHeight w:val="203"/>
        </w:trPr>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extend the</w:t>
            </w:r>
          </w:p>
        </w:tc>
        <w:tc>
          <w:tcPr>
            <w:tcW w:w="1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exchange offer.</w:t>
            </w:r>
          </w:p>
        </w:tc>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2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extend the exchange offer, we will:</w:t>
      </w:r>
    </w:p>
    <w:p>
      <w:pPr>
        <w:spacing w:after="0" w:line="201" w:lineRule="exact"/>
        <w:rPr>
          <w:sz w:val="20"/>
          <w:szCs w:val="20"/>
          <w:color w:val="auto"/>
        </w:rPr>
      </w:pPr>
    </w:p>
    <w:p>
      <w:pPr>
        <w:ind w:left="960" w:hanging="215"/>
        <w:spacing w:after="0"/>
        <w:tabs>
          <w:tab w:leader="none" w:pos="9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notify the exchange agent of any extension orally or in writing; and</w:t>
      </w:r>
    </w:p>
    <w:p>
      <w:pPr>
        <w:spacing w:after="0" w:line="206" w:lineRule="exact"/>
        <w:rPr>
          <w:rFonts w:ascii="Courier New" w:cs="Courier New" w:eastAsia="Courier New" w:hAnsi="Courier New"/>
          <w:sz w:val="18"/>
          <w:szCs w:val="18"/>
          <w:color w:val="auto"/>
        </w:rPr>
      </w:pPr>
    </w:p>
    <w:p>
      <w:pPr>
        <w:ind w:left="740" w:right="1779" w:firstLine="5"/>
        <w:spacing w:after="0" w:line="290" w:lineRule="auto"/>
        <w:tabs>
          <w:tab w:leader="none" w:pos="95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mail to each registered holder an announcement that will include disclosure of the approximate number of original notes deposited to date,</w:t>
      </w:r>
    </w:p>
    <w:p>
      <w:pPr>
        <w:spacing w:after="0" w:line="170"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each before 9:00 a.m., New York City time, on the next business day after the previously scheduled expiration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reserve the right, in our reasonable discretion:</w:t>
      </w:r>
    </w:p>
    <w:p>
      <w:pPr>
        <w:spacing w:after="0" w:line="201" w:lineRule="exact"/>
        <w:rPr>
          <w:sz w:val="20"/>
          <w:szCs w:val="20"/>
          <w:color w:val="auto"/>
        </w:rPr>
      </w:pPr>
    </w:p>
    <w:p>
      <w:pPr>
        <w:ind w:left="960" w:hanging="215"/>
        <w:spacing w:after="0"/>
        <w:tabs>
          <w:tab w:leader="none" w:pos="9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delay accepting any original notes;</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extend the exchange offer; or</w:t>
      </w:r>
    </w:p>
    <w:p>
      <w:pPr>
        <w:spacing w:after="0" w:line="206" w:lineRule="exact"/>
        <w:rPr>
          <w:rFonts w:ascii="Courier New" w:cs="Courier New" w:eastAsia="Courier New" w:hAnsi="Courier New"/>
          <w:sz w:val="18"/>
          <w:szCs w:val="18"/>
          <w:color w:val="auto"/>
        </w:rPr>
      </w:pPr>
    </w:p>
    <w:p>
      <w:pPr>
        <w:ind w:left="740" w:right="1779" w:firstLine="5"/>
        <w:spacing w:after="0" w:line="236" w:lineRule="auto"/>
        <w:tabs>
          <w:tab w:leader="none" w:pos="95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conditions listed below under "-- Conditions" are not satisfied, to terminate the exchange offer by giving oral or written notice of the delay, extension or termination to the exchange agent.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will follow any delay in acceptance, extension or termination as promptly as practicable by oral or written notice to the registered holders. If we amend the exchange offer in a manner we determine constitutes a material change, we will promptly disclose the amendment in a prospectus supplement that we will distribute to the registered holders. We will also extend the exchange offer for a period of five to ten business days, depending upon the significance of the amendment and the manner of disclosure, if the exchange offer would otherwise expire during the five to ten business day period.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ON THE EXCHANGE NOTES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exchange notes will bear interest at the same rate and on the same terms as the original notes. Consequently, the exchange notes will bear interest at a rate equal to 8.625% per annum (calculated using a 360-day year). Interest will be payable semi-annually on each January 15 and July 15.</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You will receive interest on the exchange notes on January 15, 2003 in an amount equal to the accrued interest on the original notes from the date of the last interest payment date, July 15, 2002. We will deem the right to receive any interest on the original notes waived by you if we accept your original notes for exchange.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PROCEDURES FOR TENDERING</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You may tender original notes in the exchange offer only if you are a registered holder of original notes. To tender in the exchange offer, you must:</w:t>
      </w:r>
    </w:p>
    <w:p>
      <w:pPr>
        <w:spacing w:after="0" w:line="170" w:lineRule="exact"/>
        <w:rPr>
          <w:sz w:val="20"/>
          <w:szCs w:val="20"/>
          <w:color w:val="auto"/>
        </w:rPr>
      </w:pPr>
    </w:p>
    <w:p>
      <w:pPr>
        <w:ind w:left="740" w:right="1779" w:firstLine="5"/>
        <w:spacing w:after="0" w:line="235" w:lineRule="auto"/>
        <w:tabs>
          <w:tab w:leader="none" w:pos="951"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sign and date the letter of transmittal or a facsimile of the letter of transmittal;</w:t>
      </w:r>
    </w:p>
    <w:p>
      <w:pPr>
        <w:spacing w:after="0" w:line="208" w:lineRule="exact"/>
        <w:rPr>
          <w:rFonts w:ascii="Courier New" w:cs="Courier New" w:eastAsia="Courier New" w:hAnsi="Courier New"/>
          <w:sz w:val="18"/>
          <w:szCs w:val="18"/>
          <w:color w:val="auto"/>
        </w:rPr>
      </w:pPr>
    </w:p>
    <w:p>
      <w:pPr>
        <w:ind w:left="740" w:right="3039" w:firstLine="5"/>
        <w:spacing w:after="0" w:line="235" w:lineRule="auto"/>
        <w:tabs>
          <w:tab w:leader="none" w:pos="951"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the signatures guaranteed if required by the letter of transmittal; and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17" w:right="1440" w:bottom="1440" w:gutter="0" w:footer="0" w:header="0"/>
        </w:sectPr>
      </w:pPr>
    </w:p>
    <w:bookmarkStart w:id="30" w:name="page31"/>
    <w:bookmarkEnd w:id="30"/>
    <w:p>
      <w:pPr>
        <w:ind w:left="740" w:right="1779" w:firstLine="5"/>
        <w:spacing w:after="0" w:line="236" w:lineRule="auto"/>
        <w:tabs>
          <w:tab w:leader="none" w:pos="95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mail or otherwise deliver the letter of transmittal or the facsimile to the exchange agent at the address listed below under "-- Exchange agent" for receipt before the expiration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addition, either:</w:t>
      </w:r>
    </w:p>
    <w:p>
      <w:pPr>
        <w:spacing w:after="0" w:line="201" w:lineRule="exact"/>
        <w:rPr>
          <w:sz w:val="20"/>
          <w:szCs w:val="20"/>
          <w:color w:val="auto"/>
        </w:rPr>
      </w:pPr>
    </w:p>
    <w:p>
      <w:pPr>
        <w:ind w:left="960" w:hanging="215"/>
        <w:spacing w:after="0"/>
        <w:tabs>
          <w:tab w:leader="none" w:pos="9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agent must receive certificates for the original notes</w:t>
      </w:r>
    </w:p>
    <w:p>
      <w:pPr>
        <w:spacing w:after="0" w:line="4" w:lineRule="exact"/>
        <w:rPr>
          <w:rFonts w:ascii="Courier New" w:cs="Courier New" w:eastAsia="Courier New" w:hAnsi="Courier New"/>
          <w:sz w:val="18"/>
          <w:szCs w:val="18"/>
          <w:color w:val="auto"/>
        </w:rPr>
      </w:pPr>
    </w:p>
    <w:p>
      <w:pPr>
        <w:ind w:left="74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along with the letter of transmittal into its account at the depositary pursuant to the procedure for book-entry transfer described below before the expiration date;</w:t>
      </w:r>
    </w:p>
    <w:p>
      <w:pPr>
        <w:spacing w:after="0" w:line="208" w:lineRule="exact"/>
        <w:rPr>
          <w:rFonts w:ascii="Courier New" w:cs="Courier New" w:eastAsia="Courier New" w:hAnsi="Courier New"/>
          <w:sz w:val="18"/>
          <w:szCs w:val="18"/>
          <w:color w:val="auto"/>
        </w:rPr>
      </w:pPr>
    </w:p>
    <w:p>
      <w:pPr>
        <w:jc w:val="both"/>
        <w:ind w:left="740" w:right="1999" w:firstLine="5"/>
        <w:spacing w:after="0" w:line="237" w:lineRule="auto"/>
        <w:tabs>
          <w:tab w:leader="none" w:pos="951"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agent must receive a timely confirmation of a book-entry transfer of the original notes, if the procedure is available, into its account at the depositary pursuant to the procedure for book-entry transfer described below before the expiration date; or</w:t>
      </w:r>
    </w:p>
    <w:p>
      <w:pPr>
        <w:spacing w:after="0" w:line="207" w:lineRule="exact"/>
        <w:rPr>
          <w:rFonts w:ascii="Courier New" w:cs="Courier New" w:eastAsia="Courier New" w:hAnsi="Courier New"/>
          <w:sz w:val="18"/>
          <w:szCs w:val="18"/>
          <w:color w:val="auto"/>
        </w:rPr>
      </w:pPr>
    </w:p>
    <w:p>
      <w:pPr>
        <w:ind w:left="740" w:right="2419" w:firstLine="5"/>
        <w:spacing w:after="0" w:line="235" w:lineRule="auto"/>
        <w:tabs>
          <w:tab w:leader="none" w:pos="951"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must comply with the guaranteed delivery procedures described below.</w:t>
      </w:r>
    </w:p>
    <w:p>
      <w:pPr>
        <w:spacing w:after="0" w:line="208" w:lineRule="exact"/>
        <w:rPr>
          <w:sz w:val="20"/>
          <w:szCs w:val="20"/>
          <w:color w:val="auto"/>
        </w:rPr>
      </w:pPr>
    </w:p>
    <w:p>
      <w:pPr>
        <w:jc w:val="both"/>
        <w:ind w:right="2199"/>
        <w:spacing w:after="0" w:line="279" w:lineRule="auto"/>
        <w:rPr>
          <w:sz w:val="20"/>
          <w:szCs w:val="20"/>
          <w:color w:val="auto"/>
        </w:rPr>
      </w:pPr>
      <w:r>
        <w:rPr>
          <w:rFonts w:ascii="Courier New" w:cs="Courier New" w:eastAsia="Courier New" w:hAnsi="Courier New"/>
          <w:sz w:val="16"/>
          <w:szCs w:val="16"/>
          <w:color w:val="auto"/>
        </w:rPr>
        <w:t>Your tender, if not withdrawn before the expiration date, will constitute an agreement between you and us in accordance with the terms and subject to the conditions described in this prospectus and in the letter of transmittal.</w:t>
      </w:r>
    </w:p>
    <w:p>
      <w:pPr>
        <w:spacing w:after="0" w:line="178"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method of delivery of original notes and the letter of transmittal and all other required documents to the exchange agent is at your election and risk. We recommend that instead of delivery by mail, you use an overnight or hand delivery service, properly insured. In all cases, you should allow sufficient time to assure delivery to the exchange agent before the expiration date. You should not send letters of transmittal or original notes to us. You may request your respective brokers, dealers, commercial banks, trust companies or nominees to effect the transactions described above for you.</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you are a beneficial owner of original notes whose original notes are registered in the name of a broker, dealer, commercial bank, trust company or other nominee and you wish to tender your notes, you should contact the registered holder promptly and instruct the registered holder to tender on your behalf. If you wish to tender on your own behalf, before completing and executing the letter of transmittal and delivering the original notes you must either:</w:t>
      </w:r>
    </w:p>
    <w:p>
      <w:pPr>
        <w:spacing w:after="0" w:line="211" w:lineRule="exact"/>
        <w:rPr>
          <w:sz w:val="20"/>
          <w:szCs w:val="20"/>
          <w:color w:val="auto"/>
        </w:rPr>
      </w:pPr>
    </w:p>
    <w:p>
      <w:pPr>
        <w:ind w:left="740" w:right="2199" w:firstLine="5"/>
        <w:spacing w:after="0" w:line="235" w:lineRule="auto"/>
        <w:tabs>
          <w:tab w:leader="none" w:pos="95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appropriate arrangements to register ownership of the original notes in your name; or</w:t>
      </w:r>
    </w:p>
    <w:p>
      <w:pPr>
        <w:spacing w:after="0" w:line="202"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 properly completed bond power from the registered holder.</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transfer of registered ownership may take considerable time. Unless the original notes are tendered:</w:t>
      </w:r>
    </w:p>
    <w:p>
      <w:pPr>
        <w:spacing w:after="0" w:line="203" w:lineRule="exact"/>
        <w:rPr>
          <w:sz w:val="20"/>
          <w:szCs w:val="20"/>
          <w:color w:val="auto"/>
        </w:rPr>
      </w:pPr>
    </w:p>
    <w:p>
      <w:pPr>
        <w:ind w:left="1380" w:hanging="424"/>
        <w:spacing w:after="0"/>
        <w:tabs>
          <w:tab w:leader="none" w:pos="13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 registered holder who has not completed the box entitled</w:t>
      </w:r>
    </w:p>
    <w:p>
      <w:pPr>
        <w:spacing w:after="0" w:line="4" w:lineRule="exact"/>
        <w:rPr>
          <w:rFonts w:ascii="Courier New" w:cs="Courier New" w:eastAsia="Courier New" w:hAnsi="Courier New"/>
          <w:sz w:val="18"/>
          <w:szCs w:val="18"/>
          <w:color w:val="auto"/>
        </w:rPr>
      </w:pPr>
    </w:p>
    <w:p>
      <w:pPr>
        <w:ind w:left="960"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"Special Issuance Instructions" or the box entitled "Special Delivery Instructions" on the letter of transmittal; or</w:t>
      </w:r>
    </w:p>
    <w:p>
      <w:pPr>
        <w:spacing w:after="0" w:line="202"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account of:</w:t>
      </w:r>
    </w:p>
    <w:p>
      <w:pPr>
        <w:spacing w:after="0" w:line="206" w:lineRule="exact"/>
        <w:rPr>
          <w:rFonts w:ascii="Courier New" w:cs="Courier New" w:eastAsia="Courier New" w:hAnsi="Courier New"/>
          <w:sz w:val="18"/>
          <w:szCs w:val="18"/>
          <w:color w:val="auto"/>
        </w:rPr>
      </w:pPr>
    </w:p>
    <w:p>
      <w:pPr>
        <w:ind w:left="1480" w:right="1779" w:firstLine="3"/>
        <w:spacing w:after="0" w:line="235" w:lineRule="auto"/>
        <w:tabs>
          <w:tab w:leader="none" w:pos="1691"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member firm of a registered national securities exchange or of the National Association of Securities Dealers, Inc.;</w:t>
      </w:r>
    </w:p>
    <w:p>
      <w:pPr>
        <w:spacing w:after="0" w:line="208" w:lineRule="exact"/>
        <w:rPr>
          <w:rFonts w:ascii="Courier New" w:cs="Courier New" w:eastAsia="Courier New" w:hAnsi="Courier New"/>
          <w:sz w:val="18"/>
          <w:szCs w:val="18"/>
          <w:color w:val="auto"/>
        </w:rPr>
      </w:pPr>
    </w:p>
    <w:p>
      <w:pPr>
        <w:ind w:left="1480" w:right="2839" w:firstLine="3"/>
        <w:spacing w:after="0" w:line="235" w:lineRule="auto"/>
        <w:tabs>
          <w:tab w:leader="none" w:pos="1691"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commercial bank or trust company having an office or correspondent in the United States; 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31" w:name="page32"/>
    <w:bookmarkEnd w:id="31"/>
    <w:p>
      <w:pPr>
        <w:ind w:left="1480" w:right="1999" w:firstLine="3"/>
        <w:spacing w:after="0" w:line="237" w:lineRule="auto"/>
        <w:tabs>
          <w:tab w:leader="none" w:pos="1691"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"eligible guarantor institution" within the meaning of Rule 17Ad-15 under the Exchange Act that is a member of one of the recognized signature guarantee programs identified in the letter of transmittal,</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an eligible guarantor institution must guarantee the signatures on a letter of transmittal or a notice of withdrawal described below under "-- Withdrawal of tenders."</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If the letter of transmittal is signed by a person other than the registered holder, the original notes must be endorsed or accompanied by a properly completed bond power, signed by the registered holder as the registered holder's name appears on the original notes. If the letter of transmittal or any original notes or bond powers are signed by trustees, executors, administrators, guardians, attorneys-in-fact, officers of corporations or others acting in a fiduciary or representative capacity, they should so indicate when signing, and unless waived by us, they must submit evidence satisfactory to us of their authority to so act with the letter of transmittal.</w:t>
      </w:r>
    </w:p>
    <w:p>
      <w:pPr>
        <w:spacing w:after="0" w:line="38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The exchange agent and the depositary have confirmed that any financial institution that is a participant in the depositary's system may utilize the depositary's Automated Tender Offer Program to tender notes.</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We will determine in our sole discretion all questions as to the validity, form, eligibility, including time of receipt, acceptance and withdrawal of tendered original notes, which determination will be final and binding. We reserve the absolute right to reject any and all original notes not properly tendered or any original notes our acceptance of which would, in the opinion of our counsel, be unlawful. We also reserve the right to waive any defects, irregularities or conditions of tender as to particular original notes. Our interpretation of the terms and conditions of the exchange offer, including the instructions in the letter of transmittal, will be final and binding on all parties. Unless waived, you must cure any defects or irregularities in connection with tenders of original notes within the time we determine. Although we intend to notify you of defects or irregularities with respect to tenders of original notes, neither we, the exchange agent nor any other person will incur any liability for failure to give you that notification. Unless waived, we will not deem tenders of original notes to have been made until you cure the defects or irregularities.</w:t>
      </w:r>
    </w:p>
    <w:p>
      <w:pPr>
        <w:spacing w:after="0" w:line="38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While we have no present plan to acquire any original notes that are not tendered in the exchange offer or to file a registration statement to permit resales of any original notes that are not tendered in the exchange offer, we reserve the right in our sole discretion to purchase or make offers for any original notes that remain outstanding after the expiration date. We also reserve the right to terminate the exchange offer, as described below under "-- Conditions," and, to the extent permitted by applicable law, purchase original notes in the open market, in privately negotiated transactions or otherwise. The terms of any of those purchases or offers could differ from the terms of the exchange offer.</w:t>
      </w:r>
    </w:p>
    <w:p>
      <w:pPr>
        <w:spacing w:after="0" w:line="215"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you wish to tender original notes in exchange for exchange notes in the exchange offer, we will require you to represent that:</w:t>
      </w:r>
    </w:p>
    <w:p>
      <w:pPr>
        <w:spacing w:after="0" w:line="203" w:lineRule="exact"/>
        <w:rPr>
          <w:sz w:val="20"/>
          <w:szCs w:val="20"/>
          <w:color w:val="auto"/>
        </w:rPr>
      </w:pPr>
    </w:p>
    <w:p>
      <w:pPr>
        <w:ind w:left="960" w:hanging="215"/>
        <w:spacing w:after="0"/>
        <w:tabs>
          <w:tab w:leader="none" w:pos="9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not an affiliate of ours;</w:t>
      </w:r>
    </w:p>
    <w:p>
      <w:pPr>
        <w:spacing w:after="0" w:line="206" w:lineRule="exact"/>
        <w:rPr>
          <w:rFonts w:ascii="Courier New" w:cs="Courier New" w:eastAsia="Courier New" w:hAnsi="Courier New"/>
          <w:sz w:val="18"/>
          <w:szCs w:val="18"/>
          <w:color w:val="auto"/>
        </w:rPr>
      </w:pPr>
    </w:p>
    <w:p>
      <w:pPr>
        <w:ind w:left="740" w:right="2319" w:firstLine="5"/>
        <w:spacing w:after="0" w:line="235" w:lineRule="auto"/>
        <w:tabs>
          <w:tab w:leader="none" w:pos="95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acquire any exchange notes in the ordinary course of your business; and</w:t>
      </w:r>
    </w:p>
    <w:p>
      <w:pPr>
        <w:spacing w:after="0" w:line="208" w:lineRule="exact"/>
        <w:rPr>
          <w:rFonts w:ascii="Courier New" w:cs="Courier New" w:eastAsia="Courier New" w:hAnsi="Courier New"/>
          <w:sz w:val="18"/>
          <w:szCs w:val="18"/>
          <w:color w:val="auto"/>
        </w:rPr>
      </w:pPr>
    </w:p>
    <w:p>
      <w:pPr>
        <w:ind w:left="740" w:right="2199" w:firstLine="5"/>
        <w:spacing w:after="0" w:line="236" w:lineRule="auto"/>
        <w:tabs>
          <w:tab w:leader="none" w:pos="95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of completion of the exchange offer, you have no arrangement with any person to participate in the distribution of the exchange notes.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32" w:name="page33"/>
    <w:bookmarkEnd w:id="32"/>
    <w:p>
      <w:pPr>
        <w:ind w:right="1779"/>
        <w:spacing w:after="0" w:line="271" w:lineRule="auto"/>
        <w:rPr>
          <w:sz w:val="20"/>
          <w:szCs w:val="20"/>
          <w:color w:val="auto"/>
        </w:rPr>
      </w:pPr>
      <w:r>
        <w:rPr>
          <w:rFonts w:ascii="Courier New" w:cs="Courier New" w:eastAsia="Courier New" w:hAnsi="Courier New"/>
          <w:sz w:val="16"/>
          <w:szCs w:val="16"/>
          <w:color w:val="auto"/>
        </w:rPr>
        <w:t>In addition, in connection with the resale of exchange notes, any participating broker-dealer who acquired the original notes for its own account as a result of market-making or other trading activities must deliver a prospectus meeting the requirements of the Securities Act. The SEC has taken the position that participating broker-dealers may fulfill their prospectus delivery requirements with respect to the exchange notes, other than a resale of an unsold allotment from the original sale of the notes, with this prospectus.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RETURN OF NOTES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If we do not accept any tendered original notes for any reason described in the terms and conditions of the exchange offer or if you withdraw or submit original notes for a greater principal amount than you desire to exchange, we will return the unaccepted, withdrawn or non-exchanged notes without expense to you as promptly as practicable. In the case of original notes tendered by book-entry transfer into the exchange agent's account at the depositary pursuant to the book-entry transfer procedures described below, we will credit the original notes to an account maintained with the depositary as promptly as practicable.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TRANSFER</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The exchange agent will make a request to establish an account with respect to the original notes at the depositary for purposes of the exchange offer, and any financial institution that is a participant in the depositary's systems may make book-entry delivery of original notes by causing the depositary to transfer the original notes into the exchange agent's account at the depositary in accordance with the depositary's procedures for transfer. However, although delivery of original notes may be effected through book-entry transfer at the depositary, you must transmit and the exchange agent must receive, the letter of transmittal or a facsimile of the letter of transmittal, with any required signature guarantees and any other required documents, at the address below under</w:t>
      </w:r>
    </w:p>
    <w:p>
      <w:pPr>
        <w:spacing w:after="0" w:line="2"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 Exchange agent" on or before the expiration date or pursuant to the guaranteed delivery procedures described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GUARANTEED DELIVERY PROCEDURES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you wish to tender your original notes and (1) the notes are not immediately available or (2) you cannot deliver the original notes, the letter of transmittal or any other required documents to the exchange agent before the expiration date, you may effect a tender if:</w:t>
      </w:r>
    </w:p>
    <w:p>
      <w:pPr>
        <w:spacing w:after="0" w:line="202" w:lineRule="exact"/>
        <w:rPr>
          <w:sz w:val="20"/>
          <w:szCs w:val="20"/>
          <w:color w:val="auto"/>
        </w:rPr>
      </w:pPr>
    </w:p>
    <w:p>
      <w:pPr>
        <w:ind w:left="1160" w:hanging="415"/>
        <w:spacing w:after="0"/>
        <w:tabs>
          <w:tab w:leader="none" w:pos="11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tender is made through an eligible guarantor institution;</w:t>
      </w:r>
    </w:p>
    <w:p>
      <w:pPr>
        <w:spacing w:after="0" w:line="206" w:lineRule="exact"/>
        <w:rPr>
          <w:rFonts w:ascii="Courier New" w:cs="Courier New" w:eastAsia="Courier New" w:hAnsi="Courier New"/>
          <w:sz w:val="18"/>
          <w:szCs w:val="18"/>
          <w:color w:val="auto"/>
        </w:rPr>
      </w:pPr>
    </w:p>
    <w:p>
      <w:pPr>
        <w:ind w:left="740" w:right="1879" w:firstLine="5"/>
        <w:spacing w:after="0" w:line="237" w:lineRule="auto"/>
        <w:tabs>
          <w:tab w:leader="none" w:pos="1161"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the expiration date, the exchange agent receives from the eligible guarantor institution a properly completed and duly executed notice of guaranteed delivery, substantially in the form provided by us, that:</w:t>
      </w:r>
    </w:p>
    <w:p>
      <w:pPr>
        <w:spacing w:after="0" w:line="207" w:lineRule="exact"/>
        <w:rPr>
          <w:sz w:val="20"/>
          <w:szCs w:val="20"/>
          <w:color w:val="auto"/>
        </w:rPr>
      </w:pPr>
    </w:p>
    <w:p>
      <w:pPr>
        <w:ind w:left="960" w:right="2199" w:hanging="4"/>
        <w:spacing w:after="0" w:line="290" w:lineRule="auto"/>
        <w:tabs>
          <w:tab w:leader="none" w:pos="117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states your name and address, the certificate number(s) of the original notes and the principal amount of original notes tendered,</w:t>
      </w:r>
    </w:p>
    <w:p>
      <w:pPr>
        <w:spacing w:after="0" w:line="169" w:lineRule="exact"/>
        <w:rPr>
          <w:rFonts w:ascii="Courier New" w:cs="Courier New" w:eastAsia="Courier New" w:hAnsi="Courier New"/>
          <w:sz w:val="16"/>
          <w:szCs w:val="16"/>
          <w:color w:val="auto"/>
        </w:rPr>
      </w:pPr>
    </w:p>
    <w:p>
      <w:pPr>
        <w:ind w:left="960" w:right="2199" w:hanging="4"/>
        <w:spacing w:after="0" w:line="235" w:lineRule="auto"/>
        <w:tabs>
          <w:tab w:leader="none" w:pos="1171"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states that the tender is being made by that notice of guaranteed delivery, and</w:t>
      </w:r>
    </w:p>
    <w:p>
      <w:pPr>
        <w:spacing w:after="0" w:line="208" w:lineRule="exact"/>
        <w:rPr>
          <w:rFonts w:ascii="Courier New" w:cs="Courier New" w:eastAsia="Courier New" w:hAnsi="Courier New"/>
          <w:sz w:val="18"/>
          <w:szCs w:val="18"/>
          <w:color w:val="auto"/>
        </w:rPr>
      </w:pPr>
    </w:p>
    <w:p>
      <w:pPr>
        <w:ind w:left="960" w:right="1879" w:hanging="4"/>
        <w:spacing w:after="0" w:line="237" w:lineRule="auto"/>
        <w:tabs>
          <w:tab w:leader="none" w:pos="1171"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guarantees that, within three New York Stock Exchange trading days after the expiration date, the eligible guarantor institution will deposit with the exchange agent the letter of transmittal, together with the certificate(s) representing the original notes in proper form for transfer or a confirmation of a book-entry transfer, as the case may be, and any other documents required by the letter of transmittal; and</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33" w:name="page34"/>
    <w:bookmarkEnd w:id="33"/>
    <w:p>
      <w:pPr>
        <w:ind w:left="740" w:right="1779" w:firstLine="5"/>
        <w:spacing w:after="0" w:line="237" w:lineRule="auto"/>
        <w:tabs>
          <w:tab w:leader="none" w:pos="116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five New York Stock Exchange trading days after the expiration date, the exchange agent receives a properly executed letter of transmittal, as well as the certificate(s) representing all tendered original notes in proper form for transfer and all other documents required by the letter of transmittal.</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Upon request, the exchange agent will send to you a notice of guaranteed delivery if you wish to tender your notes according to the guaranteed delivery procedures described above.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WITHDRAWAL OF TENDERS</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Except as otherwise provided in this prospectus, you may withdraw tenders of original notes at any time before 5:00 p.m., New York City time, on the expiration date.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withdraw a tender of original notes in the exchange offer, the exchange agent must receive a written or facsimile transmission notice of withdrawal at its address listed in this prospectus before the expiration date. Any notice of withdrawal must:</w:t>
      </w:r>
    </w:p>
    <w:p>
      <w:pPr>
        <w:spacing w:after="0" w:line="207" w:lineRule="exact"/>
        <w:rPr>
          <w:sz w:val="20"/>
          <w:szCs w:val="20"/>
          <w:color w:val="auto"/>
        </w:rPr>
      </w:pPr>
    </w:p>
    <w:p>
      <w:pPr>
        <w:ind w:left="740" w:right="1999" w:firstLine="5"/>
        <w:spacing w:after="0" w:line="235" w:lineRule="auto"/>
        <w:tabs>
          <w:tab w:leader="none" w:pos="951"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specify the name of the person who deposited the original notes to be withdrawn;</w:t>
      </w:r>
    </w:p>
    <w:p>
      <w:pPr>
        <w:spacing w:after="0" w:line="208" w:lineRule="exact"/>
        <w:rPr>
          <w:rFonts w:ascii="Courier New" w:cs="Courier New" w:eastAsia="Courier New" w:hAnsi="Courier New"/>
          <w:sz w:val="18"/>
          <w:szCs w:val="18"/>
          <w:color w:val="auto"/>
        </w:rPr>
      </w:pPr>
    </w:p>
    <w:p>
      <w:pPr>
        <w:ind w:left="740" w:right="1879" w:firstLine="5"/>
        <w:spacing w:after="0" w:line="235" w:lineRule="auto"/>
        <w:tabs>
          <w:tab w:leader="none" w:pos="951"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identify the original notes to be withdrawn, including the certificate number(s) and principal amount of the original notes; and</w:t>
      </w:r>
    </w:p>
    <w:p>
      <w:pPr>
        <w:spacing w:after="0" w:line="208" w:lineRule="exact"/>
        <w:rPr>
          <w:rFonts w:ascii="Courier New" w:cs="Courier New" w:eastAsia="Courier New" w:hAnsi="Courier New"/>
          <w:sz w:val="18"/>
          <w:szCs w:val="18"/>
          <w:color w:val="auto"/>
        </w:rPr>
      </w:pPr>
    </w:p>
    <w:p>
      <w:pPr>
        <w:ind w:left="740" w:right="1779" w:firstLine="5"/>
        <w:spacing w:after="0" w:line="236" w:lineRule="auto"/>
        <w:tabs>
          <w:tab w:leader="none" w:pos="951"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signed in the same manner as the original signature on the letter of transmittal by which the original notes were tendered, including any required signature guarantees.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will determine in our sole discretion all questions as to the validity, form and eligibility of the notices, and our determination will be final and binding on all parties. We will not deem any properly withdrawn original notes to have been validly tendered for purposes of the exchange offer, and we will not issue exchange notes with respect to those original notes, unless you validly retender the withdrawn original notes. You may retender properly withdrawn original notes by following one of the procedures described above under "-- Procedures for tendering" at any time before the expiration date.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CONDITIONS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Notwithstanding any other term of the exchange offer, we will not be required to accept for exchange, or exchange the exchange notes for, any original notes, and may terminate the exchange offer as provided in this prospectus before the acceptance of the original notes, if, in our reasonable judgment, the exchange offer violates applicable law, rules or regulations or an applicable interpretation of the staff of the SEC.</w:t>
      </w:r>
    </w:p>
    <w:p>
      <w:pPr>
        <w:spacing w:after="0" w:line="210"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If we determine in our reasonable discretion that any of these conditions are not satisfied, we may:</w:t>
      </w:r>
    </w:p>
    <w:p>
      <w:pPr>
        <w:spacing w:after="0" w:line="208" w:lineRule="exact"/>
        <w:rPr>
          <w:sz w:val="20"/>
          <w:szCs w:val="20"/>
          <w:color w:val="auto"/>
        </w:rPr>
      </w:pPr>
    </w:p>
    <w:p>
      <w:pPr>
        <w:ind w:left="740" w:right="2099" w:firstLine="5"/>
        <w:spacing w:after="0" w:line="235" w:lineRule="auto"/>
        <w:tabs>
          <w:tab w:leader="none" w:pos="95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refuse to accept any original notes and return all tendered original notes to you;</w:t>
      </w:r>
    </w:p>
    <w:p>
      <w:pPr>
        <w:spacing w:after="0" w:line="208" w:lineRule="exact"/>
        <w:rPr>
          <w:rFonts w:ascii="Courier New" w:cs="Courier New" w:eastAsia="Courier New" w:hAnsi="Courier New"/>
          <w:sz w:val="18"/>
          <w:szCs w:val="18"/>
          <w:color w:val="auto"/>
        </w:rPr>
      </w:pPr>
    </w:p>
    <w:p>
      <w:pPr>
        <w:ind w:left="740" w:right="1779" w:firstLine="5"/>
        <w:spacing w:after="0" w:line="236" w:lineRule="auto"/>
        <w:tabs>
          <w:tab w:leader="none" w:pos="95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extend the exchange offer and retain all original notes tendered before the exchange offer expires, subject, however, to your rights to withdraw the original notes; or</w:t>
      </w:r>
    </w:p>
    <w:p>
      <w:pPr>
        <w:spacing w:after="0" w:line="208" w:lineRule="exact"/>
        <w:rPr>
          <w:rFonts w:ascii="Courier New" w:cs="Courier New" w:eastAsia="Courier New" w:hAnsi="Courier New"/>
          <w:sz w:val="18"/>
          <w:szCs w:val="18"/>
          <w:color w:val="auto"/>
        </w:rPr>
      </w:pPr>
    </w:p>
    <w:p>
      <w:pPr>
        <w:jc w:val="both"/>
        <w:ind w:left="740" w:right="1779" w:firstLine="5"/>
        <w:spacing w:after="0" w:line="290" w:lineRule="auto"/>
        <w:tabs>
          <w:tab w:leader="none" w:pos="95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 the unsatisfied conditions with respect to the exchange offer and accept all properly tendered original notes that have not been withdrawn.</w:t>
      </w:r>
    </w:p>
    <w:p>
      <w:pPr>
        <w:spacing w:after="0" w:line="17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the waiver constitutes a material change to the exchange offer, we will promptly disclose the waiver by means of a prospectus supplement that we will distribute to the registered holders of the original notes, and we will extend the exchange offer for a period of five to ten</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4" w:name="page35"/>
    <w:bookmarkEnd w:id="34"/>
    <w:p>
      <w:pPr>
        <w:ind w:right="1999"/>
        <w:spacing w:after="0" w:line="236" w:lineRule="auto"/>
        <w:rPr>
          <w:sz w:val="20"/>
          <w:szCs w:val="20"/>
          <w:color w:val="auto"/>
        </w:rPr>
      </w:pPr>
      <w:r>
        <w:rPr>
          <w:rFonts w:ascii="Courier New" w:cs="Courier New" w:eastAsia="Courier New" w:hAnsi="Courier New"/>
          <w:sz w:val="18"/>
          <w:szCs w:val="18"/>
          <w:color w:val="auto"/>
        </w:rPr>
        <w:t>business days, depending upon the significance of the waiver and the manner of disclosure to the registered holders, if the exchange offer would otherwise expire during the five to ten business day period.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OF RIGHTS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If you are a holder of original notes, all of your rights under the registration rights agreement will terminate upon consummation of the exchange offer except with respect to our continuing obligations:</w:t>
      </w:r>
    </w:p>
    <w:p>
      <w:pPr>
        <w:spacing w:after="0" w:line="209" w:lineRule="exact"/>
        <w:rPr>
          <w:sz w:val="20"/>
          <w:szCs w:val="20"/>
          <w:color w:val="auto"/>
        </w:rPr>
      </w:pPr>
    </w:p>
    <w:p>
      <w:pPr>
        <w:ind w:left="740" w:right="2519" w:firstLine="5"/>
        <w:spacing w:after="0" w:line="235" w:lineRule="auto"/>
        <w:tabs>
          <w:tab w:leader="none" w:pos="95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indemnify you and parties related to you against liabilities, including liabilities under the Securities Act; and</w:t>
      </w:r>
    </w:p>
    <w:p>
      <w:pPr>
        <w:spacing w:after="0" w:line="208" w:lineRule="exact"/>
        <w:rPr>
          <w:rFonts w:ascii="Courier New" w:cs="Courier New" w:eastAsia="Courier New" w:hAnsi="Courier New"/>
          <w:sz w:val="18"/>
          <w:szCs w:val="18"/>
          <w:color w:val="auto"/>
        </w:rPr>
      </w:pPr>
    </w:p>
    <w:p>
      <w:pPr>
        <w:ind w:left="740" w:right="2519" w:firstLine="5"/>
        <w:spacing w:after="0" w:line="236" w:lineRule="auto"/>
        <w:tabs>
          <w:tab w:leader="none" w:pos="95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upon your request, the information required by Rule 144A(d)(4) under the Securities Act to permit resales of the notes pursuant to Rule 144A.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SHELF REGISTRATION</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If (1) applicable law or interpretations of the staff of the SEC do not permit us to consummate the exchange offer, (2) we do not consummate the exchange offer on or before November 6, 2002 or (3) the initial purchasers determine, upon the opinion of their counsel, that a registration statement must be filed and a prospectus must be delivered by the initial purchasers in connection with any offering or sale of the original notes, we will file with the SEC a shelf registration statement to register for public resale the registrable securities.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purposes of the registration rights agreement, "registrable securities"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means each original note until the earliest date on which:</w:t>
      </w:r>
    </w:p>
    <w:p>
      <w:pPr>
        <w:spacing w:after="0" w:line="207" w:lineRule="exact"/>
        <w:rPr>
          <w:sz w:val="20"/>
          <w:szCs w:val="20"/>
          <w:color w:val="auto"/>
        </w:rPr>
      </w:pPr>
    </w:p>
    <w:p>
      <w:pPr>
        <w:ind w:left="740" w:right="1999" w:firstLine="5"/>
        <w:spacing w:after="0" w:line="279" w:lineRule="auto"/>
        <w:tabs>
          <w:tab w:leader="none" w:pos="95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registration statement covering the original note has been declared effective under the Securities Act and the note has been exchanged or disposed of pursuant to such effective registration statement;</w:t>
      </w:r>
    </w:p>
    <w:p>
      <w:pPr>
        <w:spacing w:after="0" w:line="178" w:lineRule="exact"/>
        <w:rPr>
          <w:rFonts w:ascii="Courier New" w:cs="Courier New" w:eastAsia="Courier New" w:hAnsi="Courier New"/>
          <w:sz w:val="16"/>
          <w:szCs w:val="16"/>
          <w:color w:val="auto"/>
        </w:rPr>
      </w:pPr>
    </w:p>
    <w:p>
      <w:pPr>
        <w:ind w:left="740" w:right="2099" w:firstLine="5"/>
        <w:spacing w:after="0" w:line="236" w:lineRule="auto"/>
        <w:tabs>
          <w:tab w:leader="none" w:pos="951"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original note is eligible to be sold pursuant to Rule 144(k) (or any similar provision then in force, but not Rule 144A) under the Securities Act; or</w:t>
      </w:r>
    </w:p>
    <w:p>
      <w:pPr>
        <w:spacing w:after="0" w:line="203"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original note ceases to be outstanding.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INTEREST ON ORIGINAL NOTES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the exchange offer is not completed (or, if required, the shelf registration statement is not declared effective) on or before November 6, 2002, the annual interest rate borne by the original notes will be increased by (1) 0.50% per annum for the first 90-day period immediately following November 6, 2002 and (2) an additional 0.50% per annum with respect to each subsequent 90-day period, in each case until the exchange offer is completed or the shelf registration statement, if required, is declared effective or the original notes cease to be registrable securities, up to a maximum of 1.50% per annum of additional interest.</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agree to pay any amount of additional interest due pursuant to clause (1) or</w:t>
      </w:r>
    </w:p>
    <w:p>
      <w:pPr>
        <w:spacing w:after="0" w:line="21" w:lineRule="exact"/>
        <w:rPr>
          <w:sz w:val="20"/>
          <w:szCs w:val="20"/>
          <w:color w:val="auto"/>
        </w:rPr>
      </w:pPr>
    </w:p>
    <w:p>
      <w:pPr>
        <w:ind w:right="2099" w:firstLine="8"/>
        <w:spacing w:after="0" w:line="235" w:lineRule="auto"/>
        <w:tabs>
          <w:tab w:leader="none" w:pos="421"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in cash on the same original interest payment dates as the original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AGENT</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We have appointed State Street Bank and Trust Company, the trustee under the indenture, as exchange agent for the exchange offer. You should direct questions and requests for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35" w:name="page36"/>
    <w:bookmarkEnd w:id="35"/>
    <w:p>
      <w:pPr>
        <w:ind w:right="1999"/>
        <w:spacing w:after="0" w:line="236" w:lineRule="auto"/>
        <w:rPr>
          <w:sz w:val="20"/>
          <w:szCs w:val="20"/>
          <w:color w:val="auto"/>
        </w:rPr>
      </w:pPr>
      <w:r>
        <w:rPr>
          <w:rFonts w:ascii="Courier New" w:cs="Courier New" w:eastAsia="Courier New" w:hAnsi="Courier New"/>
          <w:sz w:val="18"/>
          <w:szCs w:val="18"/>
          <w:color w:val="auto"/>
        </w:rPr>
        <w:t>assistance, requests for additional copies of this prospectus or the letter of transmittal and requests for a notice of guaranteed delivery to the exchange agent addressed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320" w:type="dxa"/>
            <w:vAlign w:val="bottom"/>
          </w:tcPr>
          <w:p>
            <w:pPr>
              <w:jc w:val="center"/>
              <w:ind w:right="452"/>
              <w:spacing w:after="0"/>
              <w:rPr>
                <w:sz w:val="20"/>
                <w:szCs w:val="20"/>
                <w:color w:val="auto"/>
              </w:rPr>
            </w:pPr>
            <w:r>
              <w:rPr>
                <w:rFonts w:ascii="Courier New" w:cs="Courier New" w:eastAsia="Courier New" w:hAnsi="Courier New"/>
                <w:sz w:val="18"/>
                <w:szCs w:val="18"/>
                <w:color w:val="auto"/>
                <w:w w:val="97"/>
              </w:rPr>
              <w:t>By registered or certified mail:</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By</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hand or overnight delivery:</w:t>
            </w:r>
          </w:p>
        </w:tc>
      </w:tr>
      <w:tr>
        <w:trPr>
          <w:trHeight w:val="203"/>
        </w:trPr>
        <w:tc>
          <w:tcPr>
            <w:tcW w:w="432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State Street Bank and Trust Company</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State</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Street Bank and Trust Company</w:t>
            </w:r>
          </w:p>
        </w:tc>
      </w:tr>
      <w:tr>
        <w:trPr>
          <w:trHeight w:val="203"/>
        </w:trPr>
        <w:tc>
          <w:tcPr>
            <w:tcW w:w="432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Corporate Trust Division</w:t>
            </w:r>
          </w:p>
        </w:tc>
        <w:tc>
          <w:tcPr>
            <w:tcW w:w="120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Corporate Trust Division</w:t>
            </w:r>
          </w:p>
        </w:tc>
      </w:tr>
      <w:tr>
        <w:trPr>
          <w:trHeight w:val="203"/>
        </w:trPr>
        <w:tc>
          <w:tcPr>
            <w:tcW w:w="432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Attn: Meaghan Haight</w:t>
            </w:r>
          </w:p>
        </w:tc>
        <w:tc>
          <w:tcPr>
            <w:tcW w:w="4320" w:type="dxa"/>
            <w:vAlign w:val="bottom"/>
            <w:gridSpan w:val="2"/>
          </w:tcPr>
          <w:p>
            <w:pPr>
              <w:jc w:val="center"/>
              <w:ind w:left="532"/>
              <w:spacing w:after="0" w:line="203" w:lineRule="exact"/>
              <w:rPr>
                <w:sz w:val="20"/>
                <w:szCs w:val="20"/>
                <w:color w:val="auto"/>
              </w:rPr>
            </w:pPr>
            <w:r>
              <w:rPr>
                <w:rFonts w:ascii="Courier New" w:cs="Courier New" w:eastAsia="Courier New" w:hAnsi="Courier New"/>
                <w:sz w:val="18"/>
                <w:szCs w:val="18"/>
                <w:color w:val="auto"/>
                <w:w w:val="97"/>
              </w:rPr>
              <w:t>Corporate Trust Window, Fifth Floor</w:t>
            </w:r>
          </w:p>
        </w:tc>
      </w:tr>
      <w:tr>
        <w:trPr>
          <w:trHeight w:val="203"/>
        </w:trPr>
        <w:tc>
          <w:tcPr>
            <w:tcW w:w="432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P.O. Box 778</w:t>
            </w:r>
          </w:p>
        </w:tc>
        <w:tc>
          <w:tcPr>
            <w:tcW w:w="1200" w:type="dxa"/>
            <w:vAlign w:val="bottom"/>
          </w:tcPr>
          <w:p>
            <w:pPr>
              <w:spacing w:after="0"/>
              <w:rPr>
                <w:sz w:val="17"/>
                <w:szCs w:val="17"/>
                <w:color w:val="auto"/>
              </w:rPr>
            </w:pPr>
          </w:p>
        </w:tc>
        <w:tc>
          <w:tcPr>
            <w:tcW w:w="3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Attn: Meaghan Haight</w:t>
            </w:r>
          </w:p>
        </w:tc>
      </w:tr>
      <w:tr>
        <w:trPr>
          <w:trHeight w:val="203"/>
        </w:trPr>
        <w:tc>
          <w:tcPr>
            <w:tcW w:w="432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6"/>
              </w:rPr>
              <w:t>Boston, MA 02102-0078</w:t>
            </w:r>
          </w:p>
        </w:tc>
        <w:tc>
          <w:tcPr>
            <w:tcW w:w="1200" w:type="dxa"/>
            <w:vAlign w:val="bottom"/>
          </w:tcPr>
          <w:p>
            <w:pPr>
              <w:spacing w:after="0"/>
              <w:rPr>
                <w:sz w:val="17"/>
                <w:szCs w:val="17"/>
                <w:color w:val="auto"/>
              </w:rPr>
            </w:pPr>
          </w:p>
        </w:tc>
        <w:tc>
          <w:tcPr>
            <w:tcW w:w="312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8"/>
              </w:rPr>
              <w:t>Avenue de Lafayette</w:t>
            </w:r>
          </w:p>
        </w:tc>
      </w:tr>
      <w:tr>
        <w:trPr>
          <w:trHeight w:val="203"/>
        </w:trPr>
        <w:tc>
          <w:tcPr>
            <w:tcW w:w="432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Reference: The Scotts Company</w:t>
            </w:r>
          </w:p>
        </w:tc>
        <w:tc>
          <w:tcPr>
            <w:tcW w:w="1200" w:type="dxa"/>
            <w:vAlign w:val="bottom"/>
          </w:tcPr>
          <w:p>
            <w:pPr>
              <w:spacing w:after="0"/>
              <w:rPr>
                <w:sz w:val="17"/>
                <w:szCs w:val="17"/>
                <w:color w:val="auto"/>
              </w:rPr>
            </w:pPr>
          </w:p>
        </w:tc>
        <w:tc>
          <w:tcPr>
            <w:tcW w:w="312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Boston, MA 02111-1724</w:t>
            </w:r>
          </w:p>
        </w:tc>
      </w:tr>
      <w:tr>
        <w:trPr>
          <w:trHeight w:val="203"/>
        </w:trPr>
        <w:tc>
          <w:tcPr>
            <w:tcW w:w="4320" w:type="dxa"/>
            <w:vAlign w:val="bottom"/>
          </w:tcPr>
          <w:p>
            <w:pPr>
              <w:spacing w:after="0"/>
              <w:rPr>
                <w:sz w:val="17"/>
                <w:szCs w:val="17"/>
                <w:color w:val="auto"/>
              </w:rPr>
            </w:pPr>
          </w:p>
        </w:tc>
        <w:tc>
          <w:tcPr>
            <w:tcW w:w="4320" w:type="dxa"/>
            <w:vAlign w:val="bottom"/>
            <w:gridSpan w:val="2"/>
          </w:tcPr>
          <w:p>
            <w:pPr>
              <w:jc w:val="center"/>
              <w:ind w:left="532"/>
              <w:spacing w:after="0" w:line="203" w:lineRule="exact"/>
              <w:rPr>
                <w:sz w:val="20"/>
                <w:szCs w:val="20"/>
                <w:color w:val="auto"/>
              </w:rPr>
            </w:pPr>
            <w:r>
              <w:rPr>
                <w:rFonts w:ascii="Courier New" w:cs="Courier New" w:eastAsia="Courier New" w:hAnsi="Courier New"/>
                <w:sz w:val="18"/>
                <w:szCs w:val="18"/>
                <w:color w:val="auto"/>
                <w:w w:val="97"/>
              </w:rPr>
              <w:t>Reference: The Scotts Company</w:t>
            </w:r>
          </w:p>
        </w:tc>
      </w:tr>
    </w:tbl>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facsimile:</w:t>
      </w:r>
    </w:p>
    <w:p>
      <w:pPr>
        <w:ind w:left="2740"/>
        <w:spacing w:after="0" w:line="238" w:lineRule="auto"/>
        <w:rPr>
          <w:sz w:val="20"/>
          <w:szCs w:val="20"/>
          <w:color w:val="auto"/>
        </w:rPr>
      </w:pPr>
      <w:r>
        <w:rPr>
          <w:rFonts w:ascii="Courier New" w:cs="Courier New" w:eastAsia="Courier New" w:hAnsi="Courier New"/>
          <w:sz w:val="18"/>
          <w:szCs w:val="18"/>
          <w:color w:val="auto"/>
        </w:rPr>
        <w:t>(Eligible institutions only)</w:t>
      </w:r>
    </w:p>
    <w:p>
      <w:pPr>
        <w:spacing w:after="0" w:line="202" w:lineRule="exact"/>
        <w:rPr>
          <w:sz w:val="20"/>
          <w:szCs w:val="20"/>
          <w:color w:val="auto"/>
        </w:rPr>
      </w:pPr>
    </w:p>
    <w:p>
      <w:pPr>
        <w:ind w:left="4120" w:hanging="636"/>
        <w:spacing w:after="0"/>
        <w:tabs>
          <w:tab w:leader="none" w:pos="41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662-1452</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 The Scotts Company</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information or</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confirmation by telephone:</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Meaghan Haight</w:t>
      </w:r>
    </w:p>
    <w:p>
      <w:pPr>
        <w:ind w:left="3480"/>
        <w:spacing w:after="0" w:line="238" w:lineRule="auto"/>
        <w:rPr>
          <w:sz w:val="20"/>
          <w:szCs w:val="20"/>
          <w:color w:val="auto"/>
        </w:rPr>
      </w:pPr>
      <w:r>
        <w:rPr>
          <w:rFonts w:ascii="Courier New" w:cs="Courier New" w:eastAsia="Courier New" w:hAnsi="Courier New"/>
          <w:sz w:val="18"/>
          <w:szCs w:val="18"/>
          <w:color w:val="auto"/>
        </w:rPr>
        <w:t>(617) 662-1603</w:t>
      </w:r>
    </w:p>
    <w:p>
      <w:pPr>
        <w:spacing w:after="0" w:line="207"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Delivery to an address other than the one stated above or transmission via a facsimile number other than the one stated above will not constitute a valid delivery.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FEES AND EXPENSES</w:t>
      </w:r>
    </w:p>
    <w:p>
      <w:pPr>
        <w:spacing w:after="0" w:line="207"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We will bear the expenses of soliciting tenders. We are making the principal solicitation by mail; however, our officers and regular employees may make additional solicitations by facsimile, telephone or in person.</w:t>
      </w:r>
    </w:p>
    <w:p>
      <w:pPr>
        <w:spacing w:after="0" w:line="17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have not retained any dealer manager in connection with the exchange offer and will not make any payments to brokers, dealers or others soliciting acceptances of the exchange offer. We will, however, pay the exchange agent reasonable and customary fees for its services and will reimburse it for its reasonable out-of-pocket expenses.</w:t>
      </w: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We will pay the cash expenses incurred in connection with the exchange offer which we estimate to be approximately $250,000. These expenses include registration fees, fees and expenses of the exchange agent and the trustee, accounting and legal fees and printing costs, among others.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will pay all transfer taxes, if any, applicable to the exchange of notes pursuant to the exchange offer. If, however, a transfer tax is imposed for any reason other than the exchange of the original notes pursuant to the exchange offer, then you must pay the amount of the transfer taxes. If you do not submit satisfactory evidence of payment of the taxes or exemption from payment with the letter of transmittal, we will bill the amount of the transfer taxes directly to you.</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CONSEQUENCE OF FAILURES TO EXCHANGE</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Participation in the exchange offer is voluntary. We urge you to consult your financial and tax advisors in making your decisions on what action to take. Original notes that are not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36" w:name="page37"/>
    <w:bookmarkEnd w:id="36"/>
    <w:p>
      <w:pPr>
        <w:ind w:right="2199"/>
        <w:spacing w:after="0" w:line="290" w:lineRule="auto"/>
        <w:rPr>
          <w:sz w:val="20"/>
          <w:szCs w:val="20"/>
          <w:color w:val="auto"/>
        </w:rPr>
      </w:pPr>
      <w:r>
        <w:rPr>
          <w:rFonts w:ascii="Courier New" w:cs="Courier New" w:eastAsia="Courier New" w:hAnsi="Courier New"/>
          <w:sz w:val="16"/>
          <w:szCs w:val="16"/>
          <w:color w:val="auto"/>
        </w:rPr>
        <w:t>exchanged for exchange notes pursuant to the exchange offer will remain restricted securities. Accordingly, those original notes may be resold only:</w:t>
      </w:r>
    </w:p>
    <w:p>
      <w:pPr>
        <w:spacing w:after="0" w:line="170" w:lineRule="exact"/>
        <w:rPr>
          <w:sz w:val="20"/>
          <w:szCs w:val="20"/>
          <w:color w:val="auto"/>
        </w:rPr>
      </w:pPr>
    </w:p>
    <w:p>
      <w:pPr>
        <w:ind w:left="740" w:right="2199" w:firstLine="5"/>
        <w:spacing w:after="0" w:line="236" w:lineRule="auto"/>
        <w:tabs>
          <w:tab w:leader="none" w:pos="951"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 person whom the seller reasonably believes is a qualified institutional buyer in a transaction meeting the requirements of Rule 144A;</w:t>
      </w:r>
    </w:p>
    <w:p>
      <w:pPr>
        <w:spacing w:after="0" w:line="208" w:lineRule="exact"/>
        <w:rPr>
          <w:rFonts w:ascii="Courier New" w:cs="Courier New" w:eastAsia="Courier New" w:hAnsi="Courier New"/>
          <w:sz w:val="18"/>
          <w:szCs w:val="18"/>
          <w:color w:val="auto"/>
        </w:rPr>
      </w:pPr>
    </w:p>
    <w:p>
      <w:pPr>
        <w:ind w:left="740" w:right="2619" w:firstLine="5"/>
        <w:spacing w:after="0" w:line="235" w:lineRule="auto"/>
        <w:tabs>
          <w:tab w:leader="none" w:pos="951"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 transaction meeting the requirements of Rule 144 under the Securities Act;</w:t>
      </w:r>
    </w:p>
    <w:p>
      <w:pPr>
        <w:spacing w:after="0" w:line="208" w:lineRule="exact"/>
        <w:rPr>
          <w:rFonts w:ascii="Courier New" w:cs="Courier New" w:eastAsia="Courier New" w:hAnsi="Courier New"/>
          <w:sz w:val="18"/>
          <w:szCs w:val="18"/>
          <w:color w:val="auto"/>
        </w:rPr>
      </w:pPr>
    </w:p>
    <w:p>
      <w:pPr>
        <w:jc w:val="both"/>
        <w:ind w:left="740" w:right="1879" w:firstLine="5"/>
        <w:spacing w:after="0" w:line="236" w:lineRule="auto"/>
        <w:tabs>
          <w:tab w:leader="none" w:pos="951"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outside the United States to a foreign person in a transaction meeting the requirements of Rule 903 or 904 of Regulation S under the Securities Act;</w:t>
      </w:r>
    </w:p>
    <w:p>
      <w:pPr>
        <w:spacing w:after="0" w:line="208" w:lineRule="exact"/>
        <w:rPr>
          <w:rFonts w:ascii="Courier New" w:cs="Courier New" w:eastAsia="Courier New" w:hAnsi="Courier New"/>
          <w:sz w:val="18"/>
          <w:szCs w:val="18"/>
          <w:color w:val="auto"/>
        </w:rPr>
      </w:pPr>
    </w:p>
    <w:p>
      <w:pPr>
        <w:ind w:left="740" w:right="1779" w:firstLine="5"/>
        <w:spacing w:after="0" w:line="236" w:lineRule="auto"/>
        <w:tabs>
          <w:tab w:leader="none" w:pos="951"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another exemption from the registration requirements of the Securities Act and based upon an opinion of counsel if we so request;</w:t>
      </w:r>
    </w:p>
    <w:p>
      <w:pPr>
        <w:spacing w:after="0" w:line="203"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us; or</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an effective registration statement.</w:t>
      </w:r>
    </w:p>
    <w:p>
      <w:pPr>
        <w:spacing w:after="0" w:line="207"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In each case, the original notes may be resold only in accordance with any applicable securities laws of any state of the United States or any other applicable jurisdiction.</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following table sets forth our ratio of earnings to fixed charges for each of the periods shown:</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SIX MONTHS ENDED YEAR ENDED</w:t>
      </w:r>
    </w:p>
    <w:p>
      <w:pPr>
        <w:ind w:left="60"/>
        <w:spacing w:after="0" w:line="238" w:lineRule="auto"/>
        <w:rPr>
          <w:sz w:val="20"/>
          <w:szCs w:val="20"/>
          <w:color w:val="auto"/>
        </w:rPr>
      </w:pPr>
      <w:r>
        <w:rPr>
          <w:rFonts w:ascii="Courier New" w:cs="Courier New" w:eastAsia="Courier New" w:hAnsi="Courier New"/>
          <w:sz w:val="18"/>
          <w:szCs w:val="18"/>
          <w:color w:val="auto"/>
        </w:rPr>
        <w:t>SEPTEMBER 30, ------------------</w:t>
      </w:r>
    </w:p>
    <w:p>
      <w:pPr>
        <w:ind w:left="480" w:hanging="422"/>
        <w:spacing w:after="0"/>
        <w:tabs>
          <w:tab w:leader="none" w:pos="4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 w:lineRule="exact"/>
        <w:rPr>
          <w:rFonts w:ascii="Courier New" w:cs="Courier New" w:eastAsia="Courier New" w:hAnsi="Courier New"/>
          <w:sz w:val="18"/>
          <w:szCs w:val="18"/>
          <w:color w:val="auto"/>
        </w:rPr>
      </w:pPr>
    </w:p>
    <w:p>
      <w:pPr>
        <w:ind w:left="120" w:right="6839" w:firstLine="96"/>
        <w:spacing w:after="0" w:line="268" w:lineRule="auto"/>
        <w:tabs>
          <w:tab w:leader="none" w:pos="752"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MARCH 31, MARCH 30, 1997 1998 1999 2000 2001 2001 2002 -</w:t>
      </w:r>
    </w:p>
    <w:p>
      <w:pPr>
        <w:ind w:left="60"/>
        <w:spacing w:after="0" w:line="233"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(UNAUDITED) (UNAUDITED) Ratio of</w:t>
      </w:r>
    </w:p>
    <w:tbl>
      <w:tblPr>
        <w:tblLayout w:type="fixed"/>
        <w:tblInd w:w="0" w:type="dxa"/>
        <w:tblCellMar>
          <w:top w:w="0" w:type="dxa"/>
          <w:left w:w="0" w:type="dxa"/>
          <w:bottom w:w="0" w:type="dxa"/>
          <w:right w:w="0" w:type="dxa"/>
        </w:tblCellMar>
      </w:tblPr>
      <w:tr>
        <w:trPr>
          <w:trHeight w:val="202"/>
        </w:trPr>
        <w:tc>
          <w:tcPr>
            <w:tcW w:w="68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earnings</w:t>
            </w:r>
          </w:p>
        </w:tc>
        <w:tc>
          <w:tcPr>
            <w:tcW w:w="1060" w:type="dxa"/>
            <w:vAlign w:val="bottom"/>
            <w:gridSpan w:val="2"/>
          </w:tcPr>
          <w:p>
            <w:pPr>
              <w:ind w:left="60"/>
              <w:spacing w:after="0" w:line="202" w:lineRule="exact"/>
              <w:rPr>
                <w:sz w:val="20"/>
                <w:szCs w:val="20"/>
                <w:color w:val="auto"/>
              </w:rPr>
            </w:pPr>
            <w:r>
              <w:rPr>
                <w:rFonts w:ascii="Courier New" w:cs="Courier New" w:eastAsia="Courier New" w:hAnsi="Courier New"/>
                <w:sz w:val="18"/>
                <w:szCs w:val="18"/>
                <w:color w:val="auto"/>
              </w:rPr>
              <w:t>to fixed</w:t>
            </w:r>
          </w:p>
        </w:tc>
        <w:tc>
          <w:tcPr>
            <w:tcW w:w="480" w:type="dxa"/>
            <w:vAlign w:val="bottom"/>
          </w:tcPr>
          <w:p>
            <w:pPr>
              <w:spacing w:after="0"/>
              <w:rPr>
                <w:sz w:val="17"/>
                <w:szCs w:val="17"/>
                <w:color w:val="auto"/>
              </w:rPr>
            </w:pPr>
          </w:p>
        </w:tc>
      </w:tr>
      <w:tr>
        <w:trPr>
          <w:trHeight w:val="203"/>
        </w:trPr>
        <w:tc>
          <w:tcPr>
            <w:tcW w:w="174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2"/>
              </w:rPr>
              <w:t>charges..........................</w:t>
            </w: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3.3x</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2.6x</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2.3x</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2.1x</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1.3x</w:t>
            </w:r>
          </w:p>
        </w:tc>
        <w:tc>
          <w:tcPr>
            <w:tcW w:w="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2.0x</w:t>
            </w:r>
          </w:p>
        </w:tc>
      </w:tr>
    </w:tbl>
    <w:p>
      <w:pPr>
        <w:ind w:left="60"/>
        <w:spacing w:after="0" w:line="238" w:lineRule="auto"/>
        <w:rPr>
          <w:sz w:val="20"/>
          <w:szCs w:val="20"/>
          <w:color w:val="auto"/>
        </w:rPr>
      </w:pPr>
      <w:r>
        <w:rPr>
          <w:rFonts w:ascii="Courier New" w:cs="Courier New" w:eastAsia="Courier New" w:hAnsi="Courier New"/>
          <w:sz w:val="18"/>
          <w:szCs w:val="18"/>
          <w:color w:val="auto"/>
        </w:rPr>
        <w:t>1.6x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will not receive any proceeds from the issuance of the exchange notes. The net proceeds from the offering of the original notes, after deducting fees and expenses (including discounts and commissions), was approximately $69.8 million. The net proceeds were used to repay outstanding indebtedness under our revolving credit facility (without any corresponding reduction in our commitment thereunder). Our revolving credit facility commitment expires on June 30, 2005. Our revolving credit facility bore interest at a weighted average rate of 5.40% as of March 30, 2002.</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37" w:name="page38"/>
    <w:bookmarkEnd w:id="37"/>
    <w:p>
      <w:pPr>
        <w:ind w:left="3480"/>
        <w:spacing w:after="0"/>
        <w:rPr>
          <w:sz w:val="20"/>
          <w:szCs w:val="20"/>
          <w:color w:val="auto"/>
        </w:rPr>
      </w:pPr>
      <w:r>
        <w:rPr>
          <w:rFonts w:ascii="Courier New" w:cs="Courier New" w:eastAsia="Courier New" w:hAnsi="Courier New"/>
          <w:sz w:val="18"/>
          <w:szCs w:val="18"/>
          <w:color w:val="auto"/>
        </w:rPr>
        <w:t>CAPITALIZATION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table sets forth our capitalization at March 30, 2002.</w:t>
      </w:r>
    </w:p>
    <w:p>
      <w:pPr>
        <w:spacing w:after="0" w:line="201" w:lineRule="exact"/>
        <w:rPr>
          <w:sz w:val="20"/>
          <w:szCs w:val="20"/>
          <w:color w:val="auto"/>
        </w:rPr>
      </w:pPr>
    </w:p>
    <w:p>
      <w:pPr>
        <w:ind w:left="260" w:hanging="204"/>
        <w:spacing w:after="0"/>
        <w:tabs>
          <w:tab w:leader="none" w:pos="26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 MILLIONS) AS</w:t>
      </w:r>
    </w:p>
    <w:p>
      <w:pPr>
        <w:ind w:left="60"/>
        <w:spacing w:after="0"/>
        <w:rPr>
          <w:sz w:val="20"/>
          <w:szCs w:val="20"/>
          <w:color w:val="auto"/>
        </w:rPr>
      </w:pPr>
      <w:r>
        <w:rPr>
          <w:rFonts w:ascii="Courier New" w:cs="Courier New" w:eastAsia="Courier New" w:hAnsi="Courier New"/>
          <w:sz w:val="18"/>
          <w:szCs w:val="18"/>
          <w:color w:val="auto"/>
        </w:rPr>
        <w:t>OF MARCH 30, 2002 -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000" w:right="4999" w:hanging="733"/>
        <w:spacing w:after="0" w:line="268" w:lineRule="auto"/>
        <w:tabs>
          <w:tab w:leader="none" w:pos="473"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 Debt (including current portion): Credit facility: Revolving credit</w:t>
      </w:r>
    </w:p>
    <w:p>
      <w:pPr>
        <w:ind w:left="60"/>
        <w:spacing w:after="0" w:line="233" w:lineRule="auto"/>
        <w:rPr>
          <w:sz w:val="20"/>
          <w:szCs w:val="20"/>
          <w:color w:val="auto"/>
        </w:rPr>
      </w:pPr>
      <w:r>
        <w:rPr>
          <w:rFonts w:ascii="Courier New" w:cs="Courier New" w:eastAsia="Courier New" w:hAnsi="Courier New"/>
          <w:sz w:val="18"/>
          <w:szCs w:val="18"/>
          <w:color w:val="auto"/>
        </w:rPr>
        <w:t>facility.............................. $ 284.6 Term</w:t>
      </w:r>
    </w:p>
    <w:p>
      <w:pPr>
        <w:ind w:left="100"/>
        <w:spacing w:after="0"/>
        <w:rPr>
          <w:sz w:val="20"/>
          <w:szCs w:val="20"/>
          <w:color w:val="auto"/>
        </w:rPr>
      </w:pPr>
      <w:r>
        <w:rPr>
          <w:rFonts w:ascii="Courier New" w:cs="Courier New" w:eastAsia="Courier New" w:hAnsi="Courier New"/>
          <w:sz w:val="18"/>
          <w:szCs w:val="18"/>
          <w:color w:val="auto"/>
        </w:rPr>
        <w:t>loans.............................................</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378.4 8.625% senior subordinated</w:t>
      </w:r>
    </w:p>
    <w:p>
      <w:pPr>
        <w:spacing w:after="0" w:line="200" w:lineRule="exact"/>
        <w:rPr>
          <w:sz w:val="20"/>
          <w:szCs w:val="20"/>
          <w:color w:val="auto"/>
        </w:rPr>
      </w:pPr>
    </w:p>
    <w:p>
      <w:pPr>
        <w:spacing w:after="0" w:line="206" w:lineRule="exact"/>
        <w:rPr>
          <w:sz w:val="20"/>
          <w:szCs w:val="20"/>
          <w:color w:val="auto"/>
        </w:rPr>
      </w:pPr>
    </w:p>
    <w:p>
      <w:pPr>
        <w:ind w:right="4739" w:firstLine="470"/>
        <w:spacing w:after="0" w:line="268" w:lineRule="auto"/>
        <w:rPr>
          <w:sz w:val="20"/>
          <w:szCs w:val="20"/>
          <w:color w:val="auto"/>
        </w:rPr>
      </w:pPr>
      <w:r>
        <w:rPr>
          <w:rFonts w:ascii="Courier New" w:cs="Courier New" w:eastAsia="Courier New" w:hAnsi="Courier New"/>
          <w:sz w:val="16"/>
          <w:szCs w:val="16"/>
          <w:color w:val="auto"/>
        </w:rPr>
        <w:t>notes(1)....................... 391.2 Other debt(2)............................................. 72.5 -------- Total</w:t>
      </w:r>
    </w:p>
    <w:p>
      <w:pPr>
        <w:ind w:left="260"/>
        <w:spacing w:after="0" w:line="233" w:lineRule="auto"/>
        <w:rPr>
          <w:sz w:val="20"/>
          <w:szCs w:val="20"/>
          <w:color w:val="auto"/>
        </w:rPr>
      </w:pPr>
      <w:r>
        <w:rPr>
          <w:rFonts w:ascii="Courier New" w:cs="Courier New" w:eastAsia="Courier New" w:hAnsi="Courier New"/>
          <w:sz w:val="18"/>
          <w:szCs w:val="18"/>
          <w:color w:val="auto"/>
        </w:rPr>
        <w:t>debt...........................................</w:t>
      </w:r>
    </w:p>
    <w:p>
      <w:pPr>
        <w:jc w:val="center"/>
        <w:ind w:right="4739"/>
        <w:spacing w:after="0"/>
        <w:rPr>
          <w:sz w:val="20"/>
          <w:szCs w:val="20"/>
          <w:color w:val="auto"/>
        </w:rPr>
      </w:pPr>
      <w:r>
        <w:rPr>
          <w:rFonts w:ascii="Courier New" w:cs="Courier New" w:eastAsia="Courier New" w:hAnsi="Courier New"/>
          <w:sz w:val="18"/>
          <w:szCs w:val="18"/>
          <w:color w:val="auto"/>
        </w:rPr>
        <w:t>1,126.7 Shareholders'</w:t>
      </w:r>
    </w:p>
    <w:p>
      <w:pPr>
        <w:ind w:left="320"/>
        <w:spacing w:after="0" w:line="237" w:lineRule="auto"/>
        <w:rPr>
          <w:sz w:val="20"/>
          <w:szCs w:val="20"/>
          <w:color w:val="auto"/>
        </w:rPr>
      </w:pPr>
      <w:r>
        <w:rPr>
          <w:rFonts w:ascii="Courier New" w:cs="Courier New" w:eastAsia="Courier New" w:hAnsi="Courier New"/>
          <w:sz w:val="18"/>
          <w:szCs w:val="18"/>
          <w:color w:val="auto"/>
        </w:rPr>
        <w:t>equity........................................</w:t>
      </w:r>
    </w:p>
    <w:p>
      <w:pPr>
        <w:ind w:left="1680"/>
        <w:spacing w:after="0"/>
        <w:rPr>
          <w:sz w:val="20"/>
          <w:szCs w:val="20"/>
          <w:color w:val="auto"/>
        </w:rPr>
      </w:pPr>
      <w:r>
        <w:rPr>
          <w:rFonts w:ascii="Courier New" w:cs="Courier New" w:eastAsia="Courier New" w:hAnsi="Courier New"/>
          <w:sz w:val="18"/>
          <w:szCs w:val="18"/>
          <w:color w:val="auto"/>
        </w:rPr>
        <w:t>516.9 -------- Total</w:t>
      </w:r>
    </w:p>
    <w:p>
      <w:pPr>
        <w:ind w:left="260"/>
        <w:spacing w:after="0" w:line="237" w:lineRule="auto"/>
        <w:rPr>
          <w:sz w:val="20"/>
          <w:szCs w:val="20"/>
          <w:color w:val="auto"/>
        </w:rPr>
      </w:pPr>
      <w:r>
        <w:rPr>
          <w:rFonts w:ascii="Courier New" w:cs="Courier New" w:eastAsia="Courier New" w:hAnsi="Courier New"/>
          <w:sz w:val="18"/>
          <w:szCs w:val="18"/>
          <w:color w:val="auto"/>
        </w:rPr>
        <w:t>capitalization.................................</w:t>
      </w:r>
    </w:p>
    <w:p>
      <w:pPr>
        <w:ind w:left="60"/>
        <w:spacing w:after="0"/>
        <w:rPr>
          <w:sz w:val="20"/>
          <w:szCs w:val="20"/>
          <w:color w:val="auto"/>
        </w:rPr>
      </w:pPr>
      <w:r>
        <w:rPr>
          <w:rFonts w:ascii="Courier New" w:cs="Courier New" w:eastAsia="Courier New" w:hAnsi="Courier New"/>
          <w:sz w:val="18"/>
          <w:szCs w:val="18"/>
          <w:color w:val="auto"/>
        </w:rPr>
        <w:t>$1,673.6 - ----------------------------------------</w:t>
      </w:r>
    </w:p>
    <w:p>
      <w:pPr>
        <w:ind w:left="48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779" w:firstLine="8"/>
        <w:spacing w:after="0" w:line="236" w:lineRule="auto"/>
        <w:tabs>
          <w:tab w:leader="none" w:pos="421"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are net of the unamortized balance of $8.8 million relating to interest rate lock contracts which were settled in 1998 at a total cost of $12.9 million.</w:t>
      </w:r>
    </w:p>
    <w:p>
      <w:pPr>
        <w:spacing w:after="0" w:line="208" w:lineRule="exact"/>
        <w:rPr>
          <w:rFonts w:ascii="Courier New" w:cs="Courier New" w:eastAsia="Courier New" w:hAnsi="Courier New"/>
          <w:sz w:val="18"/>
          <w:szCs w:val="18"/>
          <w:color w:val="auto"/>
        </w:rPr>
      </w:pPr>
    </w:p>
    <w:p>
      <w:pPr>
        <w:ind w:right="1999" w:firstLine="8"/>
        <w:spacing w:after="0" w:line="290" w:lineRule="auto"/>
        <w:tabs>
          <w:tab w:leader="none" w:pos="42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$48.6 million of notes due to sellers, $11.8 million of foreign bank borrowings and term loans and $12.1 million of capital lease obligations.</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17" w:right="1440" w:bottom="1440" w:gutter="0" w:footer="0" w:header="0"/>
        </w:sectPr>
      </w:pPr>
    </w:p>
    <w:bookmarkStart w:id="38" w:name="page39"/>
    <w:bookmarkEnd w:id="38"/>
    <w:p>
      <w:pPr>
        <w:jc w:val="center"/>
        <w:ind w:right="1779"/>
        <w:spacing w:after="0"/>
        <w:rPr>
          <w:sz w:val="20"/>
          <w:szCs w:val="20"/>
          <w:color w:val="auto"/>
        </w:rPr>
      </w:pPr>
      <w:r>
        <w:rPr>
          <w:rFonts w:ascii="Courier New" w:cs="Courier New" w:eastAsia="Courier New" w:hAnsi="Courier New"/>
          <w:sz w:val="18"/>
          <w:szCs w:val="18"/>
          <w:color w:val="auto"/>
        </w:rPr>
        <w:t>SELECTED CONSOLIDATED FINANCIAL DATA</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have derived the historical financial data included in the table for, and as of the end of, each of the fiscal years in the five-year period ended September 30, 2001, from our audited consolidated financial statements. The historical financial data for the six months ended March 31, 2001 and March 30, 2002, have been derived from our unaudited consolidated financial statements. The following other financial data have been derived from our audited and unaudited consolidated financial statements and accounting records for the respective periods. In the opinion of our management, the unaudited consolidated financial data presented below provides all normal and recurring adjustments necessary for a fair presentation of the results of operations for the periods specified. Such results, however, are not necessarily indicative of the results which may be expected for the full fiscal year. You should read the following information in conjunction with our consolidated financial statements and the notes thereto, and the information contained in "Management's discussion and analysis of financial condition and results of operations" which are incorporated by reference into this prospectus.</w:t>
      </w:r>
    </w:p>
    <w:p>
      <w:pPr>
        <w:spacing w:after="0" w:line="203" w:lineRule="exact"/>
        <w:rPr>
          <w:sz w:val="20"/>
          <w:szCs w:val="20"/>
          <w:color w:val="auto"/>
        </w:rPr>
      </w:pPr>
    </w:p>
    <w:p>
      <w:pPr>
        <w:ind w:left="260" w:hanging="202"/>
        <w:spacing w:after="0"/>
        <w:tabs>
          <w:tab w:leader="none" w:pos="2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SIX MONTHS</w:t>
      </w:r>
    </w:p>
    <w:p>
      <w:pPr>
        <w:ind w:left="120"/>
        <w:spacing w:after="0" w:line="237" w:lineRule="auto"/>
        <w:rPr>
          <w:sz w:val="20"/>
          <w:szCs w:val="20"/>
          <w:color w:val="auto"/>
        </w:rPr>
      </w:pPr>
      <w:r>
        <w:rPr>
          <w:rFonts w:ascii="Courier New" w:cs="Courier New" w:eastAsia="Courier New" w:hAnsi="Courier New"/>
          <w:sz w:val="18"/>
          <w:szCs w:val="18"/>
          <w:color w:val="auto"/>
        </w:rPr>
        <w:t>ENDED, YEAR ENDED SEPTEMBER 30,</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tbl>
      <w:tblPr>
        <w:tblLayout w:type="fixed"/>
        <w:tblInd w:w="60" w:type="dxa"/>
        <w:tblCellMar>
          <w:top w:w="0" w:type="dxa"/>
          <w:left w:w="0" w:type="dxa"/>
          <w:bottom w:w="0" w:type="dxa"/>
          <w:right w:w="0" w:type="dxa"/>
        </w:tblCellMar>
      </w:tblPr>
      <w:tr>
        <w:trPr>
          <w:trHeight w:val="202"/>
        </w:trPr>
        <w:tc>
          <w:tcPr>
            <w:tcW w:w="11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87"/>
              </w:rPr>
              <w:t>------------</w:t>
            </w:r>
          </w:p>
        </w:tc>
        <w:tc>
          <w:tcPr>
            <w:tcW w:w="2200" w:type="dxa"/>
            <w:vAlign w:val="bottom"/>
            <w:gridSpan w:val="4"/>
          </w:tcPr>
          <w:p>
            <w:pPr>
              <w:jc w:val="right"/>
              <w:spacing w:after="0" w:line="202" w:lineRule="exact"/>
              <w:rPr>
                <w:sz w:val="20"/>
                <w:szCs w:val="20"/>
                <w:color w:val="auto"/>
              </w:rPr>
            </w:pPr>
            <w:r>
              <w:rPr>
                <w:rFonts w:ascii="Courier New" w:cs="Courier New" w:eastAsia="Courier New" w:hAnsi="Courier New"/>
                <w:sz w:val="18"/>
                <w:szCs w:val="18"/>
                <w:color w:val="auto"/>
              </w:rPr>
              <w:t>MARCH 31, MARCH 30,</w:t>
            </w:r>
          </w:p>
        </w:tc>
      </w:tr>
      <w:tr>
        <w:trPr>
          <w:trHeight w:val="203"/>
        </w:trPr>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1997</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1998</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c>
          <w:tcPr>
            <w:tcW w:w="6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2001</w:t>
            </w:r>
          </w:p>
        </w:tc>
      </w:tr>
    </w:tbl>
    <w:p>
      <w:pPr>
        <w:ind w:left="60"/>
        <w:spacing w:after="0" w:line="238" w:lineRule="auto"/>
        <w:rPr>
          <w:sz w:val="20"/>
          <w:szCs w:val="20"/>
          <w:color w:val="auto"/>
        </w:rPr>
      </w:pPr>
      <w:r>
        <w:rPr>
          <w:rFonts w:ascii="Courier New" w:cs="Courier New" w:eastAsia="Courier New" w:hAnsi="Courier New"/>
          <w:sz w:val="18"/>
          <w:szCs w:val="18"/>
          <w:color w:val="auto"/>
        </w:rPr>
        <w:t>2002 -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38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(UNAUDITED) (UNAUDITED)</w:t>
      </w:r>
    </w:p>
    <w:tbl>
      <w:tblPr>
        <w:tblLayout w:type="fixed"/>
        <w:tblInd w:w="0" w:type="dxa"/>
        <w:tblCellMar>
          <w:top w:w="0" w:type="dxa"/>
          <w:left w:w="0" w:type="dxa"/>
          <w:bottom w:w="0" w:type="dxa"/>
          <w:right w:w="0" w:type="dxa"/>
        </w:tblCellMar>
      </w:tblPr>
      <w:tr>
        <w:trPr>
          <w:trHeight w:val="202"/>
        </w:trPr>
        <w:tc>
          <w:tcPr>
            <w:tcW w:w="680" w:type="dxa"/>
            <w:vAlign w:val="bottom"/>
          </w:tcPr>
          <w:p>
            <w:pPr>
              <w:spacing w:after="0"/>
              <w:rPr>
                <w:sz w:val="17"/>
                <w:szCs w:val="17"/>
                <w:color w:val="auto"/>
              </w:rPr>
            </w:pPr>
          </w:p>
        </w:tc>
        <w:tc>
          <w:tcPr>
            <w:tcW w:w="2160" w:type="dxa"/>
            <w:vAlign w:val="bottom"/>
            <w:gridSpan w:val="10"/>
          </w:tcPr>
          <w:p>
            <w:pPr>
              <w:jc w:val="center"/>
              <w:spacing w:after="0" w:line="202" w:lineRule="exact"/>
              <w:rPr>
                <w:sz w:val="20"/>
                <w:szCs w:val="20"/>
                <w:color w:val="auto"/>
              </w:rPr>
            </w:pPr>
            <w:r>
              <w:rPr>
                <w:rFonts w:ascii="Courier New" w:cs="Courier New" w:eastAsia="Courier New" w:hAnsi="Courier New"/>
                <w:sz w:val="18"/>
                <w:szCs w:val="18"/>
                <w:color w:val="auto"/>
                <w:w w:val="97"/>
              </w:rPr>
              <w:t>OPERATING DATA: Net</w:t>
            </w:r>
          </w:p>
        </w:tc>
        <w:tc>
          <w:tcPr>
            <w:tcW w:w="580" w:type="dxa"/>
            <w:vAlign w:val="bottom"/>
          </w:tcPr>
          <w:p>
            <w:pPr>
              <w:spacing w:after="0"/>
              <w:rPr>
                <w:sz w:val="17"/>
                <w:szCs w:val="17"/>
                <w:color w:val="auto"/>
              </w:rPr>
            </w:pPr>
          </w:p>
        </w:tc>
      </w:tr>
      <w:tr>
        <w:trPr>
          <w:trHeight w:val="203"/>
        </w:trPr>
        <w:tc>
          <w:tcPr>
            <w:tcW w:w="1160" w:type="dxa"/>
            <w:vAlign w:val="bottom"/>
            <w:gridSpan w:val="3"/>
          </w:tcPr>
          <w:p>
            <w:pPr>
              <w:jc w:val="right"/>
              <w:spacing w:after="0"/>
              <w:rPr>
                <w:sz w:val="20"/>
                <w:szCs w:val="20"/>
                <w:color w:val="auto"/>
              </w:rPr>
            </w:pPr>
            <w:r>
              <w:rPr>
                <w:rFonts w:ascii="Courier New" w:cs="Courier New" w:eastAsia="Courier New" w:hAnsi="Courier New"/>
                <w:sz w:val="8"/>
                <w:szCs w:val="8"/>
                <w:color w:val="auto"/>
                <w:w w:val="76"/>
              </w:rPr>
              <w:t>sales(1).......................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$857.8</w:t>
            </w:r>
          </w:p>
        </w:tc>
        <w:tc>
          <w:tcPr>
            <w:tcW w:w="9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$1,066.0</w:t>
            </w:r>
          </w:p>
        </w:tc>
        <w:tc>
          <w:tcPr>
            <w:tcW w:w="1360" w:type="dxa"/>
            <w:vAlign w:val="bottom"/>
            <w:gridSpan w:val="4"/>
          </w:tcPr>
          <w:p>
            <w:pPr>
              <w:jc w:val="right"/>
              <w:ind w:right="332"/>
              <w:spacing w:after="0" w:line="203" w:lineRule="exact"/>
              <w:rPr>
                <w:sz w:val="20"/>
                <w:szCs w:val="20"/>
                <w:color w:val="auto"/>
              </w:rPr>
            </w:pPr>
            <w:r>
              <w:rPr>
                <w:rFonts w:ascii="Courier New" w:cs="Courier New" w:eastAsia="Courier New" w:hAnsi="Courier New"/>
                <w:sz w:val="18"/>
                <w:szCs w:val="18"/>
                <w:color w:val="auto"/>
              </w:rPr>
              <w:t>$1,576.6</w:t>
            </w:r>
          </w:p>
        </w:tc>
      </w:tr>
      <w:tr>
        <w:trPr>
          <w:trHeight w:val="203"/>
        </w:trPr>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$1,665.2</w:t>
            </w:r>
          </w:p>
        </w:tc>
        <w:tc>
          <w:tcPr>
            <w:tcW w:w="1060" w:type="dxa"/>
            <w:vAlign w:val="bottom"/>
            <w:gridSpan w:val="6"/>
          </w:tcPr>
          <w:p>
            <w:pPr>
              <w:ind w:left="100"/>
              <w:spacing w:after="0" w:line="203" w:lineRule="exact"/>
              <w:rPr>
                <w:sz w:val="20"/>
                <w:szCs w:val="20"/>
                <w:color w:val="auto"/>
              </w:rPr>
            </w:pPr>
            <w:r>
              <w:rPr>
                <w:rFonts w:ascii="Courier New" w:cs="Courier New" w:eastAsia="Courier New" w:hAnsi="Courier New"/>
                <w:sz w:val="18"/>
                <w:szCs w:val="18"/>
                <w:color w:val="auto"/>
              </w:rPr>
              <w:t>$1,696.6</w:t>
            </w:r>
          </w:p>
        </w:tc>
        <w:tc>
          <w:tcPr>
            <w:tcW w:w="120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$ 860.5 $</w:t>
            </w:r>
          </w:p>
        </w:tc>
      </w:tr>
      <w:tr>
        <w:trPr>
          <w:trHeight w:val="203"/>
        </w:trPr>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7"/>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765.1 Gross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380" w:type="dxa"/>
            <w:vAlign w:val="bottom"/>
            <w:gridSpan w:val="4"/>
          </w:tcPr>
          <w:p>
            <w:pPr>
              <w:jc w:val="right"/>
              <w:spacing w:after="0"/>
              <w:rPr>
                <w:sz w:val="20"/>
                <w:szCs w:val="20"/>
                <w:color w:val="auto"/>
              </w:rPr>
            </w:pPr>
            <w:r>
              <w:rPr>
                <w:rFonts w:ascii="Courier New" w:cs="Courier New" w:eastAsia="Courier New" w:hAnsi="Courier New"/>
                <w:sz w:val="11"/>
                <w:szCs w:val="11"/>
                <w:color w:val="auto"/>
                <w:w w:val="71"/>
              </w:rPr>
              <w:t>profit(1)....................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000" w:type="dxa"/>
            <w:vAlign w:val="bottom"/>
            <w:gridSpan w:val="2"/>
          </w:tcPr>
          <w:p>
            <w:pPr>
              <w:jc w:val="right"/>
              <w:ind w:right="15"/>
              <w:spacing w:after="0" w:line="203" w:lineRule="exact"/>
              <w:rPr>
                <w:sz w:val="20"/>
                <w:szCs w:val="20"/>
                <w:color w:val="auto"/>
              </w:rPr>
            </w:pPr>
            <w:r>
              <w:rPr>
                <w:rFonts w:ascii="Courier New" w:cs="Courier New" w:eastAsia="Courier New" w:hAnsi="Courier New"/>
                <w:sz w:val="18"/>
                <w:szCs w:val="18"/>
                <w:color w:val="auto"/>
              </w:rPr>
              <w:t>284.2</w:t>
            </w:r>
          </w:p>
        </w:tc>
        <w:tc>
          <w:tcPr>
            <w:tcW w:w="96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351.0(2)</w:t>
            </w:r>
          </w:p>
        </w:tc>
        <w:tc>
          <w:tcPr>
            <w:tcW w:w="1460" w:type="dxa"/>
            <w:vAlign w:val="bottom"/>
            <w:gridSpan w:val="5"/>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589.3 612.8</w:t>
            </w:r>
          </w:p>
        </w:tc>
      </w:tr>
      <w:tr>
        <w:trPr>
          <w:trHeight w:val="203"/>
        </w:trPr>
        <w:tc>
          <w:tcPr>
            <w:tcW w:w="13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597.2(2)</w:t>
            </w:r>
          </w:p>
        </w:tc>
        <w:tc>
          <w:tcPr>
            <w:tcW w:w="6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6"/>
              </w:rPr>
              <w:t>323.2</w:t>
            </w:r>
          </w:p>
        </w:tc>
        <w:tc>
          <w:tcPr>
            <w:tcW w:w="1360" w:type="dxa"/>
            <w:vAlign w:val="bottom"/>
            <w:gridSpan w:val="4"/>
          </w:tcPr>
          <w:p>
            <w:pPr>
              <w:jc w:val="center"/>
              <w:ind w:right="312"/>
              <w:spacing w:after="0" w:line="203" w:lineRule="exact"/>
              <w:rPr>
                <w:sz w:val="20"/>
                <w:szCs w:val="20"/>
                <w:color w:val="auto"/>
              </w:rPr>
            </w:pPr>
            <w:r>
              <w:rPr>
                <w:rFonts w:ascii="Courier New" w:cs="Courier New" w:eastAsia="Courier New" w:hAnsi="Courier New"/>
                <w:sz w:val="18"/>
                <w:szCs w:val="18"/>
                <w:color w:val="auto"/>
                <w:w w:val="97"/>
              </w:rPr>
              <w:t>270.9(2)</w:t>
            </w:r>
          </w:p>
        </w:tc>
      </w:tr>
      <w:tr>
        <w:trPr>
          <w:trHeight w:val="203"/>
        </w:trPr>
        <w:tc>
          <w:tcPr>
            <w:tcW w:w="680" w:type="dxa"/>
            <w:vAlign w:val="bottom"/>
          </w:tcPr>
          <w:p>
            <w:pPr>
              <w:spacing w:after="0"/>
              <w:rPr>
                <w:sz w:val="17"/>
                <w:szCs w:val="17"/>
                <w:color w:val="auto"/>
              </w:rPr>
            </w:pPr>
          </w:p>
        </w:tc>
        <w:tc>
          <w:tcPr>
            <w:tcW w:w="2160" w:type="dxa"/>
            <w:vAlign w:val="bottom"/>
            <w:gridSpan w:val="10"/>
          </w:tcPr>
          <w:p>
            <w:pPr>
              <w:jc w:val="center"/>
              <w:spacing w:after="0" w:line="203" w:lineRule="exact"/>
              <w:rPr>
                <w:sz w:val="20"/>
                <w:szCs w:val="20"/>
                <w:color w:val="auto"/>
              </w:rPr>
            </w:pPr>
            <w:r>
              <w:rPr>
                <w:rFonts w:ascii="Courier New" w:cs="Courier New" w:eastAsia="Courier New" w:hAnsi="Courier New"/>
                <w:sz w:val="18"/>
                <w:szCs w:val="18"/>
                <w:color w:val="auto"/>
                <w:w w:val="98"/>
              </w:rPr>
              <w:t>Roundup(R) marketing</w:t>
            </w:r>
          </w:p>
        </w:tc>
        <w:tc>
          <w:tcPr>
            <w:tcW w:w="580" w:type="dxa"/>
            <w:vAlign w:val="bottom"/>
          </w:tcPr>
          <w:p>
            <w:pPr>
              <w:spacing w:after="0"/>
              <w:rPr>
                <w:sz w:val="17"/>
                <w:szCs w:val="17"/>
                <w:color w:val="auto"/>
              </w:rPr>
            </w:pPr>
          </w:p>
        </w:tc>
      </w:tr>
      <w:tr>
        <w:trPr>
          <w:trHeight w:val="203"/>
        </w:trPr>
        <w:tc>
          <w:tcPr>
            <w:tcW w:w="680" w:type="dxa"/>
            <w:vAlign w:val="bottom"/>
          </w:tcPr>
          <w:p>
            <w:pPr>
              <w:spacing w:after="0"/>
              <w:rPr>
                <w:sz w:val="17"/>
                <w:szCs w:val="17"/>
                <w:color w:val="auto"/>
              </w:rPr>
            </w:pPr>
          </w:p>
        </w:tc>
        <w:tc>
          <w:tcPr>
            <w:tcW w:w="2160" w:type="dxa"/>
            <w:vAlign w:val="bottom"/>
            <w:gridSpan w:val="10"/>
          </w:tcPr>
          <w:p>
            <w:pPr>
              <w:jc w:val="center"/>
              <w:spacing w:after="0" w:line="203" w:lineRule="exact"/>
              <w:rPr>
                <w:sz w:val="20"/>
                <w:szCs w:val="20"/>
                <w:color w:val="auto"/>
              </w:rPr>
            </w:pPr>
            <w:r>
              <w:rPr>
                <w:rFonts w:ascii="Courier New" w:cs="Courier New" w:eastAsia="Courier New" w:hAnsi="Courier New"/>
                <w:sz w:val="18"/>
                <w:szCs w:val="18"/>
                <w:color w:val="auto"/>
                <w:w w:val="97"/>
              </w:rPr>
              <w:t>agreement(3): Gross</w:t>
            </w:r>
          </w:p>
        </w:tc>
        <w:tc>
          <w:tcPr>
            <w:tcW w:w="580" w:type="dxa"/>
            <w:vAlign w:val="bottom"/>
          </w:tcPr>
          <w:p>
            <w:pPr>
              <w:spacing w:after="0"/>
              <w:rPr>
                <w:sz w:val="17"/>
                <w:szCs w:val="17"/>
                <w:color w:val="auto"/>
              </w:rPr>
            </w:pPr>
          </w:p>
        </w:tc>
      </w:tr>
      <w:tr>
        <w:trPr>
          <w:trHeight w:val="203"/>
        </w:trPr>
        <w:tc>
          <w:tcPr>
            <w:tcW w:w="1380" w:type="dxa"/>
            <w:vAlign w:val="bottom"/>
            <w:gridSpan w:val="4"/>
          </w:tcPr>
          <w:p>
            <w:pPr>
              <w:ind w:left="60"/>
              <w:spacing w:after="0"/>
              <w:rPr>
                <w:sz w:val="20"/>
                <w:szCs w:val="20"/>
                <w:color w:val="auto"/>
              </w:rPr>
            </w:pPr>
            <w:r>
              <w:rPr>
                <w:rFonts w:ascii="Courier New" w:cs="Courier New" w:eastAsia="Courier New" w:hAnsi="Courier New"/>
                <w:sz w:val="11"/>
                <w:szCs w:val="11"/>
                <w:color w:val="auto"/>
                <w:w w:val="72"/>
              </w:rPr>
              <w:t>commission.................</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3420" w:type="dxa"/>
            <w:vAlign w:val="bottom"/>
            <w:gridSpan w:val="12"/>
          </w:tcPr>
          <w:p>
            <w:pPr>
              <w:jc w:val="center"/>
              <w:spacing w:after="0" w:line="203" w:lineRule="exact"/>
              <w:rPr>
                <w:sz w:val="20"/>
                <w:szCs w:val="20"/>
                <w:color w:val="auto"/>
              </w:rPr>
            </w:pPr>
            <w:r>
              <w:rPr>
                <w:rFonts w:ascii="Courier New" w:cs="Courier New" w:eastAsia="Courier New" w:hAnsi="Courier New"/>
                <w:sz w:val="18"/>
                <w:szCs w:val="18"/>
                <w:color w:val="auto"/>
                <w:w w:val="97"/>
              </w:rPr>
              <w:t>- 30.3 39.2 39.1 16.5 8.4</w:t>
            </w:r>
          </w:p>
        </w:tc>
      </w:tr>
      <w:tr>
        <w:trPr>
          <w:trHeight w:val="203"/>
        </w:trPr>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8"/>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Contribution</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6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74"/>
              </w:rPr>
              <w:t>expenses(4).........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 -- 1.6</w:t>
            </w:r>
          </w:p>
        </w:tc>
      </w:tr>
      <w:tr>
        <w:trPr>
          <w:trHeight w:val="203"/>
        </w:trPr>
        <w:tc>
          <w:tcPr>
            <w:tcW w:w="2840" w:type="dxa"/>
            <w:vAlign w:val="bottom"/>
            <w:gridSpan w:val="11"/>
          </w:tcPr>
          <w:p>
            <w:pPr>
              <w:jc w:val="center"/>
              <w:ind w:left="562"/>
              <w:spacing w:after="0" w:line="203" w:lineRule="exact"/>
              <w:rPr>
                <w:sz w:val="20"/>
                <w:szCs w:val="20"/>
                <w:color w:val="auto"/>
              </w:rPr>
            </w:pPr>
            <w:r>
              <w:rPr>
                <w:rFonts w:ascii="Courier New" w:cs="Courier New" w:eastAsia="Courier New" w:hAnsi="Courier New"/>
                <w:sz w:val="18"/>
                <w:szCs w:val="18"/>
                <w:color w:val="auto"/>
                <w:w w:val="96"/>
              </w:rPr>
              <w:t>9.9 18.3 9.1 11.7 Net</w:t>
            </w:r>
          </w:p>
        </w:tc>
        <w:tc>
          <w:tcPr>
            <w:tcW w:w="580" w:type="dxa"/>
            <w:vAlign w:val="bottom"/>
          </w:tcPr>
          <w:p>
            <w:pPr>
              <w:spacing w:after="0"/>
              <w:rPr>
                <w:sz w:val="17"/>
                <w:szCs w:val="17"/>
                <w:color w:val="auto"/>
              </w:rPr>
            </w:pPr>
          </w:p>
        </w:tc>
      </w:tr>
      <w:tr>
        <w:trPr>
          <w:trHeight w:val="203"/>
        </w:trPr>
        <w:tc>
          <w:tcPr>
            <w:tcW w:w="1380" w:type="dxa"/>
            <w:vAlign w:val="bottom"/>
            <w:gridSpan w:val="4"/>
          </w:tcPr>
          <w:p>
            <w:pPr>
              <w:ind w:left="60"/>
              <w:spacing w:after="0"/>
              <w:rPr>
                <w:sz w:val="20"/>
                <w:szCs w:val="20"/>
                <w:color w:val="auto"/>
              </w:rPr>
            </w:pPr>
            <w:r>
              <w:rPr>
                <w:rFonts w:ascii="Courier New" w:cs="Courier New" w:eastAsia="Courier New" w:hAnsi="Courier New"/>
                <w:sz w:val="10"/>
                <w:szCs w:val="10"/>
                <w:color w:val="auto"/>
                <w:w w:val="74"/>
              </w:rPr>
              <w:t>commission...................</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20" w:type="dxa"/>
            <w:vAlign w:val="bottom"/>
            <w:gridSpan w:val="12"/>
          </w:tcPr>
          <w:p>
            <w:pPr>
              <w:jc w:val="center"/>
              <w:spacing w:after="0" w:line="203" w:lineRule="exact"/>
              <w:rPr>
                <w:sz w:val="20"/>
                <w:szCs w:val="20"/>
                <w:color w:val="auto"/>
              </w:rPr>
            </w:pPr>
            <w:r>
              <w:rPr>
                <w:rFonts w:ascii="Courier New" w:cs="Courier New" w:eastAsia="Courier New" w:hAnsi="Courier New"/>
                <w:sz w:val="18"/>
                <w:szCs w:val="18"/>
                <w:color w:val="auto"/>
                <w:w w:val="97"/>
              </w:rPr>
              <w:t>-- 28.7 29.3 20.8 7.4 (3.3)</w:t>
            </w:r>
          </w:p>
        </w:tc>
      </w:tr>
      <w:tr>
        <w:trPr>
          <w:trHeight w:val="203"/>
        </w:trPr>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8"/>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Advertising(1)</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0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42.4</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57.4</w:t>
            </w:r>
          </w:p>
        </w:tc>
      </w:tr>
      <w:tr>
        <w:trPr>
          <w:trHeight w:val="203"/>
        </w:trPr>
        <w:tc>
          <w:tcPr>
            <w:tcW w:w="1000" w:type="dxa"/>
            <w:vAlign w:val="bottom"/>
            <w:gridSpan w:val="2"/>
          </w:tcPr>
          <w:p>
            <w:pPr>
              <w:jc w:val="right"/>
              <w:ind w:right="15"/>
              <w:spacing w:after="0" w:line="203" w:lineRule="exact"/>
              <w:rPr>
                <w:sz w:val="20"/>
                <w:szCs w:val="20"/>
                <w:color w:val="auto"/>
              </w:rPr>
            </w:pPr>
            <w:r>
              <w:rPr>
                <w:rFonts w:ascii="Courier New" w:cs="Courier New" w:eastAsia="Courier New" w:hAnsi="Courier New"/>
                <w:sz w:val="18"/>
                <w:szCs w:val="18"/>
                <w:color w:val="auto"/>
              </w:rPr>
              <w:t>117.3</w:t>
            </w:r>
          </w:p>
        </w:tc>
        <w:tc>
          <w:tcPr>
            <w:tcW w:w="6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107.1</w:t>
            </w:r>
          </w:p>
        </w:tc>
        <w:tc>
          <w:tcPr>
            <w:tcW w:w="106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89.9 46.1</w:t>
            </w:r>
          </w:p>
        </w:tc>
        <w:tc>
          <w:tcPr>
            <w:tcW w:w="7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w w:val="92"/>
              </w:rPr>
              <w:t>38.0</w:t>
            </w:r>
          </w:p>
        </w:tc>
      </w:tr>
      <w:tr>
        <w:trPr>
          <w:trHeight w:val="203"/>
        </w:trPr>
        <w:tc>
          <w:tcPr>
            <w:tcW w:w="680" w:type="dxa"/>
            <w:vAlign w:val="bottom"/>
          </w:tcPr>
          <w:p>
            <w:pPr>
              <w:spacing w:after="0"/>
              <w:rPr>
                <w:sz w:val="17"/>
                <w:szCs w:val="17"/>
                <w:color w:val="auto"/>
              </w:rPr>
            </w:pPr>
          </w:p>
        </w:tc>
        <w:tc>
          <w:tcPr>
            <w:tcW w:w="2160" w:type="dxa"/>
            <w:vAlign w:val="bottom"/>
            <w:gridSpan w:val="10"/>
          </w:tcPr>
          <w:p>
            <w:pPr>
              <w:jc w:val="center"/>
              <w:spacing w:after="0" w:line="203" w:lineRule="exact"/>
              <w:rPr>
                <w:sz w:val="20"/>
                <w:szCs w:val="20"/>
                <w:color w:val="auto"/>
              </w:rPr>
            </w:pPr>
            <w:r>
              <w:rPr>
                <w:rFonts w:ascii="Courier New" w:cs="Courier New" w:eastAsia="Courier New" w:hAnsi="Courier New"/>
                <w:sz w:val="18"/>
                <w:szCs w:val="18"/>
                <w:color w:val="auto"/>
                <w:w w:val="98"/>
              </w:rPr>
              <w:t>Selling, general and</w:t>
            </w:r>
          </w:p>
        </w:tc>
        <w:tc>
          <w:tcPr>
            <w:tcW w:w="580" w:type="dxa"/>
            <w:vAlign w:val="bottom"/>
          </w:tcPr>
          <w:p>
            <w:pPr>
              <w:spacing w:after="0"/>
              <w:rPr>
                <w:sz w:val="17"/>
                <w:szCs w:val="17"/>
                <w:color w:val="auto"/>
              </w:rPr>
            </w:pPr>
          </w:p>
        </w:tc>
      </w:tr>
      <w:tr>
        <w:trPr>
          <w:trHeight w:val="203"/>
        </w:trPr>
        <w:tc>
          <w:tcPr>
            <w:tcW w:w="2060" w:type="dxa"/>
            <w:vAlign w:val="bottom"/>
            <w:gridSpan w:val="8"/>
          </w:tcPr>
          <w:p>
            <w:pPr>
              <w:jc w:val="right"/>
              <w:spacing w:after="0"/>
              <w:rPr>
                <w:sz w:val="20"/>
                <w:szCs w:val="20"/>
                <w:color w:val="auto"/>
              </w:rPr>
            </w:pPr>
            <w:r>
              <w:rPr>
                <w:rFonts w:ascii="Courier New" w:cs="Courier New" w:eastAsia="Courier New" w:hAnsi="Courier New"/>
                <w:sz w:val="14"/>
                <w:szCs w:val="14"/>
                <w:color w:val="auto"/>
                <w:w w:val="73"/>
              </w:rPr>
              <w:t>administrative(1)................</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64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rPr>
              <w:t>131.6 169.9(6)</w:t>
            </w:r>
          </w:p>
        </w:tc>
        <w:tc>
          <w:tcPr>
            <w:tcW w:w="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2"/>
              </w:rPr>
              <w:t>281.2</w:t>
            </w:r>
          </w:p>
        </w:tc>
        <w:tc>
          <w:tcPr>
            <w:tcW w:w="6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303.7</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324.1</w:t>
            </w:r>
          </w:p>
        </w:tc>
      </w:tr>
      <w:tr>
        <w:trPr>
          <w:trHeight w:val="203"/>
        </w:trPr>
        <w:tc>
          <w:tcPr>
            <w:tcW w:w="3420" w:type="dxa"/>
            <w:vAlign w:val="bottom"/>
            <w:gridSpan w:val="12"/>
          </w:tcPr>
          <w:p>
            <w:pPr>
              <w:jc w:val="center"/>
              <w:ind w:left="2"/>
              <w:spacing w:after="0" w:line="203" w:lineRule="exact"/>
              <w:rPr>
                <w:sz w:val="20"/>
                <w:szCs w:val="20"/>
                <w:color w:val="auto"/>
              </w:rPr>
            </w:pPr>
            <w:r>
              <w:rPr>
                <w:rFonts w:ascii="Courier New" w:cs="Courier New" w:eastAsia="Courier New" w:hAnsi="Courier New"/>
                <w:sz w:val="18"/>
                <w:szCs w:val="18"/>
                <w:color w:val="auto"/>
                <w:w w:val="97"/>
              </w:rPr>
              <w:t>168.9 159.4 Restructuring and</w:t>
            </w:r>
          </w:p>
        </w:tc>
      </w:tr>
      <w:tr>
        <w:trPr>
          <w:trHeight w:val="203"/>
        </w:trPr>
        <w:tc>
          <w:tcPr>
            <w:tcW w:w="17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w w:val="89"/>
              </w:rPr>
              <w:t>other charges....</w:t>
            </w:r>
          </w:p>
        </w:tc>
        <w:tc>
          <w:tcPr>
            <w:tcW w:w="240" w:type="dxa"/>
            <w:vAlign w:val="bottom"/>
          </w:tcPr>
          <w:p>
            <w:pPr>
              <w:spacing w:after="0"/>
              <w:rPr>
                <w:sz w:val="17"/>
                <w:szCs w:val="17"/>
                <w:color w:val="auto"/>
              </w:rPr>
            </w:pPr>
          </w:p>
        </w:tc>
        <w:tc>
          <w:tcPr>
            <w:tcW w:w="14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5"/>
              </w:rPr>
              <w:t>-- 15.4 1.4 --</w:t>
            </w:r>
          </w:p>
        </w:tc>
      </w:tr>
      <w:tr>
        <w:trPr>
          <w:trHeight w:val="203"/>
        </w:trPr>
        <w:tc>
          <w:tcPr>
            <w:tcW w:w="3420" w:type="dxa"/>
            <w:vAlign w:val="bottom"/>
            <w:gridSpan w:val="12"/>
          </w:tcPr>
          <w:p>
            <w:pPr>
              <w:jc w:val="center"/>
              <w:spacing w:after="0" w:line="203" w:lineRule="exact"/>
              <w:rPr>
                <w:sz w:val="20"/>
                <w:szCs w:val="20"/>
                <w:color w:val="auto"/>
              </w:rPr>
            </w:pPr>
            <w:r>
              <w:rPr>
                <w:rFonts w:ascii="Courier New" w:cs="Courier New" w:eastAsia="Courier New" w:hAnsi="Courier New"/>
                <w:sz w:val="18"/>
                <w:szCs w:val="18"/>
                <w:color w:val="auto"/>
                <w:w w:val="97"/>
              </w:rPr>
              <w:t>68.4 -- 1.2 Amortization of</w:t>
            </w:r>
          </w:p>
        </w:tc>
      </w:tr>
      <w:tr>
        <w:trPr>
          <w:trHeight w:val="203"/>
        </w:trPr>
        <w:tc>
          <w:tcPr>
            <w:tcW w:w="680" w:type="dxa"/>
            <w:vAlign w:val="bottom"/>
          </w:tcPr>
          <w:p>
            <w:pPr>
              <w:spacing w:after="0"/>
              <w:rPr>
                <w:sz w:val="17"/>
                <w:szCs w:val="17"/>
                <w:color w:val="auto"/>
              </w:rPr>
            </w:pPr>
          </w:p>
        </w:tc>
        <w:tc>
          <w:tcPr>
            <w:tcW w:w="2020" w:type="dxa"/>
            <w:vAlign w:val="bottom"/>
            <w:gridSpan w:val="9"/>
          </w:tcPr>
          <w:p>
            <w:pPr>
              <w:jc w:val="center"/>
              <w:ind w:left="35"/>
              <w:spacing w:after="0" w:line="203" w:lineRule="exact"/>
              <w:rPr>
                <w:sz w:val="20"/>
                <w:szCs w:val="20"/>
                <w:color w:val="auto"/>
              </w:rPr>
            </w:pPr>
            <w:r>
              <w:rPr>
                <w:rFonts w:ascii="Courier New" w:cs="Courier New" w:eastAsia="Courier New" w:hAnsi="Courier New"/>
                <w:sz w:val="18"/>
                <w:szCs w:val="18"/>
                <w:color w:val="auto"/>
                <w:w w:val="97"/>
              </w:rPr>
              <w:t>goodwill and other</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640" w:type="dxa"/>
            <w:vAlign w:val="bottom"/>
            <w:gridSpan w:val="5"/>
          </w:tcPr>
          <w:p>
            <w:pPr>
              <w:jc w:val="right"/>
              <w:spacing w:after="0"/>
              <w:rPr>
                <w:sz w:val="20"/>
                <w:szCs w:val="20"/>
                <w:color w:val="auto"/>
              </w:rPr>
            </w:pPr>
            <w:r>
              <w:rPr>
                <w:rFonts w:ascii="Courier New" w:cs="Courier New" w:eastAsia="Courier New" w:hAnsi="Courier New"/>
                <w:sz w:val="11"/>
                <w:szCs w:val="11"/>
                <w:color w:val="auto"/>
                <w:w w:val="74"/>
              </w:rPr>
              <w:t>intangibles......................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680" w:type="dxa"/>
            <w:vAlign w:val="bottom"/>
          </w:tcPr>
          <w:p>
            <w:pPr>
              <w:jc w:val="center"/>
              <w:ind w:left="102"/>
              <w:spacing w:after="0" w:line="203" w:lineRule="exact"/>
              <w:rPr>
                <w:sz w:val="20"/>
                <w:szCs w:val="20"/>
                <w:color w:val="auto"/>
              </w:rPr>
            </w:pPr>
            <w:r>
              <w:rPr>
                <w:rFonts w:ascii="Courier New" w:cs="Courier New" w:eastAsia="Courier New" w:hAnsi="Courier New"/>
                <w:sz w:val="18"/>
                <w:szCs w:val="18"/>
                <w:color w:val="auto"/>
                <w:w w:val="97"/>
              </w:rPr>
              <w:t>10.2</w:t>
            </w:r>
          </w:p>
        </w:tc>
        <w:tc>
          <w:tcPr>
            <w:tcW w:w="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12.9</w:t>
            </w:r>
          </w:p>
        </w:tc>
        <w:tc>
          <w:tcPr>
            <w:tcW w:w="5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25.6</w:t>
            </w:r>
          </w:p>
        </w:tc>
        <w:tc>
          <w:tcPr>
            <w:tcW w:w="5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27.1</w:t>
            </w:r>
          </w:p>
        </w:tc>
        <w:tc>
          <w:tcPr>
            <w:tcW w:w="6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27.7</w:t>
            </w:r>
          </w:p>
        </w:tc>
        <w:tc>
          <w:tcPr>
            <w:tcW w:w="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14.2</w:t>
            </w:r>
          </w:p>
        </w:tc>
      </w:tr>
      <w:tr>
        <w:trPr>
          <w:trHeight w:val="203"/>
        </w:trPr>
        <w:tc>
          <w:tcPr>
            <w:tcW w:w="3420" w:type="dxa"/>
            <w:vAlign w:val="bottom"/>
            <w:gridSpan w:val="12"/>
          </w:tcPr>
          <w:p>
            <w:pPr>
              <w:jc w:val="center"/>
              <w:spacing w:after="0" w:line="203" w:lineRule="exact"/>
              <w:rPr>
                <w:sz w:val="20"/>
                <w:szCs w:val="20"/>
                <w:color w:val="auto"/>
              </w:rPr>
            </w:pPr>
            <w:r>
              <w:rPr>
                <w:rFonts w:ascii="Courier New" w:cs="Courier New" w:eastAsia="Courier New" w:hAnsi="Courier New"/>
                <w:sz w:val="18"/>
                <w:szCs w:val="18"/>
                <w:color w:val="auto"/>
                <w:w w:val="97"/>
              </w:rPr>
              <w:t>3.7 Other expense (income),</w:t>
            </w:r>
          </w:p>
        </w:tc>
      </w:tr>
      <w:tr>
        <w:trPr>
          <w:trHeight w:val="203"/>
        </w:trPr>
        <w:tc>
          <w:tcPr>
            <w:tcW w:w="10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72"/>
              </w:rPr>
              <w:t>net........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w w:val="96"/>
              </w:rPr>
              <w:t>5.2 1.3 (3.6) (6.0)</w:t>
            </w:r>
          </w:p>
        </w:tc>
      </w:tr>
      <w:tr>
        <w:trPr>
          <w:trHeight w:val="203"/>
        </w:trPr>
        <w:tc>
          <w:tcPr>
            <w:tcW w:w="3420" w:type="dxa"/>
            <w:vAlign w:val="bottom"/>
            <w:gridSpan w:val="12"/>
          </w:tcPr>
          <w:p>
            <w:pPr>
              <w:jc w:val="center"/>
              <w:ind w:left="2"/>
              <w:spacing w:after="0" w:line="203" w:lineRule="exact"/>
              <w:rPr>
                <w:sz w:val="20"/>
                <w:szCs w:val="20"/>
                <w:color w:val="auto"/>
              </w:rPr>
            </w:pPr>
            <w:r>
              <w:rPr>
                <w:rFonts w:ascii="Courier New" w:cs="Courier New" w:eastAsia="Courier New" w:hAnsi="Courier New"/>
                <w:sz w:val="18"/>
                <w:szCs w:val="18"/>
                <w:color w:val="auto"/>
                <w:w w:val="97"/>
              </w:rPr>
              <w:t>(8.5) (2.5) (3.9) Income from</w:t>
            </w:r>
          </w:p>
        </w:tc>
      </w:tr>
      <w:tr>
        <w:trPr>
          <w:trHeight w:val="203"/>
        </w:trPr>
        <w:tc>
          <w:tcPr>
            <w:tcW w:w="164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73"/>
              </w:rPr>
              <w:t>operations.............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94.8</w:t>
            </w:r>
          </w:p>
        </w:tc>
      </w:tr>
      <w:tr>
        <w:trPr>
          <w:trHeight w:val="203"/>
        </w:trPr>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94.1</w:t>
            </w:r>
          </w:p>
        </w:tc>
        <w:tc>
          <w:tcPr>
            <w:tcW w:w="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196.1</w:t>
            </w:r>
          </w:p>
        </w:tc>
        <w:tc>
          <w:tcPr>
            <w:tcW w:w="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210.2</w:t>
            </w:r>
          </w:p>
        </w:tc>
        <w:tc>
          <w:tcPr>
            <w:tcW w:w="100" w:type="dxa"/>
            <w:vAlign w:val="bottom"/>
          </w:tcPr>
          <w:p>
            <w:pPr>
              <w:spacing w:after="0"/>
              <w:rPr>
                <w:sz w:val="17"/>
                <w:szCs w:val="17"/>
                <w:color w:val="auto"/>
              </w:rPr>
            </w:pPr>
          </w:p>
        </w:tc>
        <w:tc>
          <w:tcPr>
            <w:tcW w:w="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116.4</w:t>
            </w:r>
          </w:p>
        </w:tc>
        <w:tc>
          <w:tcPr>
            <w:tcW w:w="7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103.9</w:t>
            </w:r>
          </w:p>
        </w:tc>
      </w:tr>
      <w:tr>
        <w:trPr>
          <w:trHeight w:val="203"/>
        </w:trPr>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8"/>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69.2 Interest</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380" w:type="dxa"/>
            <w:vAlign w:val="bottom"/>
            <w:gridSpan w:val="4"/>
          </w:tcPr>
          <w:p>
            <w:pPr>
              <w:jc w:val="right"/>
              <w:spacing w:after="0"/>
              <w:rPr>
                <w:sz w:val="20"/>
                <w:szCs w:val="20"/>
                <w:color w:val="auto"/>
              </w:rPr>
            </w:pPr>
            <w:r>
              <w:rPr>
                <w:rFonts w:ascii="Courier New" w:cs="Courier New" w:eastAsia="Courier New" w:hAnsi="Courier New"/>
                <w:sz w:val="12"/>
                <w:szCs w:val="12"/>
                <w:color w:val="auto"/>
                <w:w w:val="72"/>
              </w:rPr>
              <w:t>expense(7)................</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w:t>
            </w:r>
          </w:p>
        </w:tc>
      </w:tr>
      <w:tr>
        <w:trPr>
          <w:trHeight w:val="203"/>
        </w:trPr>
        <w:tc>
          <w:tcPr>
            <w:tcW w:w="680" w:type="dxa"/>
            <w:vAlign w:val="bottom"/>
          </w:tcPr>
          <w:p>
            <w:pPr>
              <w:jc w:val="center"/>
              <w:ind w:left="102"/>
              <w:spacing w:after="0" w:line="203" w:lineRule="exact"/>
              <w:rPr>
                <w:sz w:val="20"/>
                <w:szCs w:val="20"/>
                <w:color w:val="auto"/>
              </w:rPr>
            </w:pPr>
            <w:r>
              <w:rPr>
                <w:rFonts w:ascii="Courier New" w:cs="Courier New" w:eastAsia="Courier New" w:hAnsi="Courier New"/>
                <w:sz w:val="18"/>
                <w:szCs w:val="18"/>
                <w:color w:val="auto"/>
                <w:w w:val="97"/>
              </w:rPr>
              <w:t>32.2</w:t>
            </w:r>
          </w:p>
        </w:tc>
        <w:tc>
          <w:tcPr>
            <w:tcW w:w="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79.1</w:t>
            </w:r>
          </w:p>
        </w:tc>
        <w:tc>
          <w:tcPr>
            <w:tcW w:w="5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93.9</w:t>
            </w:r>
          </w:p>
        </w:tc>
        <w:tc>
          <w:tcPr>
            <w:tcW w:w="5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87.7</w:t>
            </w:r>
          </w:p>
        </w:tc>
        <w:tc>
          <w:tcPr>
            <w:tcW w:w="6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47.4</w:t>
            </w:r>
          </w:p>
        </w:tc>
        <w:tc>
          <w:tcPr>
            <w:tcW w:w="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40.2</w:t>
            </w:r>
          </w:p>
        </w:tc>
      </w:tr>
      <w:tr>
        <w:trPr>
          <w:trHeight w:val="203"/>
        </w:trPr>
        <w:tc>
          <w:tcPr>
            <w:tcW w:w="680" w:type="dxa"/>
            <w:vAlign w:val="bottom"/>
          </w:tcPr>
          <w:p>
            <w:pPr>
              <w:spacing w:after="0"/>
              <w:rPr>
                <w:sz w:val="17"/>
                <w:szCs w:val="17"/>
                <w:color w:val="auto"/>
              </w:rPr>
            </w:pPr>
          </w:p>
        </w:tc>
        <w:tc>
          <w:tcPr>
            <w:tcW w:w="2160" w:type="dxa"/>
            <w:vAlign w:val="bottom"/>
            <w:gridSpan w:val="10"/>
          </w:tcPr>
          <w:p>
            <w:pPr>
              <w:jc w:val="center"/>
              <w:spacing w:after="0" w:line="203" w:lineRule="exact"/>
              <w:rPr>
                <w:sz w:val="20"/>
                <w:szCs w:val="20"/>
                <w:color w:val="auto"/>
              </w:rPr>
            </w:pPr>
            <w:r>
              <w:rPr>
                <w:rFonts w:ascii="Courier New" w:cs="Courier New" w:eastAsia="Courier New" w:hAnsi="Courier New"/>
                <w:sz w:val="18"/>
                <w:szCs w:val="18"/>
                <w:color w:val="auto"/>
                <w:w w:val="98"/>
              </w:rPr>
              <w:t>Income before income</w:t>
            </w:r>
          </w:p>
        </w:tc>
        <w:tc>
          <w:tcPr>
            <w:tcW w:w="580" w:type="dxa"/>
            <w:vAlign w:val="bottom"/>
          </w:tcPr>
          <w:p>
            <w:pPr>
              <w:spacing w:after="0"/>
              <w:rPr>
                <w:sz w:val="17"/>
                <w:szCs w:val="17"/>
                <w:color w:val="auto"/>
              </w:rPr>
            </w:pPr>
          </w:p>
        </w:tc>
      </w:tr>
      <w:tr>
        <w:trPr>
          <w:trHeight w:val="203"/>
        </w:trPr>
        <w:tc>
          <w:tcPr>
            <w:tcW w:w="680" w:type="dxa"/>
            <w:vAlign w:val="bottom"/>
          </w:tcPr>
          <w:p>
            <w:pPr>
              <w:jc w:val="center"/>
              <w:ind w:left="82"/>
              <w:spacing w:after="0" w:line="203" w:lineRule="exact"/>
              <w:rPr>
                <w:sz w:val="20"/>
                <w:szCs w:val="20"/>
                <w:color w:val="auto"/>
              </w:rPr>
            </w:pPr>
            <w:r>
              <w:rPr>
                <w:rFonts w:ascii="Courier New" w:cs="Courier New" w:eastAsia="Courier New" w:hAnsi="Courier New"/>
                <w:sz w:val="18"/>
                <w:szCs w:val="18"/>
                <w:color w:val="auto"/>
                <w:w w:val="96"/>
              </w:rPr>
              <w:t>taxes</w:t>
            </w:r>
          </w:p>
        </w:tc>
        <w:tc>
          <w:tcPr>
            <w:tcW w:w="4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69.6 61.9 117.0</w:t>
            </w:r>
          </w:p>
        </w:tc>
      </w:tr>
      <w:tr>
        <w:trPr>
          <w:trHeight w:val="203"/>
        </w:trPr>
        <w:tc>
          <w:tcPr>
            <w:tcW w:w="3420" w:type="dxa"/>
            <w:vAlign w:val="bottom"/>
            <w:gridSpan w:val="12"/>
          </w:tcPr>
          <w:p>
            <w:pPr>
              <w:jc w:val="center"/>
              <w:spacing w:after="0" w:line="203" w:lineRule="exact"/>
              <w:rPr>
                <w:sz w:val="20"/>
                <w:szCs w:val="20"/>
                <w:color w:val="auto"/>
              </w:rPr>
            </w:pPr>
            <w:r>
              <w:rPr>
                <w:rFonts w:ascii="Courier New" w:cs="Courier New" w:eastAsia="Courier New" w:hAnsi="Courier New"/>
                <w:sz w:val="18"/>
                <w:szCs w:val="18"/>
                <w:color w:val="auto"/>
                <w:w w:val="97"/>
              </w:rPr>
              <w:t>116.3 28.7 56.5 29.0 Income</w:t>
            </w:r>
          </w:p>
        </w:tc>
      </w:tr>
      <w:tr>
        <w:trPr>
          <w:trHeight w:val="203"/>
        </w:trPr>
        <w:tc>
          <w:tcPr>
            <w:tcW w:w="1160" w:type="dxa"/>
            <w:vAlign w:val="bottom"/>
            <w:gridSpan w:val="3"/>
          </w:tcPr>
          <w:p>
            <w:pPr>
              <w:ind w:left="260"/>
              <w:spacing w:after="0"/>
              <w:rPr>
                <w:sz w:val="20"/>
                <w:szCs w:val="20"/>
                <w:color w:val="auto"/>
              </w:rPr>
            </w:pPr>
            <w:r>
              <w:rPr>
                <w:rFonts w:ascii="Courier New" w:cs="Courier New" w:eastAsia="Courier New" w:hAnsi="Courier New"/>
                <w:sz w:val="7"/>
                <w:szCs w:val="7"/>
                <w:color w:val="auto"/>
                <w:w w:val="74"/>
              </w:rPr>
              <w:t>taxes.......................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680" w:type="dxa"/>
            <w:vAlign w:val="bottom"/>
          </w:tcPr>
          <w:p>
            <w:pPr>
              <w:jc w:val="center"/>
              <w:ind w:left="102"/>
              <w:spacing w:after="0" w:line="203" w:lineRule="exact"/>
              <w:rPr>
                <w:sz w:val="20"/>
                <w:szCs w:val="20"/>
                <w:color w:val="auto"/>
              </w:rPr>
            </w:pPr>
            <w:r>
              <w:rPr>
                <w:rFonts w:ascii="Courier New" w:cs="Courier New" w:eastAsia="Courier New" w:hAnsi="Courier New"/>
                <w:sz w:val="18"/>
                <w:szCs w:val="18"/>
                <w:color w:val="auto"/>
                <w:w w:val="97"/>
              </w:rPr>
              <w:t>30.1</w:t>
            </w:r>
          </w:p>
        </w:tc>
        <w:tc>
          <w:tcPr>
            <w:tcW w:w="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24.9</w:t>
            </w:r>
          </w:p>
        </w:tc>
        <w:tc>
          <w:tcPr>
            <w:tcW w:w="5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47.9</w:t>
            </w:r>
          </w:p>
        </w:tc>
        <w:tc>
          <w:tcPr>
            <w:tcW w:w="5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43.2</w:t>
            </w:r>
          </w:p>
        </w:tc>
        <w:tc>
          <w:tcPr>
            <w:tcW w:w="6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13.2</w:t>
            </w:r>
          </w:p>
        </w:tc>
        <w:tc>
          <w:tcPr>
            <w:tcW w:w="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22.9</w:t>
            </w:r>
          </w:p>
        </w:tc>
      </w:tr>
      <w:tr>
        <w:trPr>
          <w:trHeight w:val="203"/>
        </w:trPr>
        <w:tc>
          <w:tcPr>
            <w:tcW w:w="3420" w:type="dxa"/>
            <w:vAlign w:val="bottom"/>
            <w:gridSpan w:val="12"/>
          </w:tcPr>
          <w:p>
            <w:pPr>
              <w:jc w:val="center"/>
              <w:ind w:left="2"/>
              <w:spacing w:after="0" w:line="203" w:lineRule="exact"/>
              <w:rPr>
                <w:sz w:val="20"/>
                <w:szCs w:val="20"/>
                <w:color w:val="auto"/>
              </w:rPr>
            </w:pPr>
            <w:r>
              <w:rPr>
                <w:rFonts w:ascii="Courier New" w:cs="Courier New" w:eastAsia="Courier New" w:hAnsi="Courier New"/>
                <w:sz w:val="18"/>
                <w:szCs w:val="18"/>
                <w:color w:val="auto"/>
                <w:w w:val="97"/>
              </w:rPr>
              <w:t>11.1 Income before cumulative</w:t>
            </w:r>
          </w:p>
        </w:tc>
      </w:tr>
      <w:tr>
        <w:trPr>
          <w:trHeight w:val="203"/>
        </w:trPr>
        <w:tc>
          <w:tcPr>
            <w:tcW w:w="680" w:type="dxa"/>
            <w:vAlign w:val="bottom"/>
          </w:tcPr>
          <w:p>
            <w:pPr>
              <w:spacing w:after="0"/>
              <w:rPr>
                <w:sz w:val="17"/>
                <w:szCs w:val="17"/>
                <w:color w:val="auto"/>
              </w:rPr>
            </w:pPr>
          </w:p>
        </w:tc>
        <w:tc>
          <w:tcPr>
            <w:tcW w:w="2160" w:type="dxa"/>
            <w:vAlign w:val="bottom"/>
            <w:gridSpan w:val="10"/>
          </w:tcPr>
          <w:p>
            <w:pPr>
              <w:jc w:val="center"/>
              <w:spacing w:after="0" w:line="203" w:lineRule="exact"/>
              <w:rPr>
                <w:sz w:val="20"/>
                <w:szCs w:val="20"/>
                <w:color w:val="auto"/>
              </w:rPr>
            </w:pPr>
            <w:r>
              <w:rPr>
                <w:rFonts w:ascii="Courier New" w:cs="Courier New" w:eastAsia="Courier New" w:hAnsi="Courier New"/>
                <w:sz w:val="18"/>
                <w:szCs w:val="18"/>
                <w:color w:val="auto"/>
                <w:w w:val="97"/>
              </w:rPr>
              <w:t>effect of accounting</w:t>
            </w:r>
          </w:p>
        </w:tc>
        <w:tc>
          <w:tcPr>
            <w:tcW w:w="580" w:type="dxa"/>
            <w:vAlign w:val="bottom"/>
          </w:tcPr>
          <w:p>
            <w:pPr>
              <w:spacing w:after="0"/>
              <w:rPr>
                <w:sz w:val="17"/>
                <w:szCs w:val="17"/>
                <w:color w:val="auto"/>
              </w:rPr>
            </w:pPr>
          </w:p>
        </w:tc>
      </w:tr>
      <w:tr>
        <w:trPr>
          <w:trHeight w:val="203"/>
        </w:trPr>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change(8)</w:t>
            </w:r>
          </w:p>
        </w:tc>
        <w:tc>
          <w:tcPr>
            <w:tcW w:w="3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92"/>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39.5 36.3</w:t>
            </w:r>
          </w:p>
        </w:tc>
      </w:tr>
    </w:tbl>
    <w:p>
      <w:pPr>
        <w:sectPr>
          <w:pgSz w:w="11900" w:h="16838" w:orient="portrait"/>
          <w:cols w:equalWidth="0" w:num="1">
            <w:col w:w="10219"/>
          </w:cols>
          <w:pgMar w:left="240" w:top="717" w:right="1440" w:bottom="0" w:gutter="0" w:footer="0" w:header="0"/>
        </w:sectPr>
      </w:pPr>
    </w:p>
    <w:bookmarkStart w:id="39" w:name="page40"/>
    <w:bookmarkEnd w:id="39"/>
    <w:p>
      <w:pPr>
        <w:jc w:val="center"/>
        <w:ind w:right="6739"/>
        <w:spacing w:after="0"/>
        <w:rPr>
          <w:sz w:val="20"/>
          <w:szCs w:val="20"/>
          <w:color w:val="auto"/>
        </w:rPr>
      </w:pPr>
      <w:r>
        <w:rPr>
          <w:rFonts w:ascii="Courier New" w:cs="Courier New" w:eastAsia="Courier New" w:hAnsi="Courier New"/>
          <w:sz w:val="18"/>
          <w:szCs w:val="18"/>
          <w:color w:val="auto"/>
        </w:rPr>
        <w:t>63.2 73.1 15.5 33.6 17.9</w:t>
      </w:r>
    </w:p>
    <w:p>
      <w:pPr>
        <w:jc w:val="center"/>
        <w:ind w:right="6739"/>
        <w:spacing w:after="0" w:line="238" w:lineRule="auto"/>
        <w:rPr>
          <w:sz w:val="20"/>
          <w:szCs w:val="20"/>
          <w:color w:val="auto"/>
        </w:rPr>
      </w:pPr>
      <w:r>
        <w:rPr>
          <w:rFonts w:ascii="Courier New" w:cs="Courier New" w:eastAsia="Courier New" w:hAnsi="Courier New"/>
          <w:sz w:val="18"/>
          <w:szCs w:val="18"/>
          <w:color w:val="auto"/>
        </w:rPr>
        <w:t>Cumulative effect of accounting</w:t>
      </w:r>
    </w:p>
    <w:p>
      <w:pPr>
        <w:ind w:left="220"/>
        <w:spacing w:after="0"/>
        <w:rPr>
          <w:sz w:val="20"/>
          <w:szCs w:val="20"/>
          <w:color w:val="auto"/>
        </w:rPr>
      </w:pPr>
      <w:r>
        <w:rPr>
          <w:rFonts w:ascii="Courier New" w:cs="Courier New" w:eastAsia="Courier New" w:hAnsi="Courier New"/>
          <w:sz w:val="18"/>
          <w:szCs w:val="18"/>
          <w:color w:val="auto"/>
        </w:rPr>
        <w:t>change for intangible assets,</w:t>
      </w:r>
    </w:p>
    <w:p>
      <w:pPr>
        <w:ind w:left="1420"/>
        <w:spacing w:after="0" w:line="237" w:lineRule="auto"/>
        <w:rPr>
          <w:sz w:val="20"/>
          <w:szCs w:val="20"/>
          <w:color w:val="auto"/>
        </w:rPr>
      </w:pPr>
      <w:r>
        <w:rPr>
          <w:rFonts w:ascii="Courier New" w:cs="Courier New" w:eastAsia="Courier New" w:hAnsi="Courier New"/>
          <w:sz w:val="18"/>
          <w:szCs w:val="18"/>
          <w:color w:val="auto"/>
        </w:rPr>
        <w:t>net of</w:t>
      </w:r>
    </w:p>
    <w:p>
      <w:pPr>
        <w:ind w:left="60"/>
        <w:spacing w:after="0" w:line="238" w:lineRule="auto"/>
        <w:rPr>
          <w:sz w:val="20"/>
          <w:szCs w:val="20"/>
          <w:color w:val="auto"/>
        </w:rPr>
      </w:pPr>
      <w:r>
        <w:rPr>
          <w:rFonts w:ascii="Courier New" w:cs="Courier New" w:eastAsia="Courier New" w:hAnsi="Courier New"/>
          <w:sz w:val="18"/>
          <w:szCs w:val="18"/>
          <w:color w:val="auto"/>
        </w:rPr>
        <w:t>tax........................... -</w:t>
      </w:r>
    </w:p>
    <w:p>
      <w:pPr>
        <w:spacing w:after="0" w:line="5" w:lineRule="exact"/>
        <w:rPr>
          <w:sz w:val="20"/>
          <w:szCs w:val="20"/>
          <w:color w:val="auto"/>
        </w:rPr>
      </w:pPr>
    </w:p>
    <w:p>
      <w:pPr>
        <w:ind w:left="120" w:right="6839" w:firstLine="202"/>
        <w:spacing w:after="0" w:line="268" w:lineRule="auto"/>
        <w:tabs>
          <w:tab w:leader="none" w:pos="542"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(18.5) Net income (loss)(8)...............</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39.5 36.3 63.2 73.1 15.5 33.6</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(0.6) Dividends on convertible</w:t>
      </w:r>
    </w:p>
    <w:p>
      <w:pPr>
        <w:ind w:left="1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preferred</w:t>
      </w:r>
    </w:p>
    <w:p>
      <w:pPr>
        <w:spacing w:after="0"/>
        <w:rPr>
          <w:sz w:val="20"/>
          <w:szCs w:val="20"/>
          <w:color w:val="auto"/>
        </w:rPr>
      </w:pPr>
      <w:r>
        <w:rPr>
          <w:rFonts w:ascii="Courier New" w:cs="Courier New" w:eastAsia="Courier New" w:hAnsi="Courier New"/>
          <w:sz w:val="18"/>
          <w:szCs w:val="18"/>
          <w:color w:val="auto"/>
        </w:rPr>
        <w:t>stock............................</w:t>
      </w:r>
    </w:p>
    <w:p>
      <w:pPr>
        <w:ind w:left="120"/>
        <w:spacing w:after="0" w:line="237" w:lineRule="auto"/>
        <w:rPr>
          <w:sz w:val="20"/>
          <w:szCs w:val="20"/>
          <w:color w:val="auto"/>
        </w:rPr>
      </w:pPr>
      <w:r>
        <w:rPr>
          <w:rFonts w:ascii="Courier New" w:cs="Courier New" w:eastAsia="Courier New" w:hAnsi="Courier New"/>
          <w:sz w:val="18"/>
          <w:szCs w:val="18"/>
          <w:color w:val="auto"/>
        </w:rPr>
        <w:t>9.8 9.8 9.7 6.4 -- -- -- Income</w:t>
      </w:r>
    </w:p>
    <w:p>
      <w:pPr>
        <w:ind w:left="320"/>
        <w:spacing w:after="0" w:line="238" w:lineRule="auto"/>
        <w:rPr>
          <w:sz w:val="20"/>
          <w:szCs w:val="20"/>
          <w:color w:val="auto"/>
        </w:rPr>
      </w:pPr>
      <w:r>
        <w:rPr>
          <w:rFonts w:ascii="Courier New" w:cs="Courier New" w:eastAsia="Courier New" w:hAnsi="Courier New"/>
          <w:sz w:val="18"/>
          <w:szCs w:val="18"/>
          <w:color w:val="auto"/>
        </w:rPr>
        <w:t>(loss) applicable to common</w:t>
      </w:r>
    </w:p>
    <w:p>
      <w:pPr>
        <w:spacing w:after="0"/>
        <w:rPr>
          <w:sz w:val="20"/>
          <w:szCs w:val="20"/>
          <w:color w:val="auto"/>
        </w:rPr>
      </w:pPr>
      <w:r>
        <w:rPr>
          <w:rFonts w:ascii="Courier New" w:cs="Courier New" w:eastAsia="Courier New" w:hAnsi="Courier New"/>
          <w:sz w:val="18"/>
          <w:szCs w:val="18"/>
          <w:color w:val="auto"/>
        </w:rPr>
        <w:t>shareholders.....................</w:t>
      </w:r>
    </w:p>
    <w:p>
      <w:pPr>
        <w:jc w:val="center"/>
        <w:ind w:right="6739"/>
        <w:spacing w:after="0" w:line="237" w:lineRule="auto"/>
        <w:rPr>
          <w:sz w:val="20"/>
          <w:szCs w:val="20"/>
          <w:color w:val="auto"/>
        </w:rPr>
      </w:pPr>
      <w:r>
        <w:rPr>
          <w:rFonts w:ascii="Courier New" w:cs="Courier New" w:eastAsia="Courier New" w:hAnsi="Courier New"/>
          <w:sz w:val="18"/>
          <w:szCs w:val="18"/>
          <w:color w:val="auto"/>
        </w:rPr>
        <w:t>29.7 26.5 53.5 66.7 15.5 33.6</w:t>
      </w:r>
    </w:p>
    <w:p>
      <w:pPr>
        <w:jc w:val="center"/>
        <w:ind w:right="6739"/>
        <w:spacing w:after="0"/>
        <w:rPr>
          <w:sz w:val="20"/>
          <w:szCs w:val="20"/>
          <w:color w:val="auto"/>
        </w:rPr>
      </w:pPr>
      <w:r>
        <w:rPr>
          <w:rFonts w:ascii="Courier New" w:cs="Courier New" w:eastAsia="Courier New" w:hAnsi="Courier New"/>
          <w:sz w:val="18"/>
          <w:szCs w:val="18"/>
          <w:color w:val="auto"/>
        </w:rPr>
        <w:t>(0.6) Basic earnings per common</w:t>
      </w:r>
    </w:p>
    <w:p>
      <w:pPr>
        <w:spacing w:after="0" w:line="237" w:lineRule="auto"/>
        <w:rPr>
          <w:sz w:val="20"/>
          <w:szCs w:val="20"/>
          <w:color w:val="auto"/>
        </w:rPr>
      </w:pPr>
      <w:r>
        <w:rPr>
          <w:rFonts w:ascii="Courier New" w:cs="Courier New" w:eastAsia="Courier New" w:hAnsi="Courier New"/>
          <w:sz w:val="18"/>
          <w:szCs w:val="18"/>
          <w:color w:val="auto"/>
        </w:rPr>
        <w:t>share(11)........................</w:t>
      </w:r>
    </w:p>
    <w:p>
      <w:pPr>
        <w:ind w:left="60"/>
        <w:spacing w:after="0"/>
        <w:rPr>
          <w:sz w:val="20"/>
          <w:szCs w:val="20"/>
          <w:color w:val="auto"/>
        </w:rPr>
      </w:pPr>
      <w:r>
        <w:rPr>
          <w:rFonts w:ascii="Courier New" w:cs="Courier New" w:eastAsia="Courier New" w:hAnsi="Courier New"/>
          <w:sz w:val="18"/>
          <w:szCs w:val="18"/>
          <w:color w:val="auto"/>
        </w:rPr>
        <w:t>$1.60 $ 1.42(9) $ 2.93(9) $ 2.39</w:t>
      </w:r>
    </w:p>
    <w:p>
      <w:pPr>
        <w:spacing w:after="0" w:line="3" w:lineRule="exact"/>
        <w:rPr>
          <w:sz w:val="20"/>
          <w:szCs w:val="20"/>
          <w:color w:val="auto"/>
        </w:rPr>
      </w:pPr>
    </w:p>
    <w:p>
      <w:pPr>
        <w:jc w:val="both"/>
        <w:ind w:left="320" w:right="7059" w:firstLine="54"/>
        <w:spacing w:after="0" w:line="268" w:lineRule="auto"/>
        <w:tabs>
          <w:tab w:leader="none" w:pos="584"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0.55 $ 1.19 $ (0.02)(12) Diluted earnings per common</w:t>
      </w:r>
    </w:p>
    <w:p>
      <w:pPr>
        <w:spacing w:after="0" w:line="233" w:lineRule="auto"/>
        <w:rPr>
          <w:sz w:val="20"/>
          <w:szCs w:val="20"/>
          <w:color w:val="auto"/>
        </w:rPr>
      </w:pPr>
      <w:r>
        <w:rPr>
          <w:rFonts w:ascii="Courier New" w:cs="Courier New" w:eastAsia="Courier New" w:hAnsi="Courier New"/>
          <w:sz w:val="18"/>
          <w:szCs w:val="18"/>
          <w:color w:val="auto"/>
        </w:rPr>
        <w:t>share(11)........................</w:t>
      </w:r>
    </w:p>
    <w:p>
      <w:pPr>
        <w:ind w:left="60"/>
        <w:spacing w:after="0"/>
        <w:rPr>
          <w:sz w:val="20"/>
          <w:szCs w:val="20"/>
          <w:color w:val="auto"/>
        </w:rPr>
      </w:pPr>
      <w:r>
        <w:rPr>
          <w:rFonts w:ascii="Courier New" w:cs="Courier New" w:eastAsia="Courier New" w:hAnsi="Courier New"/>
          <w:sz w:val="18"/>
          <w:szCs w:val="18"/>
          <w:color w:val="auto"/>
        </w:rPr>
        <w:t>1.35 1.20(10) 2.08(10) 2.25 0.51</w:t>
      </w:r>
    </w:p>
    <w:p>
      <w:pPr>
        <w:jc w:val="center"/>
        <w:ind w:right="6739"/>
        <w:spacing w:after="0" w:line="237" w:lineRule="auto"/>
        <w:rPr>
          <w:sz w:val="20"/>
          <w:szCs w:val="20"/>
          <w:color w:val="auto"/>
        </w:rPr>
      </w:pPr>
      <w:r>
        <w:rPr>
          <w:rFonts w:ascii="Courier New" w:cs="Courier New" w:eastAsia="Courier New" w:hAnsi="Courier New"/>
          <w:sz w:val="18"/>
          <w:szCs w:val="18"/>
          <w:color w:val="auto"/>
        </w:rPr>
        <w:t>1.12 (0.02)(13) OTHER FINANCIAL</w:t>
      </w:r>
    </w:p>
    <w:p>
      <w:pPr>
        <w:jc w:val="center"/>
        <w:ind w:right="6739"/>
        <w:spacing w:after="0"/>
        <w:rPr>
          <w:sz w:val="20"/>
          <w:szCs w:val="20"/>
          <w:color w:val="auto"/>
        </w:rPr>
      </w:pPr>
      <w:r>
        <w:rPr>
          <w:rFonts w:ascii="Courier New" w:cs="Courier New" w:eastAsia="Courier New" w:hAnsi="Courier New"/>
          <w:sz w:val="18"/>
          <w:szCs w:val="18"/>
          <w:color w:val="auto"/>
        </w:rPr>
        <w:t>AND OPERATING DATA: Cash flows</w:t>
      </w:r>
    </w:p>
    <w:p>
      <w:pPr>
        <w:jc w:val="center"/>
        <w:ind w:right="6739"/>
        <w:spacing w:after="0" w:line="237" w:lineRule="auto"/>
        <w:rPr>
          <w:sz w:val="20"/>
          <w:szCs w:val="20"/>
          <w:color w:val="auto"/>
        </w:rPr>
      </w:pPr>
      <w:r>
        <w:rPr>
          <w:rFonts w:ascii="Courier New" w:cs="Courier New" w:eastAsia="Courier New" w:hAnsi="Courier New"/>
          <w:sz w:val="18"/>
          <w:szCs w:val="18"/>
          <w:color w:val="auto"/>
        </w:rPr>
        <w:t>from operating</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activities.......................</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$121.1 $ 71.0 $ 78.2 $ 171.5 $</w:t>
      </w:r>
    </w:p>
    <w:p>
      <w:pPr>
        <w:jc w:val="center"/>
        <w:ind w:right="6739"/>
        <w:spacing w:after="0" w:line="238" w:lineRule="auto"/>
        <w:rPr>
          <w:sz w:val="20"/>
          <w:szCs w:val="20"/>
          <w:color w:val="auto"/>
        </w:rPr>
      </w:pPr>
      <w:r>
        <w:rPr>
          <w:rFonts w:ascii="Courier New" w:cs="Courier New" w:eastAsia="Courier New" w:hAnsi="Courier New"/>
          <w:sz w:val="18"/>
          <w:szCs w:val="18"/>
          <w:color w:val="auto"/>
        </w:rPr>
        <w:t>65.7 $ (308.2) $ (199.8) Cash</w:t>
      </w:r>
    </w:p>
    <w:p>
      <w:pPr>
        <w:jc w:val="center"/>
        <w:ind w:right="6739"/>
        <w:spacing w:after="0"/>
        <w:rPr>
          <w:sz w:val="20"/>
          <w:szCs w:val="20"/>
          <w:color w:val="auto"/>
        </w:rPr>
      </w:pPr>
      <w:r>
        <w:rPr>
          <w:rFonts w:ascii="Courier New" w:cs="Courier New" w:eastAsia="Courier New" w:hAnsi="Courier New"/>
          <w:sz w:val="18"/>
          <w:szCs w:val="18"/>
          <w:color w:val="auto"/>
        </w:rPr>
        <w:t>flows from investing</w:t>
      </w:r>
    </w:p>
    <w:p>
      <w:pPr>
        <w:spacing w:after="0" w:line="3"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activities.......................</w:t>
      </w:r>
    </w:p>
    <w:p>
      <w:pPr>
        <w:spacing w:after="0" w:line="16" w:lineRule="exact"/>
        <w:rPr>
          <w:sz w:val="20"/>
          <w:szCs w:val="20"/>
          <w:color w:val="auto"/>
        </w:rPr>
      </w:pPr>
    </w:p>
    <w:p>
      <w:pPr>
        <w:ind w:left="380" w:hanging="217"/>
        <w:spacing w:after="0"/>
        <w:tabs>
          <w:tab w:leader="none" w:pos="38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72.5) (192.1) (571.6) (89.5)</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(101.0) (49.3) (41.4) Cash flows</w:t>
      </w:r>
    </w:p>
    <w:p>
      <w:pPr>
        <w:ind w:left="1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from financing</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activities.......................</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( 46.2) 118.4 513.9 (78.2) 21.4</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342.4 262.2</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136" w:right="1440" w:bottom="1440" w:gutter="0" w:footer="0" w:header="0"/>
        </w:sectPr>
      </w:pPr>
    </w:p>
    <w:bookmarkStart w:id="40" w:name="page41"/>
    <w:bookmarkEnd w:id="40"/>
    <w:p>
      <w:pPr>
        <w:ind w:left="280" w:hanging="220"/>
        <w:spacing w:after="0"/>
        <w:tabs>
          <w:tab w:leader="none" w:pos="28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 SIX MONTHS ENDED,</w:t>
      </w:r>
    </w:p>
    <w:p>
      <w:pPr>
        <w:ind w:left="60"/>
        <w:spacing w:after="0" w:line="237" w:lineRule="auto"/>
        <w:rPr>
          <w:sz w:val="20"/>
          <w:szCs w:val="20"/>
          <w:color w:val="auto"/>
        </w:rPr>
      </w:pPr>
      <w:r>
        <w:rPr>
          <w:rFonts w:ascii="Courier New" w:cs="Courier New" w:eastAsia="Courier New" w:hAnsi="Courier New"/>
          <w:sz w:val="18"/>
          <w:szCs w:val="18"/>
          <w:color w:val="auto"/>
        </w:rPr>
        <w:t>YEAR ENDED SEPTEMBER 30,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12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MARCH 31, MARCH 30, 1997 1998 1999</w:t>
      </w:r>
    </w:p>
    <w:p>
      <w:pPr>
        <w:ind w:left="60"/>
        <w:spacing w:after="0"/>
        <w:rPr>
          <w:sz w:val="20"/>
          <w:szCs w:val="20"/>
          <w:color w:val="auto"/>
        </w:rPr>
      </w:pPr>
      <w:r>
        <w:rPr>
          <w:rFonts w:ascii="Courier New" w:cs="Courier New" w:eastAsia="Courier New" w:hAnsi="Courier New"/>
          <w:sz w:val="18"/>
          <w:szCs w:val="18"/>
          <w:color w:val="auto"/>
        </w:rPr>
        <w:t>2000 2001 2001 2002 -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6519" w:firstLine="535"/>
        <w:spacing w:after="0" w:line="268" w:lineRule="auto"/>
        <w:tabs>
          <w:tab w:leader="none" w:pos="737"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 (UNAUDITED) EBITDA(14).........................</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121.6 149.0 253.7 271.2 255.7</w:t>
      </w:r>
    </w:p>
    <w:p>
      <w:pPr>
        <w:ind w:left="1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135.7 92.8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Depreciation.......................</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16.6 21.6 29.0 29.0 32.6 16.0 16.0</w:t>
      </w:r>
    </w:p>
    <w:tbl>
      <w:tblPr>
        <w:tblLayout w:type="fixed"/>
        <w:tblInd w:w="60" w:type="dxa"/>
        <w:tblCellMar>
          <w:top w:w="0" w:type="dxa"/>
          <w:left w:w="0" w:type="dxa"/>
          <w:bottom w:w="0" w:type="dxa"/>
          <w:right w:w="0" w:type="dxa"/>
        </w:tblCellMar>
      </w:tblPr>
      <w:tr>
        <w:trPr>
          <w:trHeight w:val="203"/>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Capital</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680" w:type="dxa"/>
            <w:vAlign w:val="bottom"/>
            <w:gridSpan w:val="5"/>
          </w:tcPr>
          <w:p>
            <w:pPr>
              <w:ind w:left="100"/>
              <w:spacing w:after="0"/>
              <w:rPr>
                <w:sz w:val="20"/>
                <w:szCs w:val="20"/>
                <w:color w:val="auto"/>
              </w:rPr>
            </w:pPr>
            <w:r>
              <w:rPr>
                <w:rFonts w:ascii="Courier New" w:cs="Courier New" w:eastAsia="Courier New" w:hAnsi="Courier New"/>
                <w:sz w:val="13"/>
                <w:szCs w:val="13"/>
                <w:color w:val="auto"/>
                <w:w w:val="74"/>
              </w:rPr>
              <w:t>expenditures...............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28.6</w:t>
            </w:r>
          </w:p>
        </w:tc>
      </w:tr>
      <w:tr>
        <w:trPr>
          <w:trHeight w:val="203"/>
        </w:trPr>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41.3</w:t>
            </w:r>
          </w:p>
        </w:tc>
        <w:tc>
          <w:tcPr>
            <w:tcW w:w="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66.7</w:t>
            </w:r>
          </w:p>
        </w:tc>
        <w:tc>
          <w:tcPr>
            <w:tcW w:w="1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4"/>
              </w:rPr>
              <w:t>72.5 63.4</w:t>
            </w:r>
          </w:p>
        </w:tc>
        <w:tc>
          <w:tcPr>
            <w:tcW w:w="1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26.7 22.3</w:t>
            </w:r>
          </w:p>
        </w:tc>
        <w:tc>
          <w:tcPr>
            <w:tcW w:w="200" w:type="dxa"/>
            <w:vAlign w:val="bottom"/>
          </w:tcPr>
          <w:p>
            <w:pPr>
              <w:spacing w:after="0"/>
              <w:rPr>
                <w:sz w:val="17"/>
                <w:szCs w:val="17"/>
                <w:color w:val="auto"/>
              </w:rPr>
            </w:pPr>
          </w:p>
        </w:tc>
      </w:tr>
      <w:tr>
        <w:trPr>
          <w:trHeight w:val="203"/>
        </w:trPr>
        <w:tc>
          <w:tcPr>
            <w:tcW w:w="3380" w:type="dxa"/>
            <w:vAlign w:val="bottom"/>
            <w:gridSpan w:val="10"/>
          </w:tcPr>
          <w:p>
            <w:pPr>
              <w:jc w:val="center"/>
              <w:ind w:left="127"/>
              <w:spacing w:after="0" w:line="203" w:lineRule="exact"/>
              <w:rPr>
                <w:sz w:val="20"/>
                <w:szCs w:val="20"/>
                <w:color w:val="auto"/>
              </w:rPr>
            </w:pPr>
            <w:r>
              <w:rPr>
                <w:rFonts w:ascii="Courier New" w:cs="Courier New" w:eastAsia="Courier New" w:hAnsi="Courier New"/>
                <w:sz w:val="18"/>
                <w:szCs w:val="18"/>
                <w:color w:val="auto"/>
                <w:w w:val="98"/>
              </w:rPr>
              <w:t>BALANCE SHEET DATA: Working</w:t>
            </w:r>
          </w:p>
        </w:tc>
        <w:tc>
          <w:tcPr>
            <w:tcW w:w="20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capital</w:t>
            </w:r>
          </w:p>
        </w:tc>
        <w:tc>
          <w:tcPr>
            <w:tcW w:w="5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93"/>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$146.5</w:t>
            </w:r>
          </w:p>
        </w:tc>
      </w:tr>
      <w:tr>
        <w:trPr>
          <w:trHeight w:val="203"/>
        </w:trPr>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$ 135.3</w:t>
            </w:r>
          </w:p>
        </w:tc>
        <w:tc>
          <w:tcPr>
            <w:tcW w:w="8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$ 274.8</w:t>
            </w:r>
          </w:p>
        </w:tc>
        <w:tc>
          <w:tcPr>
            <w:tcW w:w="8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$ 234.1</w:t>
            </w: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$ 249.1</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339.6</w:t>
            </w:r>
          </w:p>
        </w:tc>
        <w:tc>
          <w:tcPr>
            <w:tcW w:w="100" w:type="dxa"/>
            <w:vAlign w:val="bottom"/>
          </w:tcPr>
          <w:p>
            <w:pPr>
              <w:spacing w:after="0"/>
              <w:rPr>
                <w:sz w:val="17"/>
                <w:szCs w:val="17"/>
                <w:color w:val="auto"/>
              </w:rPr>
            </w:pPr>
          </w:p>
        </w:tc>
        <w:tc>
          <w:tcPr>
            <w:tcW w:w="138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8"/>
              </w:rPr>
              <w:t>$ 378.2 Total</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420" w:type="dxa"/>
            <w:vAlign w:val="bottom"/>
            <w:gridSpan w:val="4"/>
          </w:tcPr>
          <w:p>
            <w:pPr>
              <w:ind w:left="260"/>
              <w:spacing w:after="0"/>
              <w:rPr>
                <w:sz w:val="20"/>
                <w:szCs w:val="20"/>
                <w:color w:val="auto"/>
              </w:rPr>
            </w:pPr>
            <w:r>
              <w:rPr>
                <w:rFonts w:ascii="Courier New" w:cs="Courier New" w:eastAsia="Courier New" w:hAnsi="Courier New"/>
                <w:sz w:val="9"/>
                <w:szCs w:val="9"/>
                <w:color w:val="auto"/>
                <w:w w:val="72"/>
              </w:rPr>
              <w:t>assets.......................</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787.6</w:t>
            </w:r>
          </w:p>
        </w:tc>
        <w:tc>
          <w:tcPr>
            <w:tcW w:w="8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1,035.2</w:t>
            </w:r>
          </w:p>
        </w:tc>
        <w:tc>
          <w:tcPr>
            <w:tcW w:w="8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1,769.6</w:t>
            </w: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1,761.4</w:t>
            </w:r>
          </w:p>
        </w:tc>
        <w:tc>
          <w:tcPr>
            <w:tcW w:w="200" w:type="dxa"/>
            <w:vAlign w:val="bottom"/>
          </w:tcPr>
          <w:p>
            <w:pPr>
              <w:spacing w:after="0"/>
              <w:rPr>
                <w:sz w:val="17"/>
                <w:szCs w:val="17"/>
                <w:color w:val="auto"/>
              </w:rPr>
            </w:pPr>
          </w:p>
        </w:tc>
      </w:tr>
      <w:tr>
        <w:trPr>
          <w:trHeight w:val="203"/>
        </w:trPr>
        <w:tc>
          <w:tcPr>
            <w:tcW w:w="3380" w:type="dxa"/>
            <w:vAlign w:val="bottom"/>
            <w:gridSpan w:val="10"/>
          </w:tcPr>
          <w:p>
            <w:pPr>
              <w:ind w:left="260"/>
              <w:spacing w:after="0" w:line="203" w:lineRule="exact"/>
              <w:rPr>
                <w:sz w:val="20"/>
                <w:szCs w:val="20"/>
                <w:color w:val="auto"/>
              </w:rPr>
            </w:pPr>
            <w:r>
              <w:rPr>
                <w:rFonts w:ascii="Courier New" w:cs="Courier New" w:eastAsia="Courier New" w:hAnsi="Courier New"/>
                <w:sz w:val="18"/>
                <w:szCs w:val="18"/>
                <w:color w:val="auto"/>
                <w:w w:val="98"/>
              </w:rPr>
              <w:t>1,843.0 2,346.9 2,240.3 Total</w:t>
            </w:r>
          </w:p>
        </w:tc>
        <w:tc>
          <w:tcPr>
            <w:tcW w:w="200" w:type="dxa"/>
            <w:vAlign w:val="bottom"/>
          </w:tcPr>
          <w:p>
            <w:pPr>
              <w:spacing w:after="0"/>
              <w:rPr>
                <w:sz w:val="17"/>
                <w:szCs w:val="17"/>
                <w:color w:val="auto"/>
              </w:rPr>
            </w:pPr>
          </w:p>
        </w:tc>
      </w:tr>
      <w:tr>
        <w:trPr>
          <w:trHeight w:val="203"/>
        </w:trPr>
        <w:tc>
          <w:tcPr>
            <w:tcW w:w="800" w:type="dxa"/>
            <w:vAlign w:val="bottom"/>
            <w:gridSpan w:val="2"/>
          </w:tcPr>
          <w:p>
            <w:pPr>
              <w:ind w:left="260"/>
              <w:spacing w:after="0"/>
              <w:rPr>
                <w:sz w:val="20"/>
                <w:szCs w:val="20"/>
                <w:color w:val="auto"/>
              </w:rPr>
            </w:pPr>
            <w:r>
              <w:rPr>
                <w:rFonts w:ascii="Courier New" w:cs="Courier New" w:eastAsia="Courier New" w:hAnsi="Courier New"/>
                <w:sz w:val="4"/>
                <w:szCs w:val="4"/>
                <w:color w:val="auto"/>
                <w:w w:val="74"/>
              </w:rPr>
              <w:t>debt.........................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221.3</w:t>
            </w:r>
          </w:p>
        </w:tc>
        <w:tc>
          <w:tcPr>
            <w:tcW w:w="6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2"/>
              </w:rPr>
              <w:t>372.5</w:t>
            </w: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950.0</w:t>
            </w:r>
          </w:p>
        </w:tc>
        <w:tc>
          <w:tcPr>
            <w:tcW w:w="64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862.8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887.8</w:t>
            </w:r>
          </w:p>
        </w:tc>
        <w:tc>
          <w:tcPr>
            <w:tcW w:w="200" w:type="dxa"/>
            <w:vAlign w:val="bottom"/>
          </w:tcPr>
          <w:p>
            <w:pPr>
              <w:spacing w:after="0"/>
              <w:rPr>
                <w:sz w:val="17"/>
                <w:szCs w:val="17"/>
                <w:color w:val="auto"/>
              </w:rPr>
            </w:pPr>
          </w:p>
        </w:tc>
      </w:tr>
      <w:tr>
        <w:trPr>
          <w:trHeight w:val="203"/>
        </w:trPr>
        <w:tc>
          <w:tcPr>
            <w:tcW w:w="3380" w:type="dxa"/>
            <w:vAlign w:val="bottom"/>
            <w:gridSpan w:val="10"/>
          </w:tcPr>
          <w:p>
            <w:pPr>
              <w:ind w:left="260"/>
              <w:spacing w:after="0" w:line="203" w:lineRule="exact"/>
              <w:rPr>
                <w:sz w:val="20"/>
                <w:szCs w:val="20"/>
                <w:color w:val="auto"/>
              </w:rPr>
            </w:pPr>
            <w:r>
              <w:rPr>
                <w:rFonts w:ascii="Courier New" w:cs="Courier New" w:eastAsia="Courier New" w:hAnsi="Courier New"/>
                <w:sz w:val="18"/>
                <w:szCs w:val="18"/>
                <w:color w:val="auto"/>
                <w:w w:val="98"/>
              </w:rPr>
              <w:t>1,208.2 1,126.7 Shareholders'</w:t>
            </w:r>
          </w:p>
        </w:tc>
        <w:tc>
          <w:tcPr>
            <w:tcW w:w="200" w:type="dxa"/>
            <w:vAlign w:val="bottom"/>
          </w:tcPr>
          <w:p>
            <w:pPr>
              <w:spacing w:after="0"/>
              <w:rPr>
                <w:sz w:val="17"/>
                <w:szCs w:val="17"/>
                <w:color w:val="auto"/>
              </w:rPr>
            </w:pPr>
          </w:p>
        </w:tc>
      </w:tr>
      <w:tr>
        <w:trPr>
          <w:trHeight w:val="203"/>
        </w:trPr>
        <w:tc>
          <w:tcPr>
            <w:tcW w:w="800" w:type="dxa"/>
            <w:vAlign w:val="bottom"/>
            <w:gridSpan w:val="2"/>
          </w:tcPr>
          <w:p>
            <w:pPr>
              <w:ind w:left="60"/>
              <w:spacing w:after="0"/>
              <w:rPr>
                <w:sz w:val="20"/>
                <w:szCs w:val="20"/>
                <w:color w:val="auto"/>
              </w:rPr>
            </w:pPr>
            <w:r>
              <w:rPr>
                <w:rFonts w:ascii="Courier New" w:cs="Courier New" w:eastAsia="Courier New" w:hAnsi="Courier New"/>
                <w:sz w:val="8"/>
                <w:szCs w:val="8"/>
                <w:color w:val="auto"/>
                <w:w w:val="71"/>
              </w:rPr>
              <w:t>equity...............</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389.2 403.9</w:t>
            </w:r>
          </w:p>
        </w:tc>
      </w:tr>
    </w:tbl>
    <w:p>
      <w:pPr>
        <w:ind w:left="60"/>
        <w:spacing w:after="0" w:line="238" w:lineRule="auto"/>
        <w:rPr>
          <w:sz w:val="20"/>
          <w:szCs w:val="20"/>
          <w:color w:val="auto"/>
        </w:rPr>
      </w:pPr>
      <w:r>
        <w:rPr>
          <w:rFonts w:ascii="Courier New" w:cs="Courier New" w:eastAsia="Courier New" w:hAnsi="Courier New"/>
          <w:sz w:val="18"/>
          <w:szCs w:val="18"/>
          <w:color w:val="auto"/>
        </w:rPr>
        <w:t>443.3 477.9 506.2 519.2 516.9 -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779" w:firstLine="8"/>
        <w:spacing w:after="0" w:line="237" w:lineRule="auto"/>
        <w:tabs>
          <w:tab w:leader="none" w:pos="421"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fiscal 2002, we adopted an accounting policy that requires that certain consideration from a vendor to a retailer be classified as a reduction in sales. Like may other companies, we have historically classified these as advertising and promotion costs. The information for all periods presented reflects this new method of presentation. The amounts reclassified as a result of adopting this new accounting policy are as follows:</w:t>
      </w:r>
    </w:p>
    <w:p>
      <w:pPr>
        <w:spacing w:after="0" w:line="210" w:lineRule="exact"/>
        <w:rPr>
          <w:sz w:val="20"/>
          <w:szCs w:val="20"/>
          <w:color w:val="auto"/>
        </w:rPr>
      </w:pPr>
    </w:p>
    <w:p>
      <w:pPr>
        <w:jc w:val="both"/>
        <w:ind w:left="60" w:right="4999"/>
        <w:spacing w:after="0" w:line="268" w:lineRule="auto"/>
        <w:rPr>
          <w:sz w:val="20"/>
          <w:szCs w:val="20"/>
          <w:color w:val="auto"/>
        </w:rPr>
      </w:pPr>
      <w:r>
        <w:rPr>
          <w:rFonts w:ascii="Courier New" w:cs="Courier New" w:eastAsia="Courier New" w:hAnsi="Courier New"/>
          <w:sz w:val="16"/>
          <w:szCs w:val="16"/>
          <w:color w:val="auto"/>
        </w:rPr>
        <w:t>YEAR ENDED SEPTEMBER 30, SIX MONTHS ENDED ------- --------------------------------------- MARCH 31, 1997 1998 1999 2000 2001 2001 ------ ------ -----</w:t>
      </w:r>
    </w:p>
    <w:p>
      <w:pPr>
        <w:spacing w:after="0" w:line="1" w:lineRule="exact"/>
        <w:rPr>
          <w:sz w:val="20"/>
          <w:szCs w:val="20"/>
          <w:color w:val="auto"/>
        </w:rPr>
      </w:pPr>
    </w:p>
    <w:p>
      <w:pPr>
        <w:ind w:left="220" w:right="5059" w:hanging="107"/>
        <w:spacing w:after="0" w:line="268" w:lineRule="auto"/>
        <w:tabs>
          <w:tab w:leader="none" w:pos="326"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(UNAUDITED) Net sales.........................................</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$(13.9) $(17.3) $(25.9) $(43.8) $(51.1) $(28.6)</w:t>
      </w:r>
    </w:p>
    <w:tbl>
      <w:tblPr>
        <w:tblLayout w:type="fixed"/>
        <w:tblInd w:w="0" w:type="dxa"/>
        <w:tblCellMar>
          <w:top w:w="0" w:type="dxa"/>
          <w:left w:w="0" w:type="dxa"/>
          <w:bottom w:w="0" w:type="dxa"/>
          <w:right w:w="0" w:type="dxa"/>
        </w:tblCellMar>
      </w:tblPr>
      <w:tr>
        <w:trPr>
          <w:trHeight w:val="203"/>
        </w:trPr>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160" w:type="dxa"/>
            <w:vAlign w:val="bottom"/>
            <w:gridSpan w:val="2"/>
          </w:tcPr>
          <w:p>
            <w:pPr>
              <w:jc w:val="center"/>
              <w:ind w:right="712"/>
              <w:spacing w:after="0"/>
              <w:rPr>
                <w:sz w:val="20"/>
                <w:szCs w:val="20"/>
                <w:color w:val="auto"/>
              </w:rPr>
            </w:pPr>
            <w:r>
              <w:rPr>
                <w:rFonts w:ascii="Courier New" w:cs="Courier New" w:eastAsia="Courier New" w:hAnsi="Courier New"/>
                <w:sz w:val="18"/>
                <w:szCs w:val="18"/>
                <w:color w:val="auto"/>
                <w:w w:val="96"/>
              </w:rPr>
              <w:t>Gross</w:t>
            </w:r>
          </w:p>
        </w:tc>
        <w:tc>
          <w:tcPr>
            <w:tcW w:w="940" w:type="dxa"/>
            <w:vAlign w:val="bottom"/>
          </w:tcPr>
          <w:p>
            <w:pPr>
              <w:spacing w:after="0"/>
              <w:rPr>
                <w:sz w:val="17"/>
                <w:szCs w:val="17"/>
                <w:color w:val="auto"/>
              </w:rPr>
            </w:pP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profit......................................</w:t>
            </w:r>
          </w:p>
        </w:tc>
        <w:tc>
          <w:tcPr>
            <w:tcW w:w="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22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(13.9)</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(17.3)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(25.9)</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(45.7) (54.2)</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(30.4)</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1"/>
              </w:rPr>
              <w:t>Advertising.......................................</w:t>
            </w:r>
          </w:p>
        </w:tc>
        <w:tc>
          <w:tcPr>
            <w:tcW w:w="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22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(13.9)</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(17.3)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(25.9)</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(46.7) (61.1)</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(34.7)</w:t>
            </w:r>
          </w:p>
        </w:tc>
      </w:tr>
      <w:tr>
        <w:trPr>
          <w:trHeight w:val="203"/>
        </w:trPr>
        <w:tc>
          <w:tcPr>
            <w:tcW w:w="1220" w:type="dxa"/>
            <w:vAlign w:val="bottom"/>
          </w:tcPr>
          <w:p>
            <w:pPr>
              <w:spacing w:after="0"/>
              <w:rPr>
                <w:sz w:val="17"/>
                <w:szCs w:val="17"/>
                <w:color w:val="auto"/>
              </w:rPr>
            </w:pPr>
          </w:p>
        </w:tc>
        <w:tc>
          <w:tcPr>
            <w:tcW w:w="2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Selling, general and</w:t>
            </w:r>
          </w:p>
        </w:tc>
        <w:tc>
          <w:tcPr>
            <w:tcW w:w="940" w:type="dxa"/>
            <w:vAlign w:val="bottom"/>
          </w:tcPr>
          <w:p>
            <w:pPr>
              <w:spacing w:after="0"/>
              <w:rPr>
                <w:sz w:val="17"/>
                <w:szCs w:val="17"/>
                <w:color w:val="auto"/>
              </w:rPr>
            </w:pPr>
          </w:p>
        </w:tc>
      </w:tr>
      <w:tr>
        <w:trPr>
          <w:trHeight w:val="203"/>
        </w:trPr>
        <w:tc>
          <w:tcPr>
            <w:tcW w:w="2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83"/>
              </w:rPr>
              <w:t>administrative...............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-- 1.0 6.9</w:t>
            </w:r>
          </w:p>
        </w:tc>
      </w:tr>
      <w:tr>
        <w:trPr>
          <w:trHeight w:val="203"/>
        </w:trPr>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160" w:type="dxa"/>
            <w:vAlign w:val="bottom"/>
            <w:gridSpan w:val="2"/>
          </w:tcPr>
          <w:p>
            <w:pPr>
              <w:jc w:val="center"/>
              <w:ind w:right="712"/>
              <w:spacing w:after="0" w:line="203" w:lineRule="exact"/>
              <w:rPr>
                <w:sz w:val="20"/>
                <w:szCs w:val="20"/>
                <w:color w:val="auto"/>
              </w:rPr>
            </w:pPr>
            <w:r>
              <w:rPr>
                <w:rFonts w:ascii="Courier New" w:cs="Courier New" w:eastAsia="Courier New" w:hAnsi="Courier New"/>
                <w:sz w:val="18"/>
                <w:szCs w:val="18"/>
                <w:color w:val="auto"/>
                <w:w w:val="98"/>
              </w:rPr>
              <w:t>4.3</w:t>
            </w:r>
          </w:p>
        </w:tc>
        <w:tc>
          <w:tcPr>
            <w:tcW w:w="94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779" w:firstLine="8"/>
        <w:spacing w:after="0" w:line="236" w:lineRule="auto"/>
        <w:tabs>
          <w:tab w:leader="none" w:pos="421"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$2.9 million and $7.3 million of restructuring and other charges in 1998 and 2001, respectively, and $1.1 million for the six month period ended March 30, 2002.</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commissions received and contribution expenses paid under the marketing agreement with Monsanto relating to the marketing and distribution of consumer Roundup(R) products in the United States and other countries around the world. For more information, see "Business -- Roundup(R) Marketing Agreement" in our Form 10-K for the fiscal year ended September 30, 2001, which is incorporated by reference into this prospectus.</w:t>
      </w:r>
    </w:p>
    <w:p>
      <w:pPr>
        <w:spacing w:after="0" w:line="209" w:lineRule="exact"/>
        <w:rPr>
          <w:rFonts w:ascii="Courier New" w:cs="Courier New" w:eastAsia="Courier New" w:hAnsi="Courier New"/>
          <w:sz w:val="18"/>
          <w:szCs w:val="18"/>
          <w:color w:val="auto"/>
        </w:rPr>
      </w:pPr>
    </w:p>
    <w:p>
      <w:pPr>
        <w:ind w:right="1879" w:firstLine="8"/>
        <w:spacing w:after="0" w:line="237" w:lineRule="auto"/>
        <w:tabs>
          <w:tab w:leader="none" w:pos="421"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amortization expense associated with the amortization of the $32 million marketing fee under the Roundup(R) marketing agreement of $1.6 million, $4.9 million and $3.3 million for 1999, 2000 and 2001, respectively, and $1.6 million for each of the six month periods ended March 31, 2001 and March 30, 2002.</w:t>
      </w:r>
    </w:p>
    <w:p>
      <w:pPr>
        <w:sectPr>
          <w:pgSz w:w="11900" w:h="16838" w:orient="portrait"/>
          <w:cols w:equalWidth="0" w:num="1">
            <w:col w:w="10219"/>
          </w:cols>
          <w:pgMar w:left="240" w:top="717" w:right="1440" w:bottom="0" w:gutter="0" w:footer="0" w:header="0"/>
        </w:sectPr>
      </w:pPr>
    </w:p>
    <w:bookmarkStart w:id="41" w:name="page42"/>
    <w:bookmarkEnd w:id="41"/>
    <w:p>
      <w:pPr>
        <w:ind w:right="2419" w:firstLine="8"/>
        <w:spacing w:after="0" w:line="235" w:lineRule="auto"/>
        <w:tabs>
          <w:tab w:leader="none" w:pos="421"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Advertising represents the cost of Scotts' external media campaign and related fees and expenses</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$2.1 million of restructuring and other charges.</w:t>
      </w:r>
    </w:p>
    <w:p>
      <w:pPr>
        <w:spacing w:after="0" w:line="206" w:lineRule="exact"/>
        <w:rPr>
          <w:rFonts w:ascii="Courier New" w:cs="Courier New" w:eastAsia="Courier New" w:hAnsi="Courier New"/>
          <w:sz w:val="18"/>
          <w:szCs w:val="18"/>
          <w:color w:val="auto"/>
        </w:rPr>
      </w:pPr>
    </w:p>
    <w:p>
      <w:pPr>
        <w:ind w:right="1999" w:firstLine="8"/>
        <w:spacing w:after="0" w:line="235" w:lineRule="auto"/>
        <w:tabs>
          <w:tab w:leader="none" w:pos="421"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amortization of deferred financing costs, interest rate locks and debt discount.</w:t>
      </w:r>
    </w:p>
    <w:p>
      <w:pPr>
        <w:spacing w:after="0" w:line="208" w:lineRule="exact"/>
        <w:rPr>
          <w:rFonts w:ascii="Courier New" w:cs="Courier New" w:eastAsia="Courier New" w:hAnsi="Courier New"/>
          <w:sz w:val="18"/>
          <w:szCs w:val="18"/>
          <w:color w:val="auto"/>
        </w:rPr>
      </w:pPr>
    </w:p>
    <w:p>
      <w:pPr>
        <w:ind w:right="2419" w:firstLine="8"/>
        <w:spacing w:after="0" w:line="235" w:lineRule="auto"/>
        <w:tabs>
          <w:tab w:leader="none" w:pos="421"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extraordinary losses of $0.7 million and $5.9 million, net of income tax benefits, for 1998 and 1999, respectively.</w:t>
      </w:r>
    </w:p>
    <w:p>
      <w:pPr>
        <w:spacing w:after="0" w:line="208" w:lineRule="exact"/>
        <w:rPr>
          <w:rFonts w:ascii="Courier New" w:cs="Courier New" w:eastAsia="Courier New" w:hAnsi="Courier New"/>
          <w:sz w:val="18"/>
          <w:szCs w:val="18"/>
          <w:color w:val="auto"/>
        </w:rPr>
      </w:pPr>
    </w:p>
    <w:p>
      <w:pPr>
        <w:ind w:right="2319" w:firstLine="8"/>
        <w:spacing w:after="0" w:line="235" w:lineRule="auto"/>
        <w:tabs>
          <w:tab w:leader="none" w:pos="421"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extraordinary losses of $0.04 and $0.32 per share for 1998 and 1999, respectively.</w:t>
      </w:r>
    </w:p>
    <w:p>
      <w:pPr>
        <w:spacing w:after="0" w:line="208" w:lineRule="exact"/>
        <w:rPr>
          <w:rFonts w:ascii="Courier New" w:cs="Courier New" w:eastAsia="Courier New" w:hAnsi="Courier New"/>
          <w:sz w:val="18"/>
          <w:szCs w:val="18"/>
          <w:color w:val="auto"/>
        </w:rPr>
      </w:pPr>
    </w:p>
    <w:p>
      <w:pPr>
        <w:ind w:right="2199" w:firstLine="8"/>
        <w:spacing w:after="0" w:line="235" w:lineRule="auto"/>
        <w:tabs>
          <w:tab w:leader="none" w:pos="527"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extraordinary losses of $0.02 and $0.19 per share for 1998 and 1999, respectively.</w:t>
      </w:r>
    </w:p>
    <w:p>
      <w:pPr>
        <w:spacing w:after="0" w:line="208" w:lineRule="exact"/>
        <w:rPr>
          <w:rFonts w:ascii="Courier New" w:cs="Courier New" w:eastAsia="Courier New" w:hAnsi="Courier New"/>
          <w:sz w:val="18"/>
          <w:szCs w:val="18"/>
          <w:color w:val="auto"/>
        </w:rPr>
      </w:pPr>
    </w:p>
    <w:p>
      <w:pPr>
        <w:jc w:val="both"/>
        <w:ind w:right="1879" w:firstLine="8"/>
        <w:spacing w:after="0" w:line="237" w:lineRule="auto"/>
        <w:tabs>
          <w:tab w:leader="none" w:pos="527"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available to common shareholders and basic and diluted earnings per share would have been as follows if the accounting change for intangible assets adopted in the fiscal year beginning October 1, 2001, had been adopted as of October 1, 1998:</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SIX MONTHS ENDED -----------</w:t>
      </w:r>
    </w:p>
    <w:p>
      <w:pPr>
        <w:ind w:left="60"/>
        <w:spacing w:after="0" w:line="238" w:lineRule="auto"/>
        <w:rPr>
          <w:sz w:val="20"/>
          <w:szCs w:val="20"/>
          <w:color w:val="auto"/>
        </w:rPr>
      </w:pPr>
      <w:r>
        <w:rPr>
          <w:rFonts w:ascii="Courier New" w:cs="Courier New" w:eastAsia="Courier New" w:hAnsi="Courier New"/>
          <w:sz w:val="18"/>
          <w:szCs w:val="18"/>
          <w:color w:val="auto"/>
        </w:rPr>
        <w:t>----------------- MARCH 31, 1999 2000 2001 2001 -----</w:t>
      </w:r>
    </w:p>
    <w:p>
      <w:pPr>
        <w:spacing w:after="0" w:line="5" w:lineRule="exact"/>
        <w:rPr>
          <w:sz w:val="20"/>
          <w:szCs w:val="20"/>
          <w:color w:val="auto"/>
        </w:rPr>
      </w:pPr>
    </w:p>
    <w:p>
      <w:pPr>
        <w:ind w:left="60" w:right="4579" w:firstLine="105"/>
        <w:spacing w:after="0" w:line="268" w:lineRule="auto"/>
        <w:tabs>
          <w:tab w:leader="none" w:pos="376"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(UNAUDITED) Income available to common shareholders(8)..................</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$ 68.5 $ 83.4 $ 32.1 $41.9 Basic</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EPS...................................................</w:t>
      </w:r>
    </w:p>
    <w:p>
      <w:pPr>
        <w:ind w:left="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$ 3.76(8) $ 2.98 $ 1.13 $1.48 Diluted</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EPS.................................................</w:t>
      </w:r>
    </w:p>
    <w:p>
      <w:pPr>
        <w:ind w:left="1700"/>
        <w:spacing w:after="0"/>
        <w:rPr>
          <w:sz w:val="20"/>
          <w:szCs w:val="20"/>
          <w:color w:val="auto"/>
        </w:rPr>
      </w:pPr>
      <w:r>
        <w:rPr>
          <w:rFonts w:ascii="Courier New" w:cs="Courier New" w:eastAsia="Courier New" w:hAnsi="Courier New"/>
          <w:sz w:val="18"/>
          <w:szCs w:val="18"/>
          <w:color w:val="auto"/>
        </w:rPr>
        <w:t>2.57(9) 2.81 1.05 1.40</w:t>
      </w:r>
    </w:p>
    <w:p>
      <w:pPr>
        <w:spacing w:after="0" w:line="200" w:lineRule="exact"/>
        <w:rPr>
          <w:sz w:val="20"/>
          <w:szCs w:val="20"/>
          <w:color w:val="auto"/>
        </w:rPr>
      </w:pPr>
    </w:p>
    <w:p>
      <w:pPr>
        <w:spacing w:after="0" w:line="209" w:lineRule="exact"/>
        <w:rPr>
          <w:sz w:val="20"/>
          <w:szCs w:val="20"/>
          <w:color w:val="auto"/>
        </w:rPr>
      </w:pPr>
    </w:p>
    <w:p>
      <w:pPr>
        <w:ind w:right="1999" w:firstLine="8"/>
        <w:spacing w:after="0" w:line="235" w:lineRule="auto"/>
        <w:tabs>
          <w:tab w:leader="none" w:pos="527"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cumulative effect of change in accounting for intangible assets, net of income tax benefit, of $(0.64) per share.</w:t>
      </w:r>
    </w:p>
    <w:p>
      <w:pPr>
        <w:spacing w:after="0" w:line="208" w:lineRule="exact"/>
        <w:rPr>
          <w:rFonts w:ascii="Courier New" w:cs="Courier New" w:eastAsia="Courier New" w:hAnsi="Courier New"/>
          <w:sz w:val="18"/>
          <w:szCs w:val="18"/>
          <w:color w:val="auto"/>
        </w:rPr>
      </w:pPr>
    </w:p>
    <w:p>
      <w:pPr>
        <w:ind w:right="1999" w:firstLine="8"/>
        <w:spacing w:after="0" w:line="235" w:lineRule="auto"/>
        <w:tabs>
          <w:tab w:leader="none" w:pos="527"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cumulative effect of change in accounting for intangible assets, net of income tax benefit, of $(0.59) per share.</w:t>
      </w:r>
    </w:p>
    <w:p>
      <w:pPr>
        <w:spacing w:after="0" w:line="208" w:lineRule="exact"/>
        <w:rPr>
          <w:rFonts w:ascii="Courier New" w:cs="Courier New" w:eastAsia="Courier New" w:hAnsi="Courier New"/>
          <w:sz w:val="18"/>
          <w:szCs w:val="18"/>
          <w:color w:val="auto"/>
        </w:rPr>
      </w:pPr>
    </w:p>
    <w:p>
      <w:pPr>
        <w:ind w:right="1779" w:firstLine="8"/>
        <w:spacing w:after="0" w:line="270" w:lineRule="auto"/>
        <w:tabs>
          <w:tab w:leader="none" w:pos="527"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EBITDA is defined as income from operations, plus restructuring and other charges, depreciation and amortization. EBITDA is not intended to represent cash flow from operations as defined by generally accepted accounting principles and should not be used as an alternative to net income as an indicator of operating performance or to cash flow as a measure of liquidity. EBITDA is included in this offering memorandum because it is a basis upon which Scotts' management assesses financial performance. While EBITDA is frequently used as a measure of operations and the ability to meet debt service requirements, it is not necessarily comparable to other similarly titled captions of other companies due to potential inconsistencies in the method of calculation.</w:t>
      </w:r>
    </w:p>
    <w:p>
      <w:pPr>
        <w:spacing w:after="0" w:line="18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344" w:right="1440" w:bottom="1440" w:gutter="0" w:footer="0" w:header="0"/>
        </w:sectPr>
      </w:pPr>
    </w:p>
    <w:bookmarkStart w:id="42" w:name="page43"/>
    <w:bookmarkEnd w:id="42"/>
    <w:p>
      <w:pPr>
        <w:ind w:left="2000"/>
        <w:spacing w:after="0"/>
        <w:rPr>
          <w:sz w:val="20"/>
          <w:szCs w:val="20"/>
          <w:color w:val="auto"/>
        </w:rPr>
      </w:pPr>
      <w:r>
        <w:rPr>
          <w:rFonts w:ascii="Courier New" w:cs="Courier New" w:eastAsia="Courier New" w:hAnsi="Courier New"/>
          <w:sz w:val="18"/>
          <w:szCs w:val="18"/>
          <w:color w:val="auto"/>
        </w:rPr>
        <w:t>DESCRIPTION OF CERTAIN OTHER INDEBTEDNESS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FACILITY</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The following description is a summary of material provisions of our credit facility. It does not restate the credit facility in its entirety. We urge you to read the credit facility because it, and not this description, defines the terms of our other material outstanding indebtedness. We have not included the definitions of many of the defined terms contained in the credit facility, and we urge you to refer to such document for the definitions of capitalized terms in the following summary. Copies of the credit facility are available as set forth under the section entitled "Where you can find additional information."</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Scotts and certain of its subsidiaries entered into the credit facility on December 4, 1998. The credit facility has been amended several times subsequently, including an amendment and restatement of the entire credit facility on December 5, 2000 in connection with both an increase in the revolving credit component and a refinancing of the original U.S. dollar-denominated term loan components (new Tranche B) of the credit facility, both of which are described below to reflect current terms.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credit facility establishes aggregate financing for Scotts and certain of our subsidiaries which are designated (either at closing or in the future) as co-borrowers in the aggregate principal amount of $1.1 billion. The credit financing under the credit facility is provided by a lending syndicate group consisting of more than 90 lenders worldwide, with JPMorgan Chase Bank serving as administrative agent.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OF ADDITIONAL CREDIT AVAILABLE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credit facility provides for aggregate total senior secured credit financing in the principal amount of up to $1.1 billion, consisting of term loan facilities in the aggregate amount of $525 million and a revolving credit facility in the amount of $575.0 million. A portion of the revolving credit facility may be used for permitted acquisitions of up to $200.0 million (increasing to $225.0 million on October 1, 2002).</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SPECIFIC CREDIT FACILITIES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term loan facilities consist of two tranches. The first, the Tranche A term loan facility, consists of a 6 1/2 year term loan facility in an aggregate approximate principal amount equal to $265.0 million, which is divided into three sub-tranches of French Francs, German Deutsche Marks and British Pounds Sterling, the first two sub-tranches of which will now be repaid in euros. The Tranche A term loans are to be repaid in quarterly principal installments maturing on June 30, 2005. The Tranche B term loan facility consists of a 7 year term loan facility in an aggregate principal amount equal to $260.0 million, which is to be repaid in nominal quarterly installments for the first 6 years and in substantial quarterly installments in the final year. The Tranche B term loan facility matures on December 31, 2007.</w:t>
      </w:r>
    </w:p>
    <w:p>
      <w:pPr>
        <w:spacing w:after="0" w:line="39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revolving credit facility consists of revolving credit loans in the amount of up to $575.0 million, which is available on a revolving basis for a term of 6 1/2 years. A portion of the revolving credit facility not to exceed $100.0 million is available for the issuance of letters of credit. Additionally, a portion of the revolving credit facility not to exceed $55.0 million is available from JPMorgan Chase or Credit Lyonnais for swing line loans in U.S. Dollars on same-day notice. Portions of such swing line limit, not to exceed certain sub-limits, are also available</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17" w:right="1440" w:bottom="1440" w:gutter="0" w:footer="0" w:header="0"/>
        </w:sectPr>
      </w:pPr>
    </w:p>
    <w:bookmarkStart w:id="43" w:name="page44"/>
    <w:bookmarkEnd w:id="43"/>
    <w:p>
      <w:pPr>
        <w:ind w:right="1779"/>
        <w:spacing w:after="0" w:line="271" w:lineRule="auto"/>
        <w:rPr>
          <w:sz w:val="20"/>
          <w:szCs w:val="20"/>
          <w:color w:val="auto"/>
        </w:rPr>
      </w:pPr>
      <w:r>
        <w:rPr>
          <w:rFonts w:ascii="Courier New" w:cs="Courier New" w:eastAsia="Courier New" w:hAnsi="Courier New"/>
          <w:sz w:val="16"/>
          <w:szCs w:val="16"/>
          <w:color w:val="auto"/>
        </w:rPr>
        <w:t>on a same-day notice basis from various eligible lenders within the lending syndicate for swing line loans in various optional currencies. Further, on a standard notice basis, a portion of the revolving credit facility not to exceed $360.0 million is available for borrowing in various optional currencies, including the Euro, provided that the outstanding revolving credit loans in optional currencies other than British Pounds Sterling does not exceed $200.0 million. The outstanding principal amount of all revolving credit loans may not exceed $150.0 million for at least 30 consecutive days during any calendar year. The revolving credit facility matures on June 30, 2005.</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PREPAYMENTS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Loans may be prepaid and commitments may be reduced in certain specified minimum amounts. Optional prepayments of the term loans shall be applied pro rata to the two tranches thereof ratably to the respective installments thereof. As long as any Tranche A term loans are outstanding, each holder of Tranche B term loans shall have the right to refuse all or any portion of such prepayment allocated to it, and the amount so refused will be applied to repay the Tranche A term loans. Optional prepayments of the term loans may not be reborrowed.</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credit facility also provides for mandatory prepayments in certain specified events and in certain specified percentages, including (a) depending upon our leverage ratio at the applicable time, 50% of the net proceeds of any sale or issuance of equity, (b) 100% of the net proceeds of any incurrence of indebtedness not currently expressly permitted by the credit facility, (c) 100% of the net proceeds of any sale or other disposition of any assets, subject to certain exceptions, and (d) 75% of excess cash flow, subject to reductions as specified if certain leverage ratios are met.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pricing grid establishes various interest rate options on the revolving credit facility and the term loans and is based upon the leverage ratio as determined by our consolidated financial statements. The interest rate options include a LIBOR option, and a base rate determined by a calculation which takes into effect the prime rate, the base CD rate, and the Federal Funds effective rate in effect as of any date of determination.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GUARANTIES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Scotts executed an unconditional guaranty of all of the indebtedness and obligations under the credit facility incurred by its subsidiary borrowers. Additionally, most of our domestic direct and indirect subsidiaries executed guaranties as well. Our offshore indirect subsidiaries did not execute any guaranties.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COLLATERAL</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Scotts and all of its domestic subsidiaries pledged substantially all of their personal property assets to secure the indebtedness and obligations under the credit facility. Additionally, Scotts and its domestic subsidiaries pledged any real property assets having a value in excess of $500,000. Scotts and its domestic subsidiaries pledged primarily all of their intellectual property assets as well. Scotts and its direct and indirect subsidiaries also pledged primarily all of the stock which each such entity owned in its own respective subsidiaries, except to the extent where any such pledge was limited by laws of a foreign country, or would have resulted in adverse tax consequences.</w:t>
      </w:r>
    </w:p>
    <w:p>
      <w:pPr>
        <w:spacing w:after="0" w:line="17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credit facility contains standard negative covenants, including covenants which impose limitations on our ability to, among other things, (a) place liens on property, or incur contingent obligations, (b) sell all or substantially all of our assets, and (c) make any fundamental changes, or acquisitions, investments, loans or advances, except for acquisitions in an amount not to exceed $225.0 million without consent. The credit facility also contains financial covenants consisting of the maintenance of a specified leverage ratio and an interest coverage ratio, over the life of the credit facility. These financial covenants are based upon operating performance levels in effect throughout the term of the credit facility.</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OUTSTANDING 8.625% SENIOR SUBORDINATED NOTES</w:t>
      </w:r>
    </w:p>
    <w:p>
      <w:pPr>
        <w:spacing w:after="0" w:line="207"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In January 1999, we issued $330 million aggregate principal amount of 8.625% Series A senior subordinated notes due 2009. The originally issued notes were exchanged for new 8.625% Series B senior subordinated notes due 2009 in an exchange offering registered under the Securities Act that was completed in 2001. The outstanding 8.625% Series B senior subordinated notes due 2009 are identical to the original notes issued on February 6, 2002, except that the outstanding 8.625% Series B senior subordinated notes due 2009 have been registered under the Securities Act. The outstanding 8.625% Series B senior subordinated notes due 2009 will be identical to the exchange notes.</w:t>
      </w:r>
    </w:p>
    <w:p>
      <w:pPr>
        <w:spacing w:after="0" w:line="17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17" w:right="1440" w:bottom="1440" w:gutter="0" w:footer="0" w:header="0"/>
        </w:sectPr>
      </w:pPr>
    </w:p>
    <w:bookmarkStart w:id="45" w:name="page46"/>
    <w:bookmarkEnd w:id="45"/>
    <w:p>
      <w:pPr>
        <w:jc w:val="center"/>
        <w:ind w:right="1779"/>
        <w:spacing w:after="0"/>
        <w:rPr>
          <w:sz w:val="20"/>
          <w:szCs w:val="20"/>
          <w:color w:val="auto"/>
        </w:rPr>
      </w:pPr>
      <w:r>
        <w:rPr>
          <w:rFonts w:ascii="Courier New" w:cs="Courier New" w:eastAsia="Courier New" w:hAnsi="Courier New"/>
          <w:sz w:val="18"/>
          <w:szCs w:val="18"/>
          <w:color w:val="auto"/>
        </w:rPr>
        <w:t>DESCRIPTION OF NOTES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You can find the definitions of certain terms used in this description under the subheading "Certain Definitions." In this description, the words "Company," "Issuer," "Scotts," "us," "we" and "our" refer only to The Scotts Company and not to any of its subsidiaries.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issued the original Notes, and will issue the Notes to be delivered in the exchange offer, under the Indenture dated as of January 21, 1999 (the "Indenture") among itself, the Guarantors and State Street Bank and Trust Company, as trustee (the "Trustee") in a private transaction that is not subject to the registration requirements of the Securities Act. In 1999, $330 million aggregate principal amount of notes were issued under the Indenture. The Notes are pari passu with the outstanding notes and are identical in all respects, except that the outstanding notes have been registered under the Securities Act. Each reference to "Issue Date" means January 21, 1999, and as a result we have indicated, in the relevant clauses, the dollar amount of baskets that have been used in the prior transaction, or the amount available for future application. The terms of the Notes include those stated in the Indenture and those made part of the Indenture by reference to the Trust Indenture Act of 1939 (the "Trust Indenture Act").</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following description is a summary of the material provisions of the Indenture, including the definitions therein of certain terms used below. It does not restate those agreements in their entirety. We urge you to read the Indenture because it, and not this description, defines your rights as holders of these Notes. Copies of the Indenture are available as set forth below under "Where you can find more information."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BRIEF DESCRIPTION OF THE NOTES AND THE GUARANTEES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These Notes:</w:t>
      </w:r>
    </w:p>
    <w:p>
      <w:pPr>
        <w:spacing w:after="0" w:line="201" w:lineRule="exact"/>
        <w:rPr>
          <w:sz w:val="20"/>
          <w:szCs w:val="20"/>
          <w:color w:val="auto"/>
        </w:rPr>
      </w:pPr>
    </w:p>
    <w:p>
      <w:pPr>
        <w:ind w:left="960" w:hanging="215"/>
        <w:spacing w:after="0"/>
        <w:tabs>
          <w:tab w:leader="none" w:pos="96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general obligations of the Company;</w:t>
      </w:r>
    </w:p>
    <w:p>
      <w:pPr>
        <w:spacing w:after="0" w:line="206" w:lineRule="exact"/>
        <w:rPr>
          <w:rFonts w:ascii="Courier New" w:cs="Courier New" w:eastAsia="Courier New" w:hAnsi="Courier New"/>
          <w:sz w:val="18"/>
          <w:szCs w:val="18"/>
          <w:color w:val="auto"/>
        </w:rPr>
      </w:pPr>
    </w:p>
    <w:p>
      <w:pPr>
        <w:ind w:left="740" w:right="1879" w:firstLine="5"/>
        <w:spacing w:after="0" w:line="235" w:lineRule="auto"/>
        <w:tabs>
          <w:tab w:leader="none" w:pos="951"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subordinated in right of payment to all existing and future Senior Debt of the Company; and</w:t>
      </w:r>
    </w:p>
    <w:p>
      <w:pPr>
        <w:spacing w:after="0" w:line="208" w:lineRule="exact"/>
        <w:rPr>
          <w:rFonts w:ascii="Courier New" w:cs="Courier New" w:eastAsia="Courier New" w:hAnsi="Courier New"/>
          <w:sz w:val="18"/>
          <w:szCs w:val="18"/>
          <w:color w:val="auto"/>
        </w:rPr>
      </w:pPr>
    </w:p>
    <w:p>
      <w:pPr>
        <w:ind w:left="740" w:right="2519" w:firstLine="5"/>
        <w:spacing w:after="0" w:line="235" w:lineRule="auto"/>
        <w:tabs>
          <w:tab w:leader="none" w:pos="951"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senior in right of payment to any future junior subordinated Indebtedness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GUARANTEES</w:t>
      </w:r>
    </w:p>
    <w:p>
      <w:pPr>
        <w:spacing w:after="0" w:line="207"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These Notes are guaranteed by all of the existing and future Wholly Owned Domestic Restricted Subsidiaries and Significant Domestic Restricted Subsidiaries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Guarantees of these Notes:</w:t>
      </w:r>
    </w:p>
    <w:p>
      <w:pPr>
        <w:spacing w:after="0" w:line="201" w:lineRule="exact"/>
        <w:rPr>
          <w:sz w:val="20"/>
          <w:szCs w:val="20"/>
          <w:color w:val="auto"/>
        </w:rPr>
      </w:pPr>
    </w:p>
    <w:p>
      <w:pPr>
        <w:ind w:left="960" w:hanging="215"/>
        <w:spacing w:after="0"/>
        <w:tabs>
          <w:tab w:leader="none" w:pos="96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general obligations of each Guarantor;</w:t>
      </w:r>
    </w:p>
    <w:p>
      <w:pPr>
        <w:spacing w:after="0" w:line="206" w:lineRule="exact"/>
        <w:rPr>
          <w:rFonts w:ascii="Courier New" w:cs="Courier New" w:eastAsia="Courier New" w:hAnsi="Courier New"/>
          <w:sz w:val="18"/>
          <w:szCs w:val="18"/>
          <w:color w:val="auto"/>
        </w:rPr>
      </w:pPr>
    </w:p>
    <w:p>
      <w:pPr>
        <w:ind w:left="740" w:right="1879" w:firstLine="5"/>
        <w:spacing w:after="0" w:line="235" w:lineRule="auto"/>
        <w:tabs>
          <w:tab w:leader="none" w:pos="951"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subordinated in right of payment to all existing and future Senior Debt of each Guarantor; and</w:t>
      </w:r>
    </w:p>
    <w:p>
      <w:pPr>
        <w:spacing w:after="0" w:line="208" w:lineRule="exact"/>
        <w:rPr>
          <w:rFonts w:ascii="Courier New" w:cs="Courier New" w:eastAsia="Courier New" w:hAnsi="Courier New"/>
          <w:sz w:val="18"/>
          <w:szCs w:val="18"/>
          <w:color w:val="auto"/>
        </w:rPr>
      </w:pPr>
    </w:p>
    <w:p>
      <w:pPr>
        <w:ind w:left="740" w:right="2519" w:firstLine="5"/>
        <w:spacing w:after="0" w:line="235" w:lineRule="auto"/>
        <w:tabs>
          <w:tab w:leader="none" w:pos="951"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senior in right of payment to any future junior subordinated Indebtedness of each Guarantor.</w:t>
      </w:r>
    </w:p>
    <w:p>
      <w:pPr>
        <w:spacing w:after="0" w:line="20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As of March 30, 2002, on an as adjusted basis to give effect to the offering of the original Notes, the Company and the Guarantors would have had total Senior Debt of approximately</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17" w:right="1440" w:bottom="1440" w:gutter="0" w:footer="0" w:header="0"/>
        </w:sectPr>
      </w:pPr>
    </w:p>
    <w:bookmarkStart w:id="46" w:name="page47"/>
    <w:bookmarkEnd w:id="46"/>
    <w:p>
      <w:pPr>
        <w:ind w:right="1779"/>
        <w:spacing w:after="0" w:line="269" w:lineRule="auto"/>
        <w:rPr>
          <w:sz w:val="20"/>
          <w:szCs w:val="20"/>
          <w:color w:val="auto"/>
        </w:rPr>
      </w:pPr>
      <w:r>
        <w:rPr>
          <w:rFonts w:ascii="Courier New" w:cs="Courier New" w:eastAsia="Courier New" w:hAnsi="Courier New"/>
          <w:sz w:val="16"/>
          <w:szCs w:val="16"/>
          <w:color w:val="auto"/>
        </w:rPr>
        <w:t>$593.0 million. As indicated above and as discussed in detail below under the subheading "Subordination," payments on the Notes and under the Guarantees will be subordinated to the payment of Senior Debt. The Indenture permits us and the Guarantors to incur additional Senior Debt. As of the date hereof, all of our subsidiaries are "Restricted Subsidiaries." However, under the circumstances described below under the subheading "Certain covenants -- Restricted payments," we are permitted to designate certain of our subsidiaries as "Unrestricted Subsidiaries." Unrestricted Subsidiaries are not subject to many of the restrictive covenants in the Indenture. Unrestricted Subsidiaries will not guarantee these Notes. Not all of our "Restricted Subsidiaries" guarantee the Notes. In the event of a bankruptcy, liquidation or reorganization of any of these non-guarantor subsidiaries, these non-guarantor subsidiaries will pay the holders of their debt and their trade creditors before they will be able to distribute any of their assets to us. The non-guarantor subsidiaries generated approximately 23.5% of our consolidated revenues and 11.7% of our consolidated EBITDA for the year ended September 30, 2001 and held approximately 26.9% and 27.3% of our consolidated assets as of September 30, 2001 and March 30, 2002, respectively. They did not represent a positive percentage of our operating income or earnings before taxes. See note 23 of the notes to our consolidated financial statements in our Form 10-K for the fiscal year ended September 30, 2001, which is incorporated by reference into this prospectus, for more detail about the division of our consolidated revenues and assets between our guarantor and non-guarantor subsidiaries.</w:t>
      </w:r>
    </w:p>
    <w:p>
      <w:pPr>
        <w:spacing w:after="0" w:line="200" w:lineRule="exact"/>
        <w:rPr>
          <w:sz w:val="20"/>
          <w:szCs w:val="20"/>
          <w:color w:val="auto"/>
        </w:rPr>
      </w:pPr>
    </w:p>
    <w:p>
      <w:pPr>
        <w:spacing w:after="0" w:line="396"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As of the date of this prospectus, the following subsidiaries are Guarantors of these Notes:</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Scotts Manufacturing Company</w:t>
      </w:r>
    </w:p>
    <w:p>
      <w:pPr>
        <w:ind w:left="740"/>
        <w:spacing w:after="0" w:line="238" w:lineRule="auto"/>
        <w:rPr>
          <w:sz w:val="20"/>
          <w:szCs w:val="20"/>
          <w:color w:val="auto"/>
        </w:rPr>
      </w:pPr>
      <w:r>
        <w:rPr>
          <w:rFonts w:ascii="Courier New" w:cs="Courier New" w:eastAsia="Courier New" w:hAnsi="Courier New"/>
          <w:sz w:val="18"/>
          <w:szCs w:val="18"/>
          <w:color w:val="auto"/>
        </w:rPr>
        <w:t>Miracle-Gro Lawn Products, Inc.</w:t>
      </w:r>
    </w:p>
    <w:p>
      <w:pPr>
        <w:ind w:left="740"/>
        <w:spacing w:after="0"/>
        <w:rPr>
          <w:sz w:val="20"/>
          <w:szCs w:val="20"/>
          <w:color w:val="auto"/>
        </w:rPr>
      </w:pPr>
      <w:r>
        <w:rPr>
          <w:rFonts w:ascii="Courier New" w:cs="Courier New" w:eastAsia="Courier New" w:hAnsi="Courier New"/>
          <w:sz w:val="18"/>
          <w:szCs w:val="18"/>
          <w:color w:val="auto"/>
        </w:rPr>
        <w:t>OMS Investments, Inc.</w:t>
      </w:r>
    </w:p>
    <w:p>
      <w:pPr>
        <w:ind w:left="740"/>
        <w:spacing w:after="0" w:line="237" w:lineRule="auto"/>
        <w:rPr>
          <w:sz w:val="20"/>
          <w:szCs w:val="20"/>
          <w:color w:val="auto"/>
        </w:rPr>
      </w:pPr>
      <w:r>
        <w:rPr>
          <w:rFonts w:ascii="Courier New" w:cs="Courier New" w:eastAsia="Courier New" w:hAnsi="Courier New"/>
          <w:sz w:val="18"/>
          <w:szCs w:val="18"/>
          <w:color w:val="auto"/>
        </w:rPr>
        <w:t>Hyponex Corporation</w:t>
      </w:r>
    </w:p>
    <w:p>
      <w:pPr>
        <w:ind w:left="740"/>
        <w:spacing w:after="0" w:line="238" w:lineRule="auto"/>
        <w:rPr>
          <w:sz w:val="20"/>
          <w:szCs w:val="20"/>
          <w:color w:val="auto"/>
        </w:rPr>
      </w:pPr>
      <w:r>
        <w:rPr>
          <w:rFonts w:ascii="Courier New" w:cs="Courier New" w:eastAsia="Courier New" w:hAnsi="Courier New"/>
          <w:sz w:val="18"/>
          <w:szCs w:val="18"/>
          <w:color w:val="auto"/>
        </w:rPr>
        <w:t>EarthGro, Inc.</w:t>
      </w:r>
    </w:p>
    <w:p>
      <w:pPr>
        <w:ind w:left="740"/>
        <w:spacing w:after="0"/>
        <w:rPr>
          <w:sz w:val="20"/>
          <w:szCs w:val="20"/>
          <w:color w:val="auto"/>
        </w:rPr>
      </w:pPr>
      <w:r>
        <w:rPr>
          <w:rFonts w:ascii="Courier New" w:cs="Courier New" w:eastAsia="Courier New" w:hAnsi="Courier New"/>
          <w:sz w:val="18"/>
          <w:szCs w:val="18"/>
          <w:color w:val="auto"/>
        </w:rPr>
        <w:t>Scotts Products Co.</w:t>
      </w:r>
    </w:p>
    <w:p>
      <w:pPr>
        <w:ind w:left="740"/>
        <w:spacing w:after="0" w:line="237" w:lineRule="auto"/>
        <w:rPr>
          <w:sz w:val="20"/>
          <w:szCs w:val="20"/>
          <w:color w:val="auto"/>
        </w:rPr>
      </w:pPr>
      <w:r>
        <w:rPr>
          <w:rFonts w:ascii="Courier New" w:cs="Courier New" w:eastAsia="Courier New" w:hAnsi="Courier New"/>
          <w:sz w:val="18"/>
          <w:szCs w:val="18"/>
          <w:color w:val="auto"/>
        </w:rPr>
        <w:t>Scotts Professional Products Co.</w:t>
      </w:r>
    </w:p>
    <w:p>
      <w:pPr>
        <w:ind w:left="740"/>
        <w:spacing w:after="0"/>
        <w:rPr>
          <w:sz w:val="20"/>
          <w:szCs w:val="20"/>
          <w:color w:val="auto"/>
        </w:rPr>
      </w:pPr>
      <w:r>
        <w:rPr>
          <w:rFonts w:ascii="Courier New" w:cs="Courier New" w:eastAsia="Courier New" w:hAnsi="Courier New"/>
          <w:sz w:val="18"/>
          <w:szCs w:val="18"/>
          <w:color w:val="auto"/>
        </w:rPr>
        <w:t>Scotts Temecula Operations, LLC</w:t>
      </w:r>
    </w:p>
    <w:p>
      <w:pPr>
        <w:ind w:left="740"/>
        <w:spacing w:after="0" w:line="237" w:lineRule="auto"/>
        <w:rPr>
          <w:sz w:val="20"/>
          <w:szCs w:val="20"/>
          <w:color w:val="auto"/>
        </w:rPr>
      </w:pPr>
      <w:r>
        <w:rPr>
          <w:rFonts w:ascii="Courier New" w:cs="Courier New" w:eastAsia="Courier New" w:hAnsi="Courier New"/>
          <w:sz w:val="18"/>
          <w:szCs w:val="18"/>
          <w:color w:val="auto"/>
        </w:rPr>
        <w:t>Scotts-Sierra Horticultural Products Company</w:t>
      </w:r>
    </w:p>
    <w:p>
      <w:pPr>
        <w:ind w:left="740"/>
        <w:spacing w:after="0"/>
        <w:rPr>
          <w:sz w:val="20"/>
          <w:szCs w:val="20"/>
          <w:color w:val="auto"/>
        </w:rPr>
      </w:pPr>
      <w:r>
        <w:rPr>
          <w:rFonts w:ascii="Courier New" w:cs="Courier New" w:eastAsia="Courier New" w:hAnsi="Courier New"/>
          <w:sz w:val="18"/>
          <w:szCs w:val="18"/>
          <w:color w:val="auto"/>
        </w:rPr>
        <w:t>Scotts-Sierra Crop Protection Company</w:t>
      </w:r>
    </w:p>
    <w:p>
      <w:pPr>
        <w:ind w:left="740"/>
        <w:spacing w:after="0" w:line="237" w:lineRule="auto"/>
        <w:rPr>
          <w:sz w:val="20"/>
          <w:szCs w:val="20"/>
          <w:color w:val="auto"/>
        </w:rPr>
      </w:pPr>
      <w:r>
        <w:rPr>
          <w:rFonts w:ascii="Courier New" w:cs="Courier New" w:eastAsia="Courier New" w:hAnsi="Courier New"/>
          <w:sz w:val="18"/>
          <w:szCs w:val="18"/>
          <w:color w:val="auto"/>
        </w:rPr>
        <w:t>Scotts-Sierra Investments, Inc.</w:t>
      </w:r>
    </w:p>
    <w:p>
      <w:pPr>
        <w:ind w:left="740"/>
        <w:spacing w:after="0" w:line="238" w:lineRule="auto"/>
        <w:rPr>
          <w:sz w:val="20"/>
          <w:szCs w:val="20"/>
          <w:color w:val="auto"/>
        </w:rPr>
      </w:pPr>
      <w:r>
        <w:rPr>
          <w:rFonts w:ascii="Courier New" w:cs="Courier New" w:eastAsia="Courier New" w:hAnsi="Courier New"/>
          <w:sz w:val="18"/>
          <w:szCs w:val="18"/>
          <w:color w:val="auto"/>
        </w:rPr>
        <w:t>Swiss Farms Products,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MATURITY AND INTEREST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Indenture provides that the Company may issue Notes with a maximum aggregate principal amount of up to $400 million, of which $70 million is represented by the Notes. As discussed above, $330 million aggregate principal amount of notes was previously issued under the Indenture. The Notes are issued only in denominations of $1,000 and integral multiples of $1,000. The Notes will mature on January 15, 2009.</w:t>
      </w:r>
    </w:p>
    <w:p>
      <w:pPr>
        <w:spacing w:after="0" w:line="210"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Interest on the Notes accrues at the rate of 8.625% per annum from February 6, 2002, the date these Notes were issued (not the original Issue Date). Interest is payable semi-annually in arrears on January 15 and July 15, commencing on July 15, 2002. The Company will make each interest payment to the Holders of record of the Notes on the immediately preceding January 1 and July 1.</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1440" w:gutter="0" w:footer="0" w:header="0"/>
        </w:sectPr>
      </w:pPr>
    </w:p>
    <w:bookmarkStart w:id="47" w:name="page48"/>
    <w:bookmarkEnd w:id="47"/>
    <w:p>
      <w:pPr>
        <w:ind w:right="2199"/>
        <w:spacing w:after="0" w:line="237" w:lineRule="auto"/>
        <w:rPr>
          <w:sz w:val="20"/>
          <w:szCs w:val="20"/>
          <w:color w:val="auto"/>
        </w:rPr>
      </w:pPr>
      <w:r>
        <w:rPr>
          <w:rFonts w:ascii="Courier New" w:cs="Courier New" w:eastAsia="Courier New" w:hAnsi="Courier New"/>
          <w:sz w:val="18"/>
          <w:szCs w:val="18"/>
          <w:color w:val="auto"/>
        </w:rPr>
        <w:t>Interest on the Notes will accrue from the date of original issuance or, if interest has already been paid, from the date it was most recently paid. Interest will be computed on the basis of a 360-day year comprised of twelve 30-day months.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METHODS OF RECEIVING PAYMENTS ON THE NOTES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a Holder has given wire transfer instructions to the Company, the Company will make all principal, premium and interest and Liquidated Damages, if any, payments on the Notes owned by such Holder in accordance with those instructions. All other payments on these Notes will be made at the office or agency of the Paying Agent and Registrar within the City and State of New York unless the Company elects to make interest payments by check mailed to the Holders at their address set forth in the register of Holders.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will pay principal of, premium, if any, and interest on, Notes in global form registered in the name of The Depository Trust Company or its nominee in immediately available funds to The Depository Trust Company or its nominee, as the case may be, as the registered holder of such global Notes.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PAYING AGENT AND REGISTRAR FOR THE NOTES</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The Trustee is currently the Paying Agent and Registrar. The Company may change the Paying Agent or Registrar without prior notice to the Holders of the Notes, and the Company or any of its Subsidiaries may act as Paying Agent or Registrar.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AND EXCHANGE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 Holder may transfer or exchange Notes in accordance with the Indenture. The Registrar and the Trustee may require a Holder, among other things, to furnish appropriate endorsements and transfer documents and the Company may require a Holder to pay any taxes and fees required by law or permitted by the Indenture. The Company is not required to transfer or exchange any Note selected for redemption. Also, the Company is not required to transfer or exchange any Note for a period of 15 days before a selection of Notes to be redeemed. The registered Holder of a Note will be treated as the owner of it for all purposes.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 GUARANTEES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Guarantors jointly and severally guarantee the Company's obligations under the Notes. Each Subsidiary Guarantee is subordinated to the prior payment in full of all Senior Debt of that Guarantor. The obligations of each Guarantor under its Subsidiary Guarantee are limited as necessary to prevent that Subsidiary Guarantee from constituting a fraudulent conveyance under applicable law.</w:t>
      </w:r>
    </w:p>
    <w:p>
      <w:pPr>
        <w:spacing w:after="0" w:line="210"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A Guarantor may not sell or otherwise dispose of all or substantially all of its assets, or consolidate with or merge with or into (whether or not such Guarantor is the surviving Person), another Person unless:</w:t>
      </w:r>
    </w:p>
    <w:p>
      <w:pPr>
        <w:spacing w:after="0" w:line="209" w:lineRule="exact"/>
        <w:rPr>
          <w:sz w:val="20"/>
          <w:szCs w:val="20"/>
          <w:color w:val="auto"/>
        </w:rPr>
      </w:pPr>
    </w:p>
    <w:p>
      <w:pPr>
        <w:ind w:left="740" w:right="2099" w:firstLine="5"/>
        <w:spacing w:after="0" w:line="235" w:lineRule="auto"/>
        <w:tabs>
          <w:tab w:leader="none" w:pos="1161"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giving effect to that transaction, no Default or Event of Default exists; and</w:t>
      </w:r>
    </w:p>
    <w:p>
      <w:pPr>
        <w:spacing w:after="0" w:line="202"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w:t>
      </w:r>
    </w:p>
    <w:p>
      <w:pPr>
        <w:spacing w:after="0" w:line="206" w:lineRule="exact"/>
        <w:rPr>
          <w:rFonts w:ascii="Courier New" w:cs="Courier New" w:eastAsia="Courier New" w:hAnsi="Courier New"/>
          <w:sz w:val="18"/>
          <w:szCs w:val="18"/>
          <w:color w:val="auto"/>
        </w:rPr>
      </w:pPr>
    </w:p>
    <w:p>
      <w:pPr>
        <w:jc w:val="both"/>
        <w:ind w:left="960" w:right="1999" w:hanging="4"/>
        <w:spacing w:after="0" w:line="236" w:lineRule="auto"/>
        <w:tabs>
          <w:tab w:leader="none" w:pos="1381"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 acquiring the property in any such sale or disposition or the Person formed by or surviving any such consolidation or merger assumes all the obligations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1440" w:gutter="0" w:footer="0" w:header="0"/>
        </w:sectPr>
      </w:pPr>
    </w:p>
    <w:bookmarkStart w:id="48" w:name="page49"/>
    <w:bookmarkEnd w:id="48"/>
    <w:p>
      <w:pPr>
        <w:ind w:left="960" w:right="2739"/>
        <w:spacing w:after="0" w:line="235" w:lineRule="auto"/>
        <w:rPr>
          <w:sz w:val="20"/>
          <w:szCs w:val="20"/>
          <w:color w:val="auto"/>
        </w:rPr>
      </w:pPr>
      <w:r>
        <w:rPr>
          <w:rFonts w:ascii="Courier New" w:cs="Courier New" w:eastAsia="Courier New" w:hAnsi="Courier New"/>
          <w:sz w:val="18"/>
          <w:szCs w:val="18"/>
          <w:color w:val="auto"/>
        </w:rPr>
        <w:t>of that Guarantor under its Subsidiary Guarantee pursuant to a supplemental indenture satisfactory to the Trustee; or</w:t>
      </w:r>
    </w:p>
    <w:p>
      <w:pPr>
        <w:spacing w:after="0" w:line="208" w:lineRule="exact"/>
        <w:rPr>
          <w:sz w:val="20"/>
          <w:szCs w:val="20"/>
          <w:color w:val="auto"/>
        </w:rPr>
      </w:pPr>
    </w:p>
    <w:p>
      <w:pPr>
        <w:ind w:left="960" w:right="1999" w:hanging="4"/>
        <w:spacing w:after="0" w:line="235" w:lineRule="auto"/>
        <w:tabs>
          <w:tab w:leader="none" w:pos="1381"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Net Proceeds of such sale or other disposition are applied in accordance with the applicable provisions of the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Subsidiary Guarantee of a Guarantor will be released:</w:t>
      </w:r>
    </w:p>
    <w:p>
      <w:pPr>
        <w:spacing w:after="0" w:line="207" w:lineRule="exact"/>
        <w:rPr>
          <w:sz w:val="20"/>
          <w:szCs w:val="20"/>
          <w:color w:val="auto"/>
        </w:rPr>
      </w:pPr>
    </w:p>
    <w:p>
      <w:pPr>
        <w:ind w:left="740" w:right="1779" w:firstLine="5"/>
        <w:spacing w:after="0" w:line="237" w:lineRule="auto"/>
        <w:tabs>
          <w:tab w:leader="none" w:pos="1161"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sale or other disposition of all or substantially all of the assets of that Guarantor (including by way of merger or consolidation), if the Company applies the Net Proceeds of that sale or other disposition, in accordance with the applicable provisions of the Indenture; or</w:t>
      </w:r>
    </w:p>
    <w:p>
      <w:pPr>
        <w:spacing w:after="0" w:line="208" w:lineRule="exact"/>
        <w:rPr>
          <w:rFonts w:ascii="Courier New" w:cs="Courier New" w:eastAsia="Courier New" w:hAnsi="Courier New"/>
          <w:sz w:val="18"/>
          <w:szCs w:val="18"/>
          <w:color w:val="auto"/>
        </w:rPr>
      </w:pPr>
    </w:p>
    <w:p>
      <w:pPr>
        <w:ind w:left="740" w:right="2519" w:firstLine="5"/>
        <w:spacing w:after="0" w:line="279" w:lineRule="auto"/>
        <w:tabs>
          <w:tab w:leader="none" w:pos="1161"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sale of all of the capital stock of a Guarantor, if the Company applies the Net Proceeds of that sale in accordance with the applicable provisions of the Indenture; or</w:t>
      </w:r>
    </w:p>
    <w:p>
      <w:pPr>
        <w:spacing w:after="0" w:line="178" w:lineRule="exact"/>
        <w:rPr>
          <w:rFonts w:ascii="Courier New" w:cs="Courier New" w:eastAsia="Courier New" w:hAnsi="Courier New"/>
          <w:sz w:val="16"/>
          <w:szCs w:val="16"/>
          <w:color w:val="auto"/>
        </w:rPr>
      </w:pPr>
    </w:p>
    <w:p>
      <w:pPr>
        <w:ind w:left="740" w:right="2619" w:firstLine="5"/>
        <w:spacing w:after="0" w:line="235" w:lineRule="auto"/>
        <w:tabs>
          <w:tab w:leader="none" w:pos="1161"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designates any Restricted Subsidiary that is a Guarantor as an Unrestricted Subsidiary.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"Repurchase at the option of holders -- Asset sales."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Notwithstanding the foregoing, any Guarantor may sell or otherwise dispose of all or substantially all of its assets to, or consolidate with or merge into, the Company or another Guarantor, upon the consummation of which the Subsidiary Guarantee of such Guarantor shall be released.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The payment of principal, premium, interest and Liquidated Damages, if any, on the Notes will be subordinated to the prior payment in full of all Senior Debt of the Company.</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holders of Senior Debt will be entitled to receive payment in full of all Obligations due in respect of Senior Debt (including interest after the commencement of any such proceeding at the rate specified in the applicable Senior Debt) before the Holders of Notes will be entitled to receive any payment with respect to the Notes (except that Holders of Notes may receive and retain Permitted Junior Securities and payments made from the trust described under "Legal defeasance and covenant defeasance"), in the event of any distribution to creditors of the Company:</w:t>
      </w:r>
    </w:p>
    <w:p>
      <w:pPr>
        <w:spacing w:after="0" w:line="207" w:lineRule="exact"/>
        <w:rPr>
          <w:sz w:val="20"/>
          <w:szCs w:val="20"/>
          <w:color w:val="auto"/>
        </w:rPr>
      </w:pPr>
    </w:p>
    <w:p>
      <w:pPr>
        <w:ind w:left="1160" w:hanging="415"/>
        <w:spacing w:after="0"/>
        <w:tabs>
          <w:tab w:leader="none" w:pos="116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 liquidation or dissolution of the Company;</w:t>
      </w:r>
    </w:p>
    <w:p>
      <w:pPr>
        <w:spacing w:after="0" w:line="206" w:lineRule="exact"/>
        <w:rPr>
          <w:rFonts w:ascii="Courier New" w:cs="Courier New" w:eastAsia="Courier New" w:hAnsi="Courier New"/>
          <w:sz w:val="18"/>
          <w:szCs w:val="18"/>
          <w:color w:val="auto"/>
        </w:rPr>
      </w:pPr>
    </w:p>
    <w:p>
      <w:pPr>
        <w:ind w:left="740" w:right="1879" w:firstLine="5"/>
        <w:spacing w:after="0" w:line="235" w:lineRule="auto"/>
        <w:tabs>
          <w:tab w:leader="none" w:pos="116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 bankruptcy, reorganization, insolvency, receivership or similar proceeding relating to the Company or its property;</w:t>
      </w:r>
    </w:p>
    <w:p>
      <w:pPr>
        <w:spacing w:after="0" w:line="202"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 assignment for the benefit of creditors; or</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marshaling of the Company's assets and liabilities.</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The Company also may not make any payment in respect of the Notes (except in Permitted Junior Securities or from the trust described under "-- Legal defeasance and covenant defeasance") if:</w:t>
      </w:r>
    </w:p>
    <w:p>
      <w:pPr>
        <w:spacing w:after="0" w:line="209" w:lineRule="exact"/>
        <w:rPr>
          <w:sz w:val="20"/>
          <w:szCs w:val="20"/>
          <w:color w:val="auto"/>
        </w:rPr>
      </w:pPr>
    </w:p>
    <w:p>
      <w:pPr>
        <w:ind w:left="740" w:right="2099" w:firstLine="5"/>
        <w:spacing w:after="0" w:line="235" w:lineRule="auto"/>
        <w:tabs>
          <w:tab w:leader="none" w:pos="1161"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default on Designated Senior Debt occurs and is continuing beyond any applicable grace period; 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1440" w:gutter="0" w:footer="0" w:header="0"/>
        </w:sectPr>
      </w:pPr>
    </w:p>
    <w:bookmarkStart w:id="49" w:name="page50"/>
    <w:bookmarkEnd w:id="49"/>
    <w:p>
      <w:pPr>
        <w:ind w:left="740" w:right="1879" w:firstLine="5"/>
        <w:spacing w:after="0" w:line="237" w:lineRule="auto"/>
        <w:tabs>
          <w:tab w:leader="none" w:pos="1161"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default occurs and is continuing on Designated Senior Debt that permits holders of the Designated Senior Debt to accelerate its maturity and the Trustee receives a notice of such default (a "Payment Blockage Notice") from the Company or the holders of any Designated Senior Debt.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Payments on the Notes may and shall be resumed:</w:t>
      </w:r>
    </w:p>
    <w:p>
      <w:pPr>
        <w:spacing w:after="0" w:line="207" w:lineRule="exact"/>
        <w:rPr>
          <w:sz w:val="20"/>
          <w:szCs w:val="20"/>
          <w:color w:val="auto"/>
        </w:rPr>
      </w:pPr>
    </w:p>
    <w:p>
      <w:pPr>
        <w:ind w:left="740" w:right="1779" w:firstLine="5"/>
        <w:spacing w:after="0" w:line="235" w:lineRule="auto"/>
        <w:tabs>
          <w:tab w:leader="none" w:pos="1161"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payment default, upon the date on which such default is cured or waived; and</w:t>
      </w:r>
    </w:p>
    <w:p>
      <w:pPr>
        <w:spacing w:after="0" w:line="208" w:lineRule="exact"/>
        <w:rPr>
          <w:rFonts w:ascii="Courier New" w:cs="Courier New" w:eastAsia="Courier New" w:hAnsi="Courier New"/>
          <w:sz w:val="18"/>
          <w:szCs w:val="18"/>
          <w:color w:val="auto"/>
        </w:rPr>
      </w:pPr>
    </w:p>
    <w:p>
      <w:pPr>
        <w:ind w:left="740" w:right="1879" w:firstLine="5"/>
        <w:spacing w:after="0" w:line="237" w:lineRule="auto"/>
        <w:tabs>
          <w:tab w:leader="none" w:pos="1161"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of a nonpayment default, the earlier of the date on which such nonpayment default is cured or waived or 179 days after the date on which the applicable Payment Blockage Notice is received, unless the maturity of any Designated Senior Debt has been accelerated.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new Payment Blockage Notice may be delivered unless and until:</w:t>
      </w:r>
    </w:p>
    <w:p>
      <w:pPr>
        <w:spacing w:after="0" w:line="207" w:lineRule="exact"/>
        <w:rPr>
          <w:sz w:val="20"/>
          <w:szCs w:val="20"/>
          <w:color w:val="auto"/>
        </w:rPr>
      </w:pPr>
    </w:p>
    <w:p>
      <w:pPr>
        <w:ind w:left="740" w:right="2319" w:firstLine="5"/>
        <w:spacing w:after="0" w:line="235" w:lineRule="auto"/>
        <w:tabs>
          <w:tab w:leader="none" w:pos="1161"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360 days have elapsed since the effectiveness of the immediately prior Payment Blockage Notice; and</w:t>
      </w:r>
    </w:p>
    <w:p>
      <w:pPr>
        <w:spacing w:after="0" w:line="202"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scheduled payments of principal, premium and interest and</w:t>
      </w:r>
    </w:p>
    <w:p>
      <w:pPr>
        <w:spacing w:after="0" w:line="4" w:lineRule="exact"/>
        <w:rPr>
          <w:rFonts w:ascii="Courier New" w:cs="Courier New" w:eastAsia="Courier New" w:hAnsi="Courier New"/>
          <w:sz w:val="18"/>
          <w:szCs w:val="18"/>
          <w:color w:val="auto"/>
        </w:rPr>
      </w:pPr>
    </w:p>
    <w:p>
      <w:pPr>
        <w:ind w:left="740"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Liquidated Damages, if any, on the Notes that have come due have been paid in full in cash.</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 nonpayment default that existed or was continuing on the date of delivery of any Payment Blockage Notice to the Trustee shall be, or be made, the basis for a subsequent Payment Blockage Notice unless such default shall have been waived for a period of not less than 90 days.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Company must promptly notify holders of Senior Debt if payment of the Notes is accelerated because of an Event of Default.</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a result of the subordination provisions described above, in the event of a bankruptcy, liquidation or reorganization of the Company, Holders of these Notes may recover less ratably than creditors of the Company who are holders of Senior Debt.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Notes will not be redeemable at the Company's option prior to January 15, 2004. After January 15, 2004, the Company may redeem all or a part of these Notes upon not less than 30 nor more than 60 days notice, at the redemption prices (expressed as percentages of principal amount) set forth below plus accrued and unpaid interest and Liquidated Damages thereon, if any, to the applicable redemption date, if redeemed during the twelve-month period beginning on January 15 of the years indicated below:</w:t>
      </w:r>
    </w:p>
    <w:p>
      <w:pPr>
        <w:spacing w:after="0" w:line="205" w:lineRule="exact"/>
        <w:rPr>
          <w:sz w:val="20"/>
          <w:szCs w:val="20"/>
          <w:color w:val="auto"/>
        </w:rPr>
      </w:pPr>
    </w:p>
    <w:p>
      <w:pPr>
        <w:ind w:left="280" w:hanging="220"/>
        <w:spacing w:after="0"/>
        <w:tabs>
          <w:tab w:leader="none" w:pos="28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YEAR PERCENTAGE - ------------------------</w:t>
      </w:r>
    </w:p>
    <w:p>
      <w:pPr>
        <w:ind w:left="5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2004........................................................</w:t>
      </w:r>
    </w:p>
    <w:p>
      <w:pPr>
        <w:jc w:val="center"/>
        <w:ind w:right="3899"/>
        <w:spacing w:after="0" w:line="238" w:lineRule="auto"/>
        <w:rPr>
          <w:sz w:val="20"/>
          <w:szCs w:val="20"/>
          <w:color w:val="auto"/>
        </w:rPr>
      </w:pPr>
      <w:r>
        <w:rPr>
          <w:rFonts w:ascii="Courier New" w:cs="Courier New" w:eastAsia="Courier New" w:hAnsi="Courier New"/>
          <w:sz w:val="18"/>
          <w:szCs w:val="18"/>
          <w:color w:val="auto"/>
        </w:rPr>
        <w:t>104.313%</w:t>
      </w:r>
    </w:p>
    <w:p>
      <w:pPr>
        <w:spacing w:after="0"/>
        <w:rPr>
          <w:sz w:val="20"/>
          <w:szCs w:val="20"/>
          <w:color w:val="auto"/>
        </w:rPr>
      </w:pPr>
      <w:r>
        <w:rPr>
          <w:rFonts w:ascii="Courier New" w:cs="Courier New" w:eastAsia="Courier New" w:hAnsi="Courier New"/>
          <w:sz w:val="18"/>
          <w:szCs w:val="18"/>
          <w:color w:val="auto"/>
        </w:rPr>
        <w:t>2005........................................................</w:t>
      </w:r>
    </w:p>
    <w:p>
      <w:pPr>
        <w:jc w:val="center"/>
        <w:ind w:right="3899"/>
        <w:spacing w:after="0" w:line="237" w:lineRule="auto"/>
        <w:rPr>
          <w:sz w:val="20"/>
          <w:szCs w:val="20"/>
          <w:color w:val="auto"/>
        </w:rPr>
      </w:pPr>
      <w:r>
        <w:rPr>
          <w:rFonts w:ascii="Courier New" w:cs="Courier New" w:eastAsia="Courier New" w:hAnsi="Courier New"/>
          <w:sz w:val="18"/>
          <w:szCs w:val="18"/>
          <w:color w:val="auto"/>
        </w:rPr>
        <w:t>102.875%</w:t>
      </w:r>
    </w:p>
    <w:p>
      <w:pPr>
        <w:spacing w:after="0"/>
        <w:rPr>
          <w:sz w:val="20"/>
          <w:szCs w:val="20"/>
          <w:color w:val="auto"/>
        </w:rPr>
      </w:pPr>
      <w:r>
        <w:rPr>
          <w:rFonts w:ascii="Courier New" w:cs="Courier New" w:eastAsia="Courier New" w:hAnsi="Courier New"/>
          <w:sz w:val="18"/>
          <w:szCs w:val="18"/>
          <w:color w:val="auto"/>
        </w:rPr>
        <w:t>2006........................................................</w:t>
      </w:r>
    </w:p>
    <w:p>
      <w:pPr>
        <w:jc w:val="center"/>
        <w:ind w:right="3899"/>
        <w:spacing w:after="0" w:line="237" w:lineRule="auto"/>
        <w:rPr>
          <w:sz w:val="20"/>
          <w:szCs w:val="20"/>
          <w:color w:val="auto"/>
        </w:rPr>
      </w:pPr>
      <w:r>
        <w:rPr>
          <w:rFonts w:ascii="Courier New" w:cs="Courier New" w:eastAsia="Courier New" w:hAnsi="Courier New"/>
          <w:sz w:val="18"/>
          <w:szCs w:val="18"/>
          <w:color w:val="auto"/>
        </w:rPr>
        <w:t>101.438% 2007 and</w:t>
      </w:r>
    </w:p>
    <w:p>
      <w:pPr>
        <w:ind w:left="480"/>
        <w:spacing w:after="0"/>
        <w:rPr>
          <w:sz w:val="20"/>
          <w:szCs w:val="20"/>
          <w:color w:val="auto"/>
        </w:rPr>
      </w:pPr>
      <w:r>
        <w:rPr>
          <w:rFonts w:ascii="Courier New" w:cs="Courier New" w:eastAsia="Courier New" w:hAnsi="Courier New"/>
          <w:sz w:val="18"/>
          <w:szCs w:val="18"/>
          <w:color w:val="auto"/>
        </w:rPr>
        <w:t>thereafter.........................................</w:t>
      </w:r>
    </w:p>
    <w:p>
      <w:pPr>
        <w:ind w:left="60"/>
        <w:spacing w:after="0" w:line="237" w:lineRule="auto"/>
        <w:rPr>
          <w:sz w:val="20"/>
          <w:szCs w:val="20"/>
          <w:color w:val="auto"/>
        </w:rPr>
      </w:pPr>
      <w:r>
        <w:rPr>
          <w:rFonts w:ascii="Courier New" w:cs="Courier New" w:eastAsia="Courier New" w:hAnsi="Courier New"/>
          <w:sz w:val="18"/>
          <w:szCs w:val="18"/>
          <w:color w:val="auto"/>
        </w:rPr>
        <w:t>100.000% - ------------------------------------------------</w:t>
      </w:r>
    </w:p>
    <w:p>
      <w:pPr>
        <w:ind w:left="18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8"/>
          <w:szCs w:val="18"/>
          <w:color w:val="auto"/>
        </w:rPr>
        <w:t>MANDATORY REDEMPTION</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Company is not required to make mandatory redemption or sinking fund payments with respect to the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THE OPTION OF HOLDERS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 OF CONTROL</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If a Change of Control occurs, each Holder of Notes will have the right to require the Company to repurchase all or any part (equal to $1,000 or an integral multiple thereof) of that Holder's Notes pursuant to the Change of Control Offer. In the Change of Control Offer, the Company will offer a Change of Control Payment in cash equal to 101% of the aggregate principal amount of Notes repurchased plus accrued and unpaid interest and Liquidated Damages thereon, if any, to the date of purchase. Within 30 days following any Change of Control, the Company will mail a notice to each Holder describing the transaction or transactions that constitute the Change of Control and offering to repurchase Notes on the Change of Control Payment Date specified in such notice, pursuant to the procedures required by the Indenture and described in such notice. The Company will comply with the requirements of Rule 14e-1 under the Exchange Act and any other securities laws and regulations thereunder to the extent such laws and regulations are applicable in connection with the repurchase of the Notes as a result of a Change of Control.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the Change of Control Payment Date, the Company will, to the extent lawful:</w:t>
      </w:r>
    </w:p>
    <w:p>
      <w:pPr>
        <w:spacing w:after="0" w:line="207" w:lineRule="exact"/>
        <w:rPr>
          <w:sz w:val="20"/>
          <w:szCs w:val="20"/>
          <w:color w:val="auto"/>
        </w:rPr>
      </w:pPr>
    </w:p>
    <w:p>
      <w:pPr>
        <w:ind w:left="740" w:right="2099" w:firstLine="5"/>
        <w:spacing w:after="0" w:line="235" w:lineRule="auto"/>
        <w:tabs>
          <w:tab w:leader="none" w:pos="1161"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 for payment all Notes or portions thereof properly tendered pursuant to the Change of Control Offer;</w:t>
      </w:r>
    </w:p>
    <w:p>
      <w:pPr>
        <w:spacing w:after="0" w:line="208" w:lineRule="exact"/>
        <w:rPr>
          <w:rFonts w:ascii="Courier New" w:cs="Courier New" w:eastAsia="Courier New" w:hAnsi="Courier New"/>
          <w:sz w:val="18"/>
          <w:szCs w:val="18"/>
          <w:color w:val="auto"/>
        </w:rPr>
      </w:pPr>
    </w:p>
    <w:p>
      <w:pPr>
        <w:ind w:left="740" w:right="1879" w:firstLine="5"/>
        <w:spacing w:after="0" w:line="236" w:lineRule="auto"/>
        <w:tabs>
          <w:tab w:leader="none" w:pos="1161"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deposit with the Paying Agent an amount equal to the Change of Control Payment in respect of all Notes or portions thereof so tendered; and</w:t>
      </w:r>
    </w:p>
    <w:p>
      <w:pPr>
        <w:spacing w:after="0" w:line="208" w:lineRule="exact"/>
        <w:rPr>
          <w:rFonts w:ascii="Courier New" w:cs="Courier New" w:eastAsia="Courier New" w:hAnsi="Courier New"/>
          <w:sz w:val="18"/>
          <w:szCs w:val="18"/>
          <w:color w:val="auto"/>
        </w:rPr>
      </w:pPr>
    </w:p>
    <w:p>
      <w:pPr>
        <w:ind w:left="740" w:right="1779" w:firstLine="5"/>
        <w:spacing w:after="0" w:line="279" w:lineRule="auto"/>
        <w:tabs>
          <w:tab w:leader="none" w:pos="116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or cause to be delivered to the Trustee the Notes so accepted together with an Officers' Certificate stating the aggregate principal amount of Notes or portions thereof being purchased by the Company.</w:t>
      </w:r>
    </w:p>
    <w:p>
      <w:pPr>
        <w:spacing w:after="0" w:line="17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Paying Agent will promptly mail to each Holder of Notes so tendered the Change of Control Payment for such Notes, and the Trustee will promptly authenticate and mail (or cause to be transferred by book entry) to each Holder a new Note equal in principal amount to any unpurchased portion of the Notes surrendered, if any; provided that each such new Note will be in a principal amount of $1,000 or an integral multiple thereof.</w:t>
      </w:r>
    </w:p>
    <w:p>
      <w:pPr>
        <w:spacing w:after="0" w:line="210"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Prior to complying with any of the provisions of this "Change of control" covenant, but in any event within 90 days following a Change of Control, the Company will either repay all outstanding Senior Debt or obtain the requisite consents, if any, under all agreements governing outstanding Senior Debt to permit the repurchase of Notes required by this covenant. The Company will publicly announce the results of the Change of Control Offer on or as soon as practicable after the Change of Control Payment Date.</w:t>
      </w:r>
    </w:p>
    <w:p>
      <w:pPr>
        <w:spacing w:after="0" w:line="18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provisions described above that require the Company to make a Change of Control Offer following a Change of Control will be applicable regardless of whether or not any other provisions of the Indenture are applicable. Except as described above with respect to a Change of Control, the Indenture does not contain provisions that permit the Holders of the Notes to require that the Company repurchase or redeem the Notes in the event of a takeover, recapitalization or similar transaction.</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17" w:right="1440" w:bottom="1440" w:gutter="0" w:footer="0" w:header="0"/>
        </w:sectPr>
      </w:pPr>
    </w:p>
    <w:bookmarkStart w:id="51" w:name="page52"/>
    <w:bookmarkEnd w:id="51"/>
    <w:p>
      <w:pPr>
        <w:ind w:right="1779"/>
        <w:spacing w:after="0" w:line="238" w:lineRule="auto"/>
        <w:rPr>
          <w:sz w:val="20"/>
          <w:szCs w:val="20"/>
          <w:color w:val="auto"/>
        </w:rPr>
      </w:pPr>
      <w:r>
        <w:rPr>
          <w:rFonts w:ascii="Courier New" w:cs="Courier New" w:eastAsia="Courier New" w:hAnsi="Courier New"/>
          <w:sz w:val="18"/>
          <w:szCs w:val="18"/>
          <w:color w:val="auto"/>
        </w:rPr>
        <w:t>The Company's outstanding Senior Debt currently prohibits the Company from purchasing any Notes, and also provides that certain change of control events with respect to the Company would constitute a default under the agreements governing the Senior Debt. Any future credit agreements or other agreements relating to Senior Debt to which the Company becomes a party may contain similar restrictions and provisions. In the event a Change of Control occurs at a time when the Company is prohibited from purchasing Notes, the Company could seek the consent of its senior lenders to the purchase of Notes or could attempt to refinance the borrowings that contain such prohibition. If the Company does not obtain such a consent or repay such borrowings, the Company will remain prohibited from purchasing Notes. In such case, the Company's failure to purchase tendered Notes would constitute an Event of Default under the Indenture which would, in turn, likely constitute a default under such Senior Debt. In such circumstances, the subordination provisions in the Indenture would likely restrict payments to the Holders of Notes.</w:t>
      </w:r>
    </w:p>
    <w:p>
      <w:pPr>
        <w:spacing w:after="0" w:line="208"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The Company will not be required to make a Change of Control Offer if a third party makes the Change of Control Offer in the manner, at the times and otherwise in compliance with the requirements set forth in the Indenture applicable to a Change of Control Offer made by the Company and purchases all Notes validly tendered and not withdrawn under such Change of Control Offer.</w:t>
      </w:r>
    </w:p>
    <w:p>
      <w:pPr>
        <w:spacing w:after="0" w:line="18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definition of Change of Control includes a phrase relating to the sale, lease, transfer, conveyance or other disposition of "all or substantially all" of the assets of the Company and its Subsidiaries taken as a whole. Although there is a limited body of case law interpreting the phrase "substantially all," there is no precise established definition of the phrase under applicable law. Accordingly, the ability of a Holder of Notes to require the Company to repurchase such Notes as a result of a sale, lease, transfer, conveyance or other disposition of less than all of the assets of the Company and its Subsidiaries taken as a whole to another Person or group may be uncertain.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 SALES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Company will not, and will not permit any of its Restricted Subsidiaries to, consummate an Asset Sale unless:</w:t>
      </w:r>
    </w:p>
    <w:p>
      <w:pPr>
        <w:spacing w:after="0" w:line="208" w:lineRule="exact"/>
        <w:rPr>
          <w:sz w:val="20"/>
          <w:szCs w:val="20"/>
          <w:color w:val="auto"/>
        </w:rPr>
      </w:pPr>
    </w:p>
    <w:p>
      <w:pPr>
        <w:ind w:left="740" w:right="1779" w:firstLine="5"/>
        <w:spacing w:after="0" w:line="237" w:lineRule="auto"/>
        <w:tabs>
          <w:tab w:leader="none" w:pos="1161"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(or the Restricted Subsidiary, as the case may be) receives consideration at the time of such Asset Sale at least equal to the fair market value of the assets or Equity Interests issued or sold or otherwise disposed of, as determined in good faith by the Company's Board of Directors; and</w:t>
      </w:r>
    </w:p>
    <w:p>
      <w:pPr>
        <w:spacing w:after="0" w:line="203"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w:t>
      </w:r>
    </w:p>
    <w:p>
      <w:pPr>
        <w:spacing w:after="0" w:line="206" w:lineRule="exact"/>
        <w:rPr>
          <w:rFonts w:ascii="Courier New" w:cs="Courier New" w:eastAsia="Courier New" w:hAnsi="Courier New"/>
          <w:sz w:val="18"/>
          <w:szCs w:val="18"/>
          <w:color w:val="auto"/>
        </w:rPr>
      </w:pPr>
    </w:p>
    <w:p>
      <w:pPr>
        <w:ind w:left="960" w:right="1999" w:hanging="4"/>
        <w:spacing w:after="0" w:line="237" w:lineRule="auto"/>
        <w:tabs>
          <w:tab w:leader="none" w:pos="1381"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(or the Restricted Subsidiary, as the case may be) issues Equity Interests or transfers assets in an exchange in connection with which the Company receives an opinion of counsel that such exchange should qualify under the provisions of Section 351 or Section 368 of the United States Internal Revenue Code of 1986, as amended; or</w:t>
      </w:r>
    </w:p>
    <w:p>
      <w:pPr>
        <w:spacing w:after="0" w:line="209" w:lineRule="exact"/>
        <w:rPr>
          <w:rFonts w:ascii="Courier New" w:cs="Courier New" w:eastAsia="Courier New" w:hAnsi="Courier New"/>
          <w:sz w:val="18"/>
          <w:szCs w:val="18"/>
          <w:color w:val="auto"/>
        </w:rPr>
      </w:pPr>
    </w:p>
    <w:p>
      <w:pPr>
        <w:ind w:left="960" w:right="1879" w:hanging="4"/>
        <w:spacing w:after="0" w:line="237" w:lineRule="auto"/>
        <w:tabs>
          <w:tab w:leader="none" w:pos="1381"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75% of the consideration therefor received by the Company or such Restricted Subsidiary is in the form of cash or Cash Equivalents. For purposes of this provision, each of the following shall be deemed to be cash:</w:t>
      </w:r>
    </w:p>
    <w:p>
      <w:pPr>
        <w:spacing w:after="0" w:line="207" w:lineRule="exact"/>
        <w:rPr>
          <w:sz w:val="20"/>
          <w:szCs w:val="20"/>
          <w:color w:val="auto"/>
        </w:rPr>
      </w:pPr>
    </w:p>
    <w:p>
      <w:pPr>
        <w:ind w:left="1160" w:right="2199" w:firstLine="7"/>
        <w:spacing w:after="0" w:line="236" w:lineRule="auto"/>
        <w:tabs>
          <w:tab w:leader="none" w:pos="1581"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(as shown on the Company's or such Restricted Subsidiary's most recent balance sheet) of the Company or any Restricted Subsidiary (other than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23" w:right="1440" w:bottom="1440" w:gutter="0" w:footer="0" w:header="0"/>
        </w:sectPr>
      </w:pPr>
    </w:p>
    <w:bookmarkStart w:id="52" w:name="page53"/>
    <w:bookmarkEnd w:id="52"/>
    <w:p>
      <w:pPr>
        <w:jc w:val="both"/>
        <w:ind w:left="1160" w:right="2419"/>
        <w:spacing w:after="0" w:line="236" w:lineRule="auto"/>
        <w:rPr>
          <w:sz w:val="20"/>
          <w:szCs w:val="20"/>
          <w:color w:val="auto"/>
        </w:rPr>
      </w:pPr>
      <w:r>
        <w:rPr>
          <w:rFonts w:ascii="Courier New" w:cs="Courier New" w:eastAsia="Courier New" w:hAnsi="Courier New"/>
          <w:sz w:val="18"/>
          <w:szCs w:val="18"/>
          <w:color w:val="auto"/>
        </w:rPr>
        <w:t>contingent liabilities and liabilities that are by their terms subordinated to the Notes or any Subsidiary Guarantee) that are assumed by the transferee of any such assets; and</w:t>
      </w:r>
    </w:p>
    <w:p>
      <w:pPr>
        <w:spacing w:after="0" w:line="209" w:lineRule="exact"/>
        <w:rPr>
          <w:sz w:val="20"/>
          <w:szCs w:val="20"/>
          <w:color w:val="auto"/>
        </w:rPr>
      </w:pPr>
    </w:p>
    <w:p>
      <w:pPr>
        <w:ind w:left="1160" w:right="1999" w:firstLine="7"/>
        <w:spacing w:after="0" w:line="237" w:lineRule="auto"/>
        <w:tabs>
          <w:tab w:leader="none" w:pos="1687"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securities, notes or other obligations received by the Company or any such Restricted Subsidiary from such transferee that within 90 days are converted by the Company or such Restricted Subsidiary into cash (to the extent of the cash received in that conversion).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Within 360 days after the receipt of any Net Proceeds from an Asset Sale, the</w:t>
      </w:r>
    </w:p>
    <w:p>
      <w:pPr>
        <w:spacing w:after="0" w:line="238" w:lineRule="auto"/>
        <w:rPr>
          <w:sz w:val="20"/>
          <w:szCs w:val="20"/>
          <w:color w:val="auto"/>
        </w:rPr>
      </w:pPr>
      <w:r>
        <w:rPr>
          <w:rFonts w:ascii="Courier New" w:cs="Courier New" w:eastAsia="Courier New" w:hAnsi="Courier New"/>
          <w:sz w:val="18"/>
          <w:szCs w:val="18"/>
          <w:color w:val="auto"/>
        </w:rPr>
        <w:t>Company may apply such Net Proceeds at its option:</w:t>
      </w:r>
    </w:p>
    <w:p>
      <w:pPr>
        <w:spacing w:after="0" w:line="207" w:lineRule="exact"/>
        <w:rPr>
          <w:sz w:val="20"/>
          <w:szCs w:val="20"/>
          <w:color w:val="auto"/>
        </w:rPr>
      </w:pPr>
    </w:p>
    <w:p>
      <w:pPr>
        <w:ind w:left="740" w:right="2519" w:firstLine="5"/>
        <w:spacing w:after="0" w:line="290" w:lineRule="auto"/>
        <w:tabs>
          <w:tab w:leader="none" w:pos="116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repay Senior Debt (and to effect a corresponding commitment reduction if such Senior Debt is revolving credit borrowings);</w:t>
      </w:r>
    </w:p>
    <w:p>
      <w:pPr>
        <w:spacing w:after="0" w:line="169" w:lineRule="exact"/>
        <w:rPr>
          <w:rFonts w:ascii="Courier New" w:cs="Courier New" w:eastAsia="Courier New" w:hAnsi="Courier New"/>
          <w:sz w:val="16"/>
          <w:szCs w:val="16"/>
          <w:color w:val="auto"/>
        </w:rPr>
      </w:pPr>
    </w:p>
    <w:p>
      <w:pPr>
        <w:ind w:left="740" w:right="1999" w:firstLine="5"/>
        <w:spacing w:after="0" w:line="235" w:lineRule="auto"/>
        <w:tabs>
          <w:tab w:leader="none" w:pos="1161"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acquire all or substantially all of the assets of, or a majority of the Voting Stock of, another Related Business;</w:t>
      </w:r>
    </w:p>
    <w:p>
      <w:pPr>
        <w:spacing w:after="0" w:line="202"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a capital expenditure; and/or</w:t>
      </w:r>
    </w:p>
    <w:p>
      <w:pPr>
        <w:spacing w:after="0" w:line="206" w:lineRule="exact"/>
        <w:rPr>
          <w:rFonts w:ascii="Courier New" w:cs="Courier New" w:eastAsia="Courier New" w:hAnsi="Courier New"/>
          <w:sz w:val="18"/>
          <w:szCs w:val="18"/>
          <w:color w:val="auto"/>
        </w:rPr>
      </w:pPr>
    </w:p>
    <w:p>
      <w:pPr>
        <w:ind w:left="740" w:right="2519" w:firstLine="5"/>
        <w:spacing w:after="0" w:line="235" w:lineRule="auto"/>
        <w:tabs>
          <w:tab w:leader="none" w:pos="1161"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acquire other long-term assets that are used or useful in a Related Business.</w:t>
      </w:r>
    </w:p>
    <w:p>
      <w:pPr>
        <w:spacing w:after="0" w:line="208"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Pending the final application of any such Net Proceeds, the Company may temporarily reduce revolving credit borrowings or otherwise invest such Net Proceeds in any manner that is not prohibited by the Indenture.</w:t>
      </w: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Any Net Proceeds from Asset Sales that are not applied or invested as provided in the preceding paragraph will constitute Excess Proceeds. When the aggregate amount of Excess Proceeds exceeds $10.0 million, the Company will make an Asset Sale Offer to all Holders of Notes and all holders of other Indebtedness that is pari passu with the Notes containing provisions similar to those set forth in the Indenture with respect to offers to purchase or redeem with the proceeds of sales of assets to purchase the maximum principal amount of Notes and such other pari passu Indebtedness that may be purchased out of the Excess Proceeds. The offer price in any Asset Sale Offer will be equal to 100% of principal amount plus accrued and unpaid interest and Liquidated Damages, if any, to the date of purchase, and will be payable in cash. If any Excess Proceeds remain after consummation of an Asset Sale Offer, the Company may use such Excess Proceeds for any purpose not otherwise prohibited by the Indenture. If the aggregate principal amount of Notes and such other pari passu Indebtedness tendered into such Asset Sale Offer exceeds the amount of Excess Proceeds, the Trustee shall select the Notes and such other pari passu Indebtedness to be purchased on a pro rata basis as set forth below. Upon completion of each Asset Sale Offer, the amount of Excess Proceeds shall be reset at zero.</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SELECTION AND NOTICE</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If less than all of the Notes are to be redeemed at any time, the Trustee will select Notes for redemption as follows:</w:t>
      </w:r>
    </w:p>
    <w:p>
      <w:pPr>
        <w:spacing w:after="0" w:line="208" w:lineRule="exact"/>
        <w:rPr>
          <w:sz w:val="20"/>
          <w:szCs w:val="20"/>
          <w:color w:val="auto"/>
        </w:rPr>
      </w:pPr>
    </w:p>
    <w:p>
      <w:pPr>
        <w:ind w:left="740" w:right="1879" w:firstLine="5"/>
        <w:spacing w:after="0" w:line="290" w:lineRule="auto"/>
        <w:tabs>
          <w:tab w:leader="none" w:pos="1161"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Notes are listed, in compliance with the requirements of the principal national securities exchange on which the Notes are listed; or</w:t>
      </w:r>
    </w:p>
    <w:p>
      <w:pPr>
        <w:spacing w:after="0" w:line="169" w:lineRule="exact"/>
        <w:rPr>
          <w:rFonts w:ascii="Courier New" w:cs="Courier New" w:eastAsia="Courier New" w:hAnsi="Courier New"/>
          <w:sz w:val="16"/>
          <w:szCs w:val="16"/>
          <w:color w:val="auto"/>
        </w:rPr>
      </w:pPr>
    </w:p>
    <w:p>
      <w:pPr>
        <w:ind w:left="740" w:right="2199" w:firstLine="5"/>
        <w:spacing w:after="0" w:line="235" w:lineRule="auto"/>
        <w:tabs>
          <w:tab w:leader="none" w:pos="1161"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Notes are not so listed, on a pro rata basis, by lot or by such method as the Trustee shall deem fair and appropriate.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23" w:right="1440" w:bottom="1440" w:gutter="0" w:footer="0" w:header="0"/>
        </w:sectPr>
      </w:pPr>
    </w:p>
    <w:bookmarkStart w:id="53" w:name="page54"/>
    <w:bookmarkEnd w:id="53"/>
    <w:p>
      <w:pPr>
        <w:ind w:right="1779"/>
        <w:spacing w:after="0" w:line="237" w:lineRule="auto"/>
        <w:rPr>
          <w:sz w:val="20"/>
          <w:szCs w:val="20"/>
          <w:color w:val="auto"/>
        </w:rPr>
      </w:pPr>
      <w:r>
        <w:rPr>
          <w:rFonts w:ascii="Courier New" w:cs="Courier New" w:eastAsia="Courier New" w:hAnsi="Courier New"/>
          <w:sz w:val="18"/>
          <w:szCs w:val="18"/>
          <w:color w:val="auto"/>
        </w:rPr>
        <w:t>No Notes of $1,000 or less shall be redeemed in part. Notices of redemption shall be mailed by first class mail at least 30 but not more than 60 days before the redemption date to each Holder of Notes to be redeemed at its registered address. Notices of redemption may not be conditional.</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any Note is to be redeemed in part only, the notice of redemption that relates to that Note shall state the portion of the principal amount thereof to be redeemed. A new Note in principal amount equal to the unredeemed portion of the original Note will be issued in the name of the Holder thereof upon cancellation of the original Note. Notes called for redemption become due on the date fixed for redemption. On and after the redemption date, interest ceases to accrue on Notes or portions of them called for redemption.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COVENANTS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RESTRICTED PAYMENTS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Company will not, and will not permit any of its Restricted Subsidiaries to, directly or indirectly:</w:t>
      </w:r>
    </w:p>
    <w:p>
      <w:pPr>
        <w:spacing w:after="0" w:line="208" w:lineRule="exact"/>
        <w:rPr>
          <w:sz w:val="20"/>
          <w:szCs w:val="20"/>
          <w:color w:val="auto"/>
        </w:rPr>
      </w:pPr>
    </w:p>
    <w:p>
      <w:pPr>
        <w:ind w:left="740" w:right="1779" w:firstLine="5"/>
        <w:spacing w:after="0" w:line="237" w:lineRule="auto"/>
        <w:tabs>
          <w:tab w:leader="none" w:pos="1161"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any dividend or make any other payment or distribution on account of the Company's Equity Interests (including, without limitation, any payment in connection with any merger or consolidation involving the Company) or to the direct or indirect holders of the Company's Equity Interests in their capacity as such (other than dividends or distributions payable in Equity Interests (other than Disqualified Stock) of the Company);</w:t>
      </w:r>
    </w:p>
    <w:p>
      <w:pPr>
        <w:spacing w:after="0" w:line="211" w:lineRule="exact"/>
        <w:rPr>
          <w:rFonts w:ascii="Courier New" w:cs="Courier New" w:eastAsia="Courier New" w:hAnsi="Courier New"/>
          <w:sz w:val="18"/>
          <w:szCs w:val="18"/>
          <w:color w:val="auto"/>
        </w:rPr>
      </w:pPr>
    </w:p>
    <w:p>
      <w:pPr>
        <w:ind w:left="740" w:right="1779" w:firstLine="5"/>
        <w:spacing w:after="0" w:line="273" w:lineRule="auto"/>
        <w:tabs>
          <w:tab w:leader="none" w:pos="1161"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redeem or otherwise acquire or retire for value (including, without limitation, in connection with any merger or consolidation involving the Company) any Equity Interests of the Company or any direct or indirect parent of the Company, in each case held by Persons other than the Company or a Restricted Subsidiary of the Company;</w:t>
      </w:r>
    </w:p>
    <w:p>
      <w:pPr>
        <w:spacing w:after="0" w:line="184" w:lineRule="exact"/>
        <w:rPr>
          <w:rFonts w:ascii="Courier New" w:cs="Courier New" w:eastAsia="Courier New" w:hAnsi="Courier New"/>
          <w:sz w:val="16"/>
          <w:szCs w:val="16"/>
          <w:color w:val="auto"/>
        </w:rPr>
      </w:pPr>
    </w:p>
    <w:p>
      <w:pPr>
        <w:ind w:left="740" w:right="1879" w:firstLine="5"/>
        <w:spacing w:after="0" w:line="237" w:lineRule="auto"/>
        <w:tabs>
          <w:tab w:leader="none" w:pos="1161"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payment on or with respect to, or purchase, redeem, defease or otherwise acquire or retire for value any Indebtedness that is subordinated to the Notes or the Subsidiary Guarantees, except a payment of interest or principal at the Stated Maturity thereof; or</w:t>
      </w:r>
    </w:p>
    <w:p>
      <w:pPr>
        <w:spacing w:after="0" w:line="207" w:lineRule="exact"/>
        <w:rPr>
          <w:rFonts w:ascii="Courier New" w:cs="Courier New" w:eastAsia="Courier New" w:hAnsi="Courier New"/>
          <w:sz w:val="18"/>
          <w:szCs w:val="18"/>
          <w:color w:val="auto"/>
        </w:rPr>
      </w:pPr>
    </w:p>
    <w:p>
      <w:pPr>
        <w:ind w:left="740" w:right="1779" w:firstLine="5"/>
        <w:spacing w:after="0" w:line="236" w:lineRule="auto"/>
        <w:tabs>
          <w:tab w:leader="none" w:pos="1161"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Restricted Investment (all such payments and other actions set forth in clauses (1) through (4) above being collectively referred to as "Restricted Payments"),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unless, at the time of and after giving effect to such Restricted Payment:</w:t>
      </w:r>
    </w:p>
    <w:p>
      <w:pPr>
        <w:spacing w:after="0" w:line="207" w:lineRule="exact"/>
        <w:rPr>
          <w:sz w:val="20"/>
          <w:szCs w:val="20"/>
          <w:color w:val="auto"/>
        </w:rPr>
      </w:pPr>
    </w:p>
    <w:p>
      <w:pPr>
        <w:ind w:left="740" w:right="1879" w:firstLine="5"/>
        <w:spacing w:after="0" w:line="235" w:lineRule="auto"/>
        <w:tabs>
          <w:tab w:leader="none" w:pos="1161"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or Event of Default shall have occurred and be continuing or would occur as a consequence thereof; and</w:t>
      </w:r>
    </w:p>
    <w:p>
      <w:pPr>
        <w:spacing w:after="0" w:line="208" w:lineRule="exact"/>
        <w:rPr>
          <w:rFonts w:ascii="Courier New" w:cs="Courier New" w:eastAsia="Courier New" w:hAnsi="Courier New"/>
          <w:sz w:val="18"/>
          <w:szCs w:val="18"/>
          <w:color w:val="auto"/>
        </w:rPr>
      </w:pPr>
    </w:p>
    <w:p>
      <w:pPr>
        <w:ind w:left="740" w:right="1879" w:firstLine="5"/>
        <w:spacing w:after="0" w:line="237" w:lineRule="auto"/>
        <w:tabs>
          <w:tab w:leader="none" w:pos="1161"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the first paragraph of the covenant described below under the caption "-- Incurrence of indebtedness and issuance of preferred stock"; and</w:t>
      </w:r>
    </w:p>
    <w:p>
      <w:pPr>
        <w:spacing w:after="0" w:line="211" w:lineRule="exact"/>
        <w:rPr>
          <w:rFonts w:ascii="Courier New" w:cs="Courier New" w:eastAsia="Courier New" w:hAnsi="Courier New"/>
          <w:sz w:val="18"/>
          <w:szCs w:val="18"/>
          <w:color w:val="auto"/>
        </w:rPr>
      </w:pPr>
    </w:p>
    <w:p>
      <w:pPr>
        <w:ind w:left="740" w:right="2099" w:firstLine="5"/>
        <w:spacing w:after="0" w:line="236" w:lineRule="auto"/>
        <w:tabs>
          <w:tab w:leader="none" w:pos="1161"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Restricted Payment, together with the aggregate amount of all other Restricted Payments made by the Company and its Restricted Subsidiaries after the date of the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23" w:right="1440" w:bottom="1440" w:gutter="0" w:footer="0" w:header="0"/>
        </w:sectPr>
      </w:pPr>
    </w:p>
    <w:bookmarkStart w:id="54" w:name="page55"/>
    <w:bookmarkEnd w:id="54"/>
    <w:p>
      <w:pPr>
        <w:ind w:left="740"/>
        <w:spacing w:after="0"/>
        <w:rPr>
          <w:sz w:val="20"/>
          <w:szCs w:val="20"/>
          <w:color w:val="auto"/>
        </w:rPr>
      </w:pPr>
      <w:r>
        <w:rPr>
          <w:rFonts w:ascii="Courier New" w:cs="Courier New" w:eastAsia="Courier New" w:hAnsi="Courier New"/>
          <w:sz w:val="18"/>
          <w:szCs w:val="18"/>
          <w:color w:val="auto"/>
        </w:rPr>
        <w:t>Indenture (excluding Restricted Payments permitted by clause (2), (3),</w:t>
      </w:r>
    </w:p>
    <w:p>
      <w:pPr>
        <w:spacing w:after="0" w:line="4" w:lineRule="exact"/>
        <w:rPr>
          <w:sz w:val="20"/>
          <w:szCs w:val="20"/>
          <w:color w:val="auto"/>
        </w:rPr>
      </w:pPr>
    </w:p>
    <w:p>
      <w:pPr>
        <w:ind w:left="740" w:right="2419" w:firstLine="5"/>
        <w:spacing w:after="0" w:line="235" w:lineRule="auto"/>
        <w:tabs>
          <w:tab w:leader="none" w:pos="1161"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(5) of the next succeeding paragraph), is less than the sum, without duplication, of:</w:t>
      </w:r>
    </w:p>
    <w:p>
      <w:pPr>
        <w:spacing w:after="0" w:line="208" w:lineRule="exact"/>
        <w:rPr>
          <w:rFonts w:ascii="Courier New" w:cs="Courier New" w:eastAsia="Courier New" w:hAnsi="Courier New"/>
          <w:sz w:val="18"/>
          <w:szCs w:val="18"/>
          <w:color w:val="auto"/>
        </w:rPr>
      </w:pPr>
    </w:p>
    <w:p>
      <w:pPr>
        <w:ind w:left="960" w:right="1779" w:hanging="4"/>
        <w:spacing w:after="0" w:line="237" w:lineRule="auto"/>
        <w:tabs>
          <w:tab w:leader="none" w:pos="1381"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 of the Consolidated Net Income of the Company for the period (taken as one accounting period) from January 3, 1999 to the end of the Company's most recently ended fiscal quarter for which internal financial statements are available at the time of such Restricted Payment (or, if such Consolidated Net Income for such period is a deficit, less 100% of such deficit); plus</w:t>
      </w:r>
    </w:p>
    <w:p>
      <w:pPr>
        <w:spacing w:after="0" w:line="209" w:lineRule="exact"/>
        <w:rPr>
          <w:rFonts w:ascii="Courier New" w:cs="Courier New" w:eastAsia="Courier New" w:hAnsi="Courier New"/>
          <w:sz w:val="18"/>
          <w:szCs w:val="18"/>
          <w:color w:val="auto"/>
        </w:rPr>
      </w:pPr>
    </w:p>
    <w:p>
      <w:pPr>
        <w:ind w:left="960" w:right="1879" w:hanging="4"/>
        <w:spacing w:after="0" w:line="237" w:lineRule="auto"/>
        <w:tabs>
          <w:tab w:leader="none" w:pos="1381"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 of the aggregate net cash proceeds received by the Company since the date of the Indenture as a contribution to its common equity capital or from the issue or sale of Equity Interests of the Company (other than Disqualified Stock) or from the issue or sale of Disqualified Stock or debt securities of the Company that have been converted into or exchanged for such Equity Interests (other than Equity Interests (or Disqualified Stock or debt securities) sold to a Subsidiary of the Company); plus</w:t>
      </w:r>
    </w:p>
    <w:p>
      <w:pPr>
        <w:spacing w:after="0" w:line="212" w:lineRule="exact"/>
        <w:rPr>
          <w:rFonts w:ascii="Courier New" w:cs="Courier New" w:eastAsia="Courier New" w:hAnsi="Courier New"/>
          <w:sz w:val="18"/>
          <w:szCs w:val="18"/>
          <w:color w:val="auto"/>
        </w:rPr>
      </w:pPr>
    </w:p>
    <w:p>
      <w:pPr>
        <w:ind w:left="960" w:right="1779" w:hanging="4"/>
        <w:spacing w:after="0" w:line="273" w:lineRule="auto"/>
        <w:tabs>
          <w:tab w:leader="none" w:pos="1381"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any Restricted Investment that was made after the date of the Indenture is sold for cash or otherwise liquidated or repaid for cash, the lesser of (i) the cash return of capital with respect to such Restricted Investment (less the cost of disposition, if any) and (ii) the initial amount of such Restricted Investment; plus</w:t>
      </w:r>
    </w:p>
    <w:p>
      <w:pPr>
        <w:spacing w:after="0" w:line="178" w:lineRule="exact"/>
        <w:rPr>
          <w:rFonts w:ascii="Courier New" w:cs="Courier New" w:eastAsia="Courier New" w:hAnsi="Courier New"/>
          <w:sz w:val="16"/>
          <w:szCs w:val="16"/>
          <w:color w:val="auto"/>
        </w:rPr>
      </w:pPr>
    </w:p>
    <w:p>
      <w:pPr>
        <w:ind w:left="1380" w:hanging="424"/>
        <w:spacing w:after="0"/>
        <w:tabs>
          <w:tab w:leader="none" w:pos="1380"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$25 million.</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According to the Company's calculations, the Company could have made Restricted Payments in the amount of $81.8 million under this covenant as of March 30, 2002.</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So long as no Default has occurred and is continuing or would be caused thereby, the preceding provision will not prohibit:</w:t>
      </w:r>
    </w:p>
    <w:p>
      <w:pPr>
        <w:spacing w:after="0" w:line="208" w:lineRule="exact"/>
        <w:rPr>
          <w:sz w:val="20"/>
          <w:szCs w:val="20"/>
          <w:color w:val="auto"/>
        </w:rPr>
      </w:pPr>
    </w:p>
    <w:p>
      <w:pPr>
        <w:ind w:left="740" w:right="2099" w:firstLine="5"/>
        <w:spacing w:after="0" w:line="236" w:lineRule="auto"/>
        <w:tabs>
          <w:tab w:leader="none" w:pos="1161"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payment of any dividend within 60 days after the date of declaration thereof, if at said date of declaration such payment would have complied with the provisions of the Indenture;</w:t>
      </w:r>
    </w:p>
    <w:p>
      <w:pPr>
        <w:spacing w:after="0" w:line="208" w:lineRule="exact"/>
        <w:rPr>
          <w:rFonts w:ascii="Courier New" w:cs="Courier New" w:eastAsia="Courier New" w:hAnsi="Courier New"/>
          <w:sz w:val="18"/>
          <w:szCs w:val="18"/>
          <w:color w:val="auto"/>
        </w:rPr>
      </w:pPr>
    </w:p>
    <w:p>
      <w:pPr>
        <w:ind w:left="740" w:right="1779" w:firstLine="5"/>
        <w:spacing w:after="0" w:line="237" w:lineRule="auto"/>
        <w:tabs>
          <w:tab w:leader="none" w:pos="1161"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redemption, repurchase, retirement, defeasance or other acquisition (including the payment of any accrued and unpaid interest, premium or consent fee, if any, in connection therewith) of the Company's 9 7/8% Senior Subordinated Notes due 2004 (none of which remain outstanding) or of any of the outstanding 8.625% Senior Subordinated Notes due 2009, the Notes or Exchange Notes;</w:t>
      </w:r>
    </w:p>
    <w:p>
      <w:pPr>
        <w:spacing w:after="0" w:line="209" w:lineRule="exact"/>
        <w:rPr>
          <w:rFonts w:ascii="Courier New" w:cs="Courier New" w:eastAsia="Courier New" w:hAnsi="Courier New"/>
          <w:sz w:val="18"/>
          <w:szCs w:val="18"/>
          <w:color w:val="auto"/>
        </w:rPr>
      </w:pPr>
    </w:p>
    <w:p>
      <w:pPr>
        <w:ind w:left="740" w:right="1779" w:firstLine="5"/>
        <w:spacing w:after="0" w:line="268" w:lineRule="auto"/>
        <w:tabs>
          <w:tab w:leader="none" w:pos="1161"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repurchase, retirement, defeasance or other acquisition of any subordinated Indebtedness of the Company or any of its Restricted Subsidiaries or any Equity Interests of the Company or any of its Restricted Subsidiaries in exchange for, or out of the net cash proceeds of the substantially concurrent sale (other than to a Restricted Subsidiary of the Company) of, Equity Interests of the Company (other than Disqualified Stock); provided that the amount of any such net cash proceeds that are utilized for any such redemption, repurchase, retirement, defeasance or other acquisition shall be excluded from clause</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(3)(b) of the preceding paragraph;</w:t>
      </w:r>
    </w:p>
    <w:p>
      <w:pPr>
        <w:spacing w:after="0" w:line="207" w:lineRule="exact"/>
        <w:rPr>
          <w:rFonts w:ascii="Courier New" w:cs="Courier New" w:eastAsia="Courier New" w:hAnsi="Courier New"/>
          <w:sz w:val="16"/>
          <w:szCs w:val="16"/>
          <w:color w:val="auto"/>
        </w:rPr>
      </w:pPr>
    </w:p>
    <w:p>
      <w:pPr>
        <w:ind w:left="740" w:right="1879" w:firstLine="5"/>
        <w:spacing w:after="0" w:line="237" w:lineRule="auto"/>
        <w:tabs>
          <w:tab w:leader="none" w:pos="1161"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redemption, repurchase, retirement, defeasance or other acquisition of subordinated Indebtedness or Disqualified Stock of the Company or any of its Restricted Subsidiaries with the net cash proceeds from an incurrence of Permitted Refinancing Indebtedness;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17" w:right="1440" w:bottom="1440" w:gutter="0" w:footer="0" w:header="0"/>
        </w:sectPr>
      </w:pPr>
    </w:p>
    <w:bookmarkStart w:id="55" w:name="page56"/>
    <w:bookmarkEnd w:id="55"/>
    <w:p>
      <w:pPr>
        <w:ind w:left="740" w:right="1879" w:firstLine="5"/>
        <w:spacing w:after="0" w:line="235" w:lineRule="auto"/>
        <w:tabs>
          <w:tab w:leader="none" w:pos="1161"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payment of any dividend by the Company to holders of its Class A Convertible Preferred Stock; and</w:t>
      </w:r>
    </w:p>
    <w:p>
      <w:pPr>
        <w:spacing w:after="0" w:line="202"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repurchase, redemption or other acquisition or retirement for</w:t>
      </w:r>
    </w:p>
    <w:p>
      <w:pPr>
        <w:spacing w:after="0" w:line="4" w:lineRule="exact"/>
        <w:rPr>
          <w:rFonts w:ascii="Courier New" w:cs="Courier New" w:eastAsia="Courier New" w:hAnsi="Courier New"/>
          <w:sz w:val="18"/>
          <w:szCs w:val="18"/>
          <w:color w:val="auto"/>
        </w:rPr>
      </w:pPr>
    </w:p>
    <w:p>
      <w:pPr>
        <w:ind w:left="7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value of any Equity Interests of the Company or any Restricted Subsidiary of the Company held by any member of the Company's (or any of its Restricted Subsidiaries') management pursuant to any management equity subscription agreement or stock option agreement; provided that the aggregate price paid for all such repurchased, redeemed, acquired or retired Equity Interests shall not exceed $5.0 million in any twelve-month period.</w:t>
      </w:r>
    </w:p>
    <w:p>
      <w:pPr>
        <w:spacing w:after="0" w:line="21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amount of all Restricted Payments (other than cash) shall be the fair market value on the date of the Restricted Payment of the asset(s) or securities proposed to be transferred or issued by the Company or such Restricted Subsidiary, as the case may be, pursuant to the Restricted Payment. The fair market value of any assets or securities that are required to be valued by this covenant shall be determined in good faith by the Board of Directors whose resolution with respect thereto shall be delivered to the Trustee. Not later than the date of making any Restricted Payment other than payments pursuant to paragraphs (2), (3), (4), (5) or (6) of this covenant, the Company shall deliver to the Trustee an Officers' Certificate stating that such Restricted Payment is permitted and setting forth the basis upon which the calculations required by this "Restricted payments" covenant were computed.</w:t>
      </w:r>
    </w:p>
    <w:p>
      <w:pPr>
        <w:spacing w:after="0" w:line="39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Notwithstanding the foregoing, if any payment is made pursuant to the second paragraph of this covenant and at the time of such payment there was a Default (other than any Default caused thereby) that had occurred and was continuing, then such payment shall not cause a Default under this covenant if the pre-existing Default shall have been cured or waived prior to such Default becoming an Event of Default.</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Board of Directors may designate any Restricted Subsidiary to be an Unrestricted Subsidiary if the designation would not cause a Default. All outstanding Investments owned by the Company and its Restricted Subsidiaries in the designated Unrestricted Subsidiary will be treated as an Investment made at the time of the designation and will reduce the amount available for Restricted Payments under the first paragraph of this covenant or Permitted Investments, as applicable. All such outstanding Investments will be treated as Restricted Investments equal to the fair market value of such Investments at the time of the designation. The designation will not be permitted if such Restricted Payment would not be permitted at that time and if such Restricted Subsidiary does not otherwise meet the definition of an Unrestricted Subsidiary. The Board of Directors may redesignate any Unrestricted Subsidiary to be a Restricted Subsidiary if that redesignation would not cause a Default.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INCURRENCE OF INDEBTEDNESS AND ISSUANCE OF PREFERRED STOCK</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 will not, and will not permit any of its Restricted Subsidiaries to, directly or indirectly, create, incur, issue, assume, guarantee or otherwise become directly or indirectly liable, contingently or otherwise, with respect to (collectively, "incur") any Indebtedness (including Acquired Debt), and the Company will not issue any Disqualified Stock and will not permit any of its Restricted Subsidiaries that is not a Guarantor to issue any shares of preferred stock; provided, however, that the Company and any Restricted Subsidiary may incur Indebtedness (including Acquired Debt) or issue Disqualified Stock, and the Company's Restricted Subsidiaries may issue preferred stock, if the Fixed Charge Coverage Ratio for the Company's most recently ended four full fiscal quarters for which internal financial statements</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23" w:right="1440" w:bottom="1440" w:gutter="0" w:footer="0" w:header="0"/>
        </w:sectPr>
      </w:pPr>
    </w:p>
    <w:bookmarkStart w:id="56" w:name="page57"/>
    <w:bookmarkEnd w:id="56"/>
    <w:p>
      <w:pPr>
        <w:ind w:right="1779"/>
        <w:spacing w:after="0" w:line="272" w:lineRule="auto"/>
        <w:rPr>
          <w:sz w:val="20"/>
          <w:szCs w:val="20"/>
          <w:color w:val="auto"/>
        </w:rPr>
      </w:pPr>
      <w:r>
        <w:rPr>
          <w:rFonts w:ascii="Courier New" w:cs="Courier New" w:eastAsia="Courier New" w:hAnsi="Courier New"/>
          <w:sz w:val="16"/>
          <w:szCs w:val="16"/>
          <w:color w:val="auto"/>
        </w:rPr>
        <w:t>are available immediately preceding the date on which such additional Indebtedness is incurred or such Disqualified Stock or preferred stock is issued would have been at least 2.0 to 1.0, determined on a pro forma basis (including a pro forma application of the net proceeds therefrom) as if the additional Indebtedness had been incurred, or the Disqualified Stock or preferred stock had been issued, as the case may be, at the beginning of such four-quarter period.</w:t>
      </w:r>
    </w:p>
    <w:p>
      <w:pPr>
        <w:spacing w:after="0" w:line="186"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first paragraph of this covenant will not prohibit the incurrence of any of the following items of Indebtedness (collectively, "Permitted Debt"):</w:t>
      </w:r>
    </w:p>
    <w:p>
      <w:pPr>
        <w:spacing w:after="0" w:line="208" w:lineRule="exact"/>
        <w:rPr>
          <w:sz w:val="20"/>
          <w:szCs w:val="20"/>
          <w:color w:val="auto"/>
        </w:rPr>
      </w:pPr>
    </w:p>
    <w:p>
      <w:pPr>
        <w:ind w:left="740" w:right="1779" w:firstLine="5"/>
        <w:spacing w:after="0" w:line="238" w:lineRule="auto"/>
        <w:tabs>
          <w:tab w:leader="none" w:pos="1161"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incurrence by the Company and its Restricted Subsidiaries of Indebtedness and letters of credit under the Credit Facility in an aggregate principal amount (with letters of credit being deemed to have a principal amount equal to the maximum potential liability of the Company and its Restricted Subsidiaries thereunder) not to exceed an amount equal to $1.125 billion, including all Permitted Refinancing Indebtedness incurred pursuant to clause (5) of this paragraph to refund, refinance or replace any Indebtedness incurred pursuant to this clause (1), less the aggregate amount of all Net Proceeds of Asset Sales applied by the Company or any of its Restricted Subsidiaries to repay term Indebtedness under the Credit Facility or to reduce commitments with respect to revolving credit borrowings under the Credit Facility pursuant to the covenant described above under the caption "Repurchase at the option of holders -- Asset sales";</w:t>
      </w:r>
    </w:p>
    <w:p>
      <w:pPr>
        <w:spacing w:after="0" w:line="207" w:lineRule="exact"/>
        <w:rPr>
          <w:rFonts w:ascii="Courier New" w:cs="Courier New" w:eastAsia="Courier New" w:hAnsi="Courier New"/>
          <w:sz w:val="18"/>
          <w:szCs w:val="18"/>
          <w:color w:val="auto"/>
        </w:rPr>
      </w:pPr>
    </w:p>
    <w:p>
      <w:pPr>
        <w:ind w:left="740" w:right="2319" w:firstLine="5"/>
        <w:spacing w:after="0" w:line="235" w:lineRule="auto"/>
        <w:tabs>
          <w:tab w:leader="none" w:pos="1161"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incurrence by the Company and its Restricted Subsidiaries of Existing Indebtedness;</w:t>
      </w:r>
    </w:p>
    <w:p>
      <w:pPr>
        <w:spacing w:after="0" w:line="208" w:lineRule="exact"/>
        <w:rPr>
          <w:rFonts w:ascii="Courier New" w:cs="Courier New" w:eastAsia="Courier New" w:hAnsi="Courier New"/>
          <w:sz w:val="18"/>
          <w:szCs w:val="18"/>
          <w:color w:val="auto"/>
        </w:rPr>
      </w:pPr>
    </w:p>
    <w:p>
      <w:pPr>
        <w:ind w:left="740" w:right="1999" w:firstLine="5"/>
        <w:spacing w:after="0" w:line="236" w:lineRule="auto"/>
        <w:tabs>
          <w:tab w:leader="none" w:pos="1161"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incurrence by the Company and the Guarantors of Indebtedness represented by the Notes, the Subsidiary Guarantees, the Exchange Notes and the Guarantees thereof;</w:t>
      </w:r>
    </w:p>
    <w:p>
      <w:pPr>
        <w:spacing w:after="0" w:line="208" w:lineRule="exact"/>
        <w:rPr>
          <w:rFonts w:ascii="Courier New" w:cs="Courier New" w:eastAsia="Courier New" w:hAnsi="Courier New"/>
          <w:sz w:val="18"/>
          <w:szCs w:val="18"/>
          <w:color w:val="auto"/>
        </w:rPr>
      </w:pPr>
    </w:p>
    <w:p>
      <w:pPr>
        <w:ind w:left="740" w:right="1779" w:firstLine="5"/>
        <w:spacing w:after="0" w:line="238" w:lineRule="auto"/>
        <w:tabs>
          <w:tab w:leader="none" w:pos="1161"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incurrence by the Company or any of its Restricted Subsidiaries of Indebtedness represented by Capital Lease Obligations, mortgage financings or purchase money obligations, in each case, incurred for the purpose of financing all or any part of the purchase price or cost of construction or improvement of property, plant or equipment used in the business of the Company or such Restricted Subsidiary, or in respect of a sale and leaseback transaction, in an aggregate principal amount, including all Permitted Refinancing Indebtedness incurred pursuant to clause (5) of this paragraph to refund, refinance or replace any Indebtedness incurred pursuant to this clause (4), not to exceed $20.0 million at any time outstanding (according to the Company's calculations, the Company may utilize $16.9 million of this $20.0 million basket as of March 30, 2002);</w:t>
      </w:r>
    </w:p>
    <w:p>
      <w:pPr>
        <w:spacing w:after="0" w:line="207" w:lineRule="exact"/>
        <w:rPr>
          <w:rFonts w:ascii="Courier New" w:cs="Courier New" w:eastAsia="Courier New" w:hAnsi="Courier New"/>
          <w:sz w:val="18"/>
          <w:szCs w:val="18"/>
          <w:color w:val="auto"/>
        </w:rPr>
      </w:pPr>
    </w:p>
    <w:p>
      <w:pPr>
        <w:ind w:left="740" w:right="1879" w:firstLine="5"/>
        <w:spacing w:after="0" w:line="273" w:lineRule="auto"/>
        <w:tabs>
          <w:tab w:leader="none" w:pos="1161"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the Company or any of its Restricted Subsidiaries of Permitted Refinancing Indebtedness in exchange for, or the net proceeds of which are used to refund, refinance or replace, Indebtedness (other than intercompany Indebtedness) that is either Existing Indebtedness or that was permitted to be incurred by the Indenture;</w:t>
      </w:r>
    </w:p>
    <w:p>
      <w:pPr>
        <w:spacing w:after="0" w:line="184" w:lineRule="exact"/>
        <w:rPr>
          <w:rFonts w:ascii="Courier New" w:cs="Courier New" w:eastAsia="Courier New" w:hAnsi="Courier New"/>
          <w:sz w:val="16"/>
          <w:szCs w:val="16"/>
          <w:color w:val="auto"/>
        </w:rPr>
      </w:pPr>
    </w:p>
    <w:p>
      <w:pPr>
        <w:ind w:left="740" w:right="1879" w:firstLine="5"/>
        <w:spacing w:after="0" w:line="236" w:lineRule="auto"/>
        <w:tabs>
          <w:tab w:leader="none" w:pos="1161"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incurrence by the Company or any of its Restricted Subsidiaries of intercompany Indebtedness between or among the Company and any of its Restricted Subsidiaries; provided, however, that:</w:t>
      </w:r>
    </w:p>
    <w:p>
      <w:pPr>
        <w:spacing w:after="0" w:line="208" w:lineRule="exact"/>
        <w:rPr>
          <w:rFonts w:ascii="Courier New" w:cs="Courier New" w:eastAsia="Courier New" w:hAnsi="Courier New"/>
          <w:sz w:val="18"/>
          <w:szCs w:val="18"/>
          <w:color w:val="auto"/>
        </w:rPr>
      </w:pPr>
    </w:p>
    <w:p>
      <w:pPr>
        <w:ind w:left="960" w:right="1879" w:hanging="4"/>
        <w:spacing w:after="0" w:line="237" w:lineRule="auto"/>
        <w:tabs>
          <w:tab w:leader="none" w:pos="1381"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or any Guarantor is the obligor on such Indebtedness, and such Indebtedness is held by a Restricted Subsidiary that is not a Guarantor, such Indebtedness must be expressly subordinated to the prior payment in full in cash of</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23" w:right="1440" w:bottom="1440" w:gutter="0" w:footer="0" w:header="0"/>
        </w:sectPr>
      </w:pPr>
    </w:p>
    <w:bookmarkStart w:id="57" w:name="page58"/>
    <w:bookmarkEnd w:id="57"/>
    <w:p>
      <w:pPr>
        <w:ind w:left="960" w:right="1879"/>
        <w:spacing w:after="0" w:line="236" w:lineRule="auto"/>
        <w:rPr>
          <w:sz w:val="20"/>
          <w:szCs w:val="20"/>
          <w:color w:val="auto"/>
        </w:rPr>
      </w:pPr>
      <w:r>
        <w:rPr>
          <w:rFonts w:ascii="Courier New" w:cs="Courier New" w:eastAsia="Courier New" w:hAnsi="Courier New"/>
          <w:sz w:val="18"/>
          <w:szCs w:val="18"/>
          <w:color w:val="auto"/>
        </w:rPr>
        <w:t>all Obligations with respect to the Notes, in the case of the Company, or the Subsidiary Guarantee of such Guarantor, in the case of a Guarantor; and</w:t>
      </w:r>
    </w:p>
    <w:p>
      <w:pPr>
        <w:spacing w:after="0" w:line="209" w:lineRule="exact"/>
        <w:rPr>
          <w:sz w:val="20"/>
          <w:szCs w:val="20"/>
          <w:color w:val="auto"/>
        </w:rPr>
      </w:pPr>
    </w:p>
    <w:p>
      <w:pPr>
        <w:ind w:left="960" w:right="1879" w:hanging="4"/>
        <w:spacing w:after="0" w:line="237" w:lineRule="auto"/>
        <w:tabs>
          <w:tab w:leader="none" w:pos="1381"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any subsequent issuance or transfer of Equity Interests that results in any such Indebtedness being held by a Person other than the Company or a Restricted Subsidiary thereof and (ii) any sale or other transfer of any such Indebtedness to a Person that is not either the Company or a Restricted Subsidiary thereof shall be deemed, in each case, to constitute an incurrence of such Indebtedness by the Company or such Restricted Subsidiary, as the case may be, that was not permitted by this clause (6);</w:t>
      </w:r>
    </w:p>
    <w:p>
      <w:pPr>
        <w:spacing w:after="0" w:line="212" w:lineRule="exact"/>
        <w:rPr>
          <w:rFonts w:ascii="Courier New" w:cs="Courier New" w:eastAsia="Courier New" w:hAnsi="Courier New"/>
          <w:sz w:val="18"/>
          <w:szCs w:val="18"/>
          <w:color w:val="auto"/>
        </w:rPr>
      </w:pPr>
    </w:p>
    <w:p>
      <w:pPr>
        <w:ind w:left="740" w:right="1999" w:firstLine="5"/>
        <w:spacing w:after="0" w:line="273" w:lineRule="auto"/>
        <w:tabs>
          <w:tab w:leader="none" w:pos="116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the Company or any of its Restricted Subsidiaries of Hedging Obligations that are incurred for the purpose of fixing or hedging (a) interest rate risk with respect to any floating rate Indebtedness that is permitted by the terms of this Indenture to be outstanding or (b) exchange rate risk or raw materials price risk;</w:t>
      </w:r>
    </w:p>
    <w:p>
      <w:pPr>
        <w:spacing w:after="0" w:line="184" w:lineRule="exact"/>
        <w:rPr>
          <w:rFonts w:ascii="Courier New" w:cs="Courier New" w:eastAsia="Courier New" w:hAnsi="Courier New"/>
          <w:sz w:val="16"/>
          <w:szCs w:val="16"/>
          <w:color w:val="auto"/>
        </w:rPr>
      </w:pPr>
    </w:p>
    <w:p>
      <w:pPr>
        <w:ind w:left="740" w:right="1779" w:firstLine="5"/>
        <w:spacing w:after="0" w:line="279" w:lineRule="auto"/>
        <w:tabs>
          <w:tab w:leader="none" w:pos="116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guarantee by the Company or any of its Restricted Subsidiaries of Indebtedness of the Company or a Restricted Subsidiary of the Company that was permitted to be incurred by another provision of this covenant;</w:t>
      </w:r>
    </w:p>
    <w:p>
      <w:pPr>
        <w:spacing w:after="0" w:line="178" w:lineRule="exact"/>
        <w:rPr>
          <w:rFonts w:ascii="Courier New" w:cs="Courier New" w:eastAsia="Courier New" w:hAnsi="Courier New"/>
          <w:sz w:val="16"/>
          <w:szCs w:val="16"/>
          <w:color w:val="auto"/>
        </w:rPr>
      </w:pPr>
    </w:p>
    <w:p>
      <w:pPr>
        <w:ind w:left="740" w:right="1999" w:firstLine="5"/>
        <w:spacing w:after="0" w:line="235" w:lineRule="auto"/>
        <w:tabs>
          <w:tab w:leader="none" w:pos="1161"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Class A Convertible Preferred Stock outstanding as of the date of the Indenture;</w:t>
      </w:r>
    </w:p>
    <w:p>
      <w:pPr>
        <w:spacing w:after="0" w:line="208" w:lineRule="exact"/>
        <w:rPr>
          <w:rFonts w:ascii="Courier New" w:cs="Courier New" w:eastAsia="Courier New" w:hAnsi="Courier New"/>
          <w:sz w:val="18"/>
          <w:szCs w:val="18"/>
          <w:color w:val="auto"/>
        </w:rPr>
      </w:pPr>
    </w:p>
    <w:p>
      <w:pPr>
        <w:ind w:left="740" w:right="1779" w:firstLine="5"/>
        <w:spacing w:after="0" w:line="271" w:lineRule="auto"/>
        <w:tabs>
          <w:tab w:leader="none" w:pos="1267"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any of the Company's Foreign Subsidiaries of Indebtedness in an aggregate principal amount, including all Permitted Refinancing Indebtedness incurred pursuant to clause (5) of this paragraph to refund, refinance or replace any Indebtedness incurred pursuant to this clause (10), not to exceed $60.0 million at any time outstanding (according to the Company's calculations, the Company may utilize $44.2 million of this $60.0 million basket as of March 30, 2002);</w:t>
      </w:r>
    </w:p>
    <w:p>
      <w:pPr>
        <w:spacing w:after="0" w:line="187" w:lineRule="exact"/>
        <w:rPr>
          <w:rFonts w:ascii="Courier New" w:cs="Courier New" w:eastAsia="Courier New" w:hAnsi="Courier New"/>
          <w:sz w:val="16"/>
          <w:szCs w:val="16"/>
          <w:color w:val="auto"/>
        </w:rPr>
      </w:pPr>
    </w:p>
    <w:p>
      <w:pPr>
        <w:jc w:val="both"/>
        <w:ind w:left="740" w:right="1879" w:firstLine="5"/>
        <w:spacing w:after="0" w:line="237" w:lineRule="auto"/>
        <w:tabs>
          <w:tab w:leader="none" w:pos="1267"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incurrence by a Securitization Entity of Indebtedness in a Qualified Securitization Transaction that is Non-Recourse Debt with respect to the Company and its other Restricted Subsidiaries (except for Standard Securitization Undertakings); and</w:t>
      </w:r>
    </w:p>
    <w:p>
      <w:pPr>
        <w:spacing w:after="0" w:line="207" w:lineRule="exact"/>
        <w:rPr>
          <w:rFonts w:ascii="Courier New" w:cs="Courier New" w:eastAsia="Courier New" w:hAnsi="Courier New"/>
          <w:sz w:val="18"/>
          <w:szCs w:val="18"/>
          <w:color w:val="auto"/>
        </w:rPr>
      </w:pPr>
    </w:p>
    <w:p>
      <w:pPr>
        <w:ind w:left="740" w:right="1779" w:firstLine="5"/>
        <w:spacing w:after="0" w:line="237" w:lineRule="auto"/>
        <w:tabs>
          <w:tab w:leader="none" w:pos="1267"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incurrence by the Company or any of its Restricted Subsidiaries of additional Indebtedness in an aggregate principal amount (or accreted value, as applicable) at any time outstanding, including all Permitted Refinancing Indebtedness incurred to refund, refinance or replace any Indebtedness incurred pursuant to this clause (12), not to exceed $40.0 million (according to the Company's calculations, the Company may utilize the full amount of this $40.0 million basket as of the date of this prospectus).</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For purposes of determining compliance with this "Incurrence of indebtedness and issuance of preferred stock" covenant, in the event that an item of proposed Indebtedness meets the criteria of more than one of the categories of Permitted Debt described in clauses (1) through (12) above, or is entitled to be incurred pursuant to the first paragraph of this covenant, the Company will be permitted to classify such item of Indebtedness on the date of its incurrence (or later reclassify such Indebtedness in whole or in part) in any manner that complies with this covenant. In addition, the accrual of interest, accretion or amortization of original issue discount, the payment of interest on any Indebtedness in the form of additional Indebtedness with the same terms, and the payment of dividends on Disqualified Stock in the form of additional shares of the same class of Disqualified Stock will not be treated as an incurrence of Indebtedness; provided, in each such case, that the amount thereof is included in Fixed Charges of the Company as accrued. Notwithstanding the foregoing, any Indebtedness outstanding</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23" w:right="1440" w:bottom="1440" w:gutter="0" w:footer="0" w:header="0"/>
        </w:sectPr>
      </w:pPr>
    </w:p>
    <w:bookmarkStart w:id="58" w:name="page59"/>
    <w:bookmarkEnd w:id="58"/>
    <w:p>
      <w:pPr>
        <w:jc w:val="both"/>
        <w:ind w:right="1999"/>
        <w:spacing w:after="0" w:line="290" w:lineRule="auto"/>
        <w:rPr>
          <w:sz w:val="20"/>
          <w:szCs w:val="20"/>
          <w:color w:val="auto"/>
        </w:rPr>
      </w:pPr>
      <w:r>
        <w:rPr>
          <w:rFonts w:ascii="Courier New" w:cs="Courier New" w:eastAsia="Courier New" w:hAnsi="Courier New"/>
          <w:sz w:val="16"/>
          <w:szCs w:val="16"/>
          <w:color w:val="auto"/>
        </w:rPr>
        <w:t>pursuant to the Credit Facility on the date of the Indenture will be deemed to have been incurred pursuant to clause (1) of the definition of Permitted Debt.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SENIOR SUBORDINATED DEBT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will not incur, create, issue, assume, guarantee or otherwise become liable for any Indebtedness that is subordinate or junior in right of payment to any Senior Debt of the Company and senior in any respect in right of payment to the Notes. No Guarantor will incur, create, issue, assume, guarantee or otherwise become liable for any Indebtedness that is subordinate or junior in right of payment to any Senior Debt of such Guarantor and senior in any respect in right of payment to such Guarantor's Subsidiary Guarantee.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LIENS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 will not, and will not permit any of its Subsidiaries to, directly or indirectly, (1) assign or convey any right to receive income on any asset now owned or hereafter acquired or (2) create, incur, assume or suffer to exist any Lien of any kind securing Indebtedness, Attributable Debt or trade payables on any asset now owned or hereafter acquired or on any income or profits therefrom except Permitted Liens, unless the Notes and the Guarantees, as applicable, are either (i) secured by a Lien on such property, assets, income or profits that is senior in priority to the Lien securing such other Obligations, if such Obligations are subordinated in right of payment to the Notes and/or the Guarantees or (ii) equally and ratably secured by a Lien on such property, assets, income or profits with the Lien securing such other Obligations, if such Obligations are pari passu in right of payment with the Notes.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AND OTHER PAYMENT RESTRICTIONS AFFECTING SUBSIDIARIES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Company will not, and will not permit any of its Restricted Subsidiaries to, directly or indirectly, create or permit to exist or become effective any encumbrance or restriction on the ability of any Restricted Subsidiary to:</w:t>
      </w:r>
    </w:p>
    <w:p>
      <w:pPr>
        <w:spacing w:after="0" w:line="209" w:lineRule="exact"/>
        <w:rPr>
          <w:sz w:val="20"/>
          <w:szCs w:val="20"/>
          <w:color w:val="auto"/>
        </w:rPr>
      </w:pPr>
    </w:p>
    <w:p>
      <w:pPr>
        <w:ind w:left="740" w:right="1779" w:firstLine="5"/>
        <w:spacing w:after="0" w:line="237" w:lineRule="auto"/>
        <w:tabs>
          <w:tab w:leader="none" w:pos="1161"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dividends or make any other distributions on its Capital Stock to the Company or any of the Company's Restricted Subsidiaries, or with respect to any other interest or participation in, or measured by, its profits, or pay any indebtedness owed to the Company or any of the Company Restricted Subsidiaries;</w:t>
      </w:r>
    </w:p>
    <w:p>
      <w:pPr>
        <w:spacing w:after="0" w:line="208" w:lineRule="exact"/>
        <w:rPr>
          <w:rFonts w:ascii="Courier New" w:cs="Courier New" w:eastAsia="Courier New" w:hAnsi="Courier New"/>
          <w:sz w:val="18"/>
          <w:szCs w:val="18"/>
          <w:color w:val="auto"/>
        </w:rPr>
      </w:pPr>
    </w:p>
    <w:p>
      <w:pPr>
        <w:ind w:left="740" w:right="2619" w:firstLine="5"/>
        <w:spacing w:after="0" w:line="235" w:lineRule="auto"/>
        <w:tabs>
          <w:tab w:leader="none" w:pos="1161"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loans or advances to the Company or any of the Company's Restricted Subsidiaries; or</w:t>
      </w:r>
    </w:p>
    <w:p>
      <w:pPr>
        <w:spacing w:after="0" w:line="208" w:lineRule="exact"/>
        <w:rPr>
          <w:rFonts w:ascii="Courier New" w:cs="Courier New" w:eastAsia="Courier New" w:hAnsi="Courier New"/>
          <w:sz w:val="18"/>
          <w:szCs w:val="18"/>
          <w:color w:val="auto"/>
        </w:rPr>
      </w:pPr>
    </w:p>
    <w:p>
      <w:pPr>
        <w:ind w:left="740" w:right="1779" w:firstLine="5"/>
        <w:spacing w:after="0" w:line="235" w:lineRule="auto"/>
        <w:tabs>
          <w:tab w:leader="none" w:pos="1161"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any of its properties or assets to the Company or any of the Company's Restricted Subsidiaries.</w:t>
      </w:r>
    </w:p>
    <w:p>
      <w:pPr>
        <w:spacing w:after="0" w:line="208"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However, the preceding restrictions will not apply to encumbrances or restrictions existing under or by reason of:</w:t>
      </w:r>
    </w:p>
    <w:p>
      <w:pPr>
        <w:spacing w:after="0" w:line="208" w:lineRule="exact"/>
        <w:rPr>
          <w:sz w:val="20"/>
          <w:szCs w:val="20"/>
          <w:color w:val="auto"/>
        </w:rPr>
      </w:pPr>
    </w:p>
    <w:p>
      <w:pPr>
        <w:ind w:left="740" w:right="1879" w:firstLine="5"/>
        <w:spacing w:after="0" w:line="237" w:lineRule="auto"/>
        <w:tabs>
          <w:tab w:leader="none" w:pos="1161"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Existing Indebtedness as in effect on the date of the Indenture and any amendments, modifications, restatements, renewals, increases, supplements, refundings, replacements or refinancings thereof, provided that such amendments, modifications, restatements, renewals, increases, supplements, refundings, replacement or refinancings are no more restrictive, taken as a whole, with respect to such dividend and other payment restrictions than those contained in such Existing Indebtedness, as in effect on the date of the Indenture;</w:t>
      </w:r>
    </w:p>
    <w:p>
      <w:pPr>
        <w:spacing w:after="0" w:line="206"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Indenture, the Notes and the Guarantees;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723" w:right="1440" w:bottom="1440" w:gutter="0" w:footer="0" w:header="0"/>
        </w:sectPr>
      </w:pPr>
    </w:p>
    <w:bookmarkStart w:id="59" w:name="page60"/>
    <w:bookmarkEnd w:id="59"/>
    <w:p>
      <w:pPr>
        <w:ind w:left="1160" w:hanging="415"/>
        <w:spacing w:after="0"/>
        <w:tabs>
          <w:tab w:leader="none" w:pos="116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w:t>
      </w:r>
    </w:p>
    <w:p>
      <w:pPr>
        <w:spacing w:after="0" w:line="206" w:lineRule="exact"/>
        <w:rPr>
          <w:rFonts w:ascii="Courier New" w:cs="Courier New" w:eastAsia="Courier New" w:hAnsi="Courier New"/>
          <w:sz w:val="18"/>
          <w:szCs w:val="18"/>
          <w:color w:val="auto"/>
        </w:rPr>
      </w:pPr>
    </w:p>
    <w:p>
      <w:pPr>
        <w:ind w:left="740" w:right="1779" w:firstLine="5"/>
        <w:spacing w:after="0" w:line="237" w:lineRule="auto"/>
        <w:tabs>
          <w:tab w:leader="none" w:pos="1161"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instrument governing Indebtedness or Capital Stock of a Person acquired by the Company or any of its Restricted Subsidiaries as in effect at the time of such acquisition (except to the extent such Indebtedness was incurred in connection with or in contemplation of such acquisition), which encumbrance or restriction is not applicable to any Person, or the properties or assets of any Person, other than the Person, or the property or assets of the Person, so acquired, provided that, in the case of Indebtedness, such Indebtedness was permitted by the terms of the Indenture to be incurred;</w:t>
      </w:r>
    </w:p>
    <w:p>
      <w:pPr>
        <w:spacing w:after="0" w:line="213" w:lineRule="exact"/>
        <w:rPr>
          <w:rFonts w:ascii="Courier New" w:cs="Courier New" w:eastAsia="Courier New" w:hAnsi="Courier New"/>
          <w:sz w:val="18"/>
          <w:szCs w:val="18"/>
          <w:color w:val="auto"/>
        </w:rPr>
      </w:pPr>
    </w:p>
    <w:p>
      <w:pPr>
        <w:ind w:left="740" w:right="1879" w:firstLine="5"/>
        <w:spacing w:after="0" w:line="236" w:lineRule="auto"/>
        <w:tabs>
          <w:tab w:leader="none" w:pos="1161"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customary non-assignment provisions in leases, licenses, contracts and other agreements entered into in the ordinary course of business and consistent with past practices;</w:t>
      </w:r>
    </w:p>
    <w:p>
      <w:pPr>
        <w:spacing w:after="0" w:line="208" w:lineRule="exact"/>
        <w:rPr>
          <w:rFonts w:ascii="Courier New" w:cs="Courier New" w:eastAsia="Courier New" w:hAnsi="Courier New"/>
          <w:sz w:val="18"/>
          <w:szCs w:val="18"/>
          <w:color w:val="auto"/>
        </w:rPr>
      </w:pPr>
    </w:p>
    <w:p>
      <w:pPr>
        <w:ind w:left="740" w:right="1999" w:firstLine="5"/>
        <w:spacing w:after="0" w:line="279" w:lineRule="auto"/>
        <w:tabs>
          <w:tab w:leader="none" w:pos="1161"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money obligations for property acquired in the ordinary course of business that impose restrictions on the property so acquired of the nature described in clause (3) of the preceding paragraph;</w:t>
      </w:r>
    </w:p>
    <w:p>
      <w:pPr>
        <w:spacing w:after="0" w:line="178" w:lineRule="exact"/>
        <w:rPr>
          <w:rFonts w:ascii="Courier New" w:cs="Courier New" w:eastAsia="Courier New" w:hAnsi="Courier New"/>
          <w:sz w:val="16"/>
          <w:szCs w:val="16"/>
          <w:color w:val="auto"/>
        </w:rPr>
      </w:pPr>
    </w:p>
    <w:p>
      <w:pPr>
        <w:ind w:left="740" w:right="2199" w:firstLine="5"/>
        <w:spacing w:after="0" w:line="236" w:lineRule="auto"/>
        <w:tabs>
          <w:tab w:leader="none" w:pos="1161"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 for the sale or other disposition of a Restricted Subsidiary that restricts distributions by such Restricted Subsidiary pending its sale or other disposition;</w:t>
      </w:r>
    </w:p>
    <w:p>
      <w:pPr>
        <w:spacing w:after="0" w:line="208" w:lineRule="exact"/>
        <w:rPr>
          <w:rFonts w:ascii="Courier New" w:cs="Courier New" w:eastAsia="Courier New" w:hAnsi="Courier New"/>
          <w:sz w:val="18"/>
          <w:szCs w:val="18"/>
          <w:color w:val="auto"/>
        </w:rPr>
      </w:pPr>
    </w:p>
    <w:p>
      <w:pPr>
        <w:ind w:left="740" w:right="1879" w:firstLine="5"/>
        <w:spacing w:after="0" w:line="275" w:lineRule="auto"/>
        <w:tabs>
          <w:tab w:leader="none" w:pos="1161"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Permitted Refinancing Indebtedness, provided that the restrictions contained in the agreements governing such Permitted Refinancing Indebtedness are no more restrictive, taken as a whole, than those contained in the agreements governing the Indebtedness being refinanced;</w:t>
      </w:r>
    </w:p>
    <w:p>
      <w:pPr>
        <w:spacing w:after="0" w:line="182" w:lineRule="exact"/>
        <w:rPr>
          <w:rFonts w:ascii="Courier New" w:cs="Courier New" w:eastAsia="Courier New" w:hAnsi="Courier New"/>
          <w:sz w:val="16"/>
          <w:szCs w:val="16"/>
          <w:color w:val="auto"/>
        </w:rPr>
      </w:pPr>
    </w:p>
    <w:p>
      <w:pPr>
        <w:ind w:left="740" w:right="2099" w:firstLine="5"/>
        <w:spacing w:after="0" w:line="275" w:lineRule="auto"/>
        <w:tabs>
          <w:tab w:leader="none" w:pos="1161"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securing Indebtedness otherwise permitted to be incurred pursuant to the provisions of the covenant described above under the caption "-- Liens" that limit the right of the Company or any of its Restricted Subsidiaries to dispose of the assets subject to such Lien;</w:t>
      </w:r>
    </w:p>
    <w:p>
      <w:pPr>
        <w:spacing w:after="0" w:line="182" w:lineRule="exact"/>
        <w:rPr>
          <w:rFonts w:ascii="Courier New" w:cs="Courier New" w:eastAsia="Courier New" w:hAnsi="Courier New"/>
          <w:sz w:val="16"/>
          <w:szCs w:val="16"/>
          <w:color w:val="auto"/>
        </w:rPr>
      </w:pPr>
    </w:p>
    <w:p>
      <w:pPr>
        <w:ind w:left="740" w:right="1779" w:firstLine="5"/>
        <w:spacing w:after="0" w:line="236" w:lineRule="auto"/>
        <w:tabs>
          <w:tab w:leader="none" w:pos="1267"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provisions with respect to the disposition or distribution of assets or property in joint venture agreements and other similar agreements entered into in the ordinary course of business;</w:t>
      </w:r>
    </w:p>
    <w:p>
      <w:pPr>
        <w:spacing w:after="0" w:line="208" w:lineRule="exact"/>
        <w:rPr>
          <w:rFonts w:ascii="Courier New" w:cs="Courier New" w:eastAsia="Courier New" w:hAnsi="Courier New"/>
          <w:sz w:val="18"/>
          <w:szCs w:val="18"/>
          <w:color w:val="auto"/>
        </w:rPr>
      </w:pPr>
    </w:p>
    <w:p>
      <w:pPr>
        <w:ind w:left="740" w:right="2099" w:firstLine="5"/>
        <w:spacing w:after="0" w:line="235" w:lineRule="auto"/>
        <w:tabs>
          <w:tab w:leader="none" w:pos="1267"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customary provisions under Indebtedness of any Foreign Subsidiary permitted to be incurred under the Indenture;</w:t>
      </w:r>
    </w:p>
    <w:p>
      <w:pPr>
        <w:spacing w:after="0" w:line="208" w:lineRule="exact"/>
        <w:rPr>
          <w:rFonts w:ascii="Courier New" w:cs="Courier New" w:eastAsia="Courier New" w:hAnsi="Courier New"/>
          <w:sz w:val="18"/>
          <w:szCs w:val="18"/>
          <w:color w:val="auto"/>
        </w:rPr>
      </w:pPr>
    </w:p>
    <w:p>
      <w:pPr>
        <w:ind w:left="740" w:right="2419" w:firstLine="5"/>
        <w:spacing w:after="0" w:line="236" w:lineRule="auto"/>
        <w:tabs>
          <w:tab w:leader="none" w:pos="1267"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cash or other deposits or net worth imposed by customers under contracts entered into in the ordinary course of business; and</w:t>
      </w:r>
    </w:p>
    <w:p>
      <w:pPr>
        <w:spacing w:after="0" w:line="208" w:lineRule="exact"/>
        <w:rPr>
          <w:rFonts w:ascii="Courier New" w:cs="Courier New" w:eastAsia="Courier New" w:hAnsi="Courier New"/>
          <w:sz w:val="18"/>
          <w:szCs w:val="18"/>
          <w:color w:val="auto"/>
        </w:rPr>
      </w:pPr>
    </w:p>
    <w:p>
      <w:pPr>
        <w:ind w:left="740" w:right="1999" w:firstLine="5"/>
        <w:spacing w:after="0" w:line="235" w:lineRule="auto"/>
        <w:tabs>
          <w:tab w:leader="none" w:pos="1267"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created in connection with a Qualified Securitization Transaction.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CONSOLIDATION OR SALE OF ASSETS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may not, directly or indirectly: (1) consolidate or merge with or into another Person (whether or not the Company is the surviving corporation); or (2) sell, assign, transfer, convey or otherwise dispose of all or substantially all of its properties or assets, in one or more related transactions, to another Person; unless:</w:t>
      </w:r>
    </w:p>
    <w:p>
      <w:pPr>
        <w:spacing w:after="0" w:line="203" w:lineRule="exact"/>
        <w:rPr>
          <w:sz w:val="20"/>
          <w:szCs w:val="20"/>
          <w:color w:val="auto"/>
        </w:rPr>
      </w:pPr>
    </w:p>
    <w:p>
      <w:pPr>
        <w:ind w:left="1160" w:hanging="415"/>
        <w:spacing w:after="0"/>
        <w:tabs>
          <w:tab w:leader="none" w:pos="116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 (a) the Company is the surviving corporation; or (b) the</w:t>
      </w:r>
    </w:p>
    <w:p>
      <w:pPr>
        <w:spacing w:after="0" w:line="4" w:lineRule="exact"/>
        <w:rPr>
          <w:rFonts w:ascii="Courier New" w:cs="Courier New" w:eastAsia="Courier New" w:hAnsi="Courier New"/>
          <w:sz w:val="18"/>
          <w:szCs w:val="18"/>
          <w:color w:val="auto"/>
        </w:rPr>
      </w:pPr>
    </w:p>
    <w:p>
      <w:pPr>
        <w:ind w:left="7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formed by or surviving any such consolidation or merger (if other than the Company) or to which such sale, assignment, transfer, conveyance or other disposition shall have been made is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717" w:right="1440" w:bottom="1440" w:gutter="0" w:footer="0" w:header="0"/>
        </w:sectPr>
      </w:pPr>
    </w:p>
    <w:bookmarkStart w:id="60" w:name="page61"/>
    <w:bookmarkEnd w:id="60"/>
    <w:p>
      <w:pPr>
        <w:ind w:left="740" w:right="1879"/>
        <w:spacing w:after="0" w:line="235" w:lineRule="auto"/>
        <w:rPr>
          <w:sz w:val="20"/>
          <w:szCs w:val="20"/>
          <w:color w:val="auto"/>
        </w:rPr>
      </w:pPr>
      <w:r>
        <w:rPr>
          <w:rFonts w:ascii="Courier New" w:cs="Courier New" w:eastAsia="Courier New" w:hAnsi="Courier New"/>
          <w:sz w:val="18"/>
          <w:szCs w:val="18"/>
          <w:color w:val="auto"/>
        </w:rPr>
        <w:t>a corporation organized or existing under the laws of the United States, any state thereof or the District of Columbia;</w:t>
      </w:r>
    </w:p>
    <w:p>
      <w:pPr>
        <w:spacing w:after="0" w:line="208" w:lineRule="exact"/>
        <w:rPr>
          <w:sz w:val="20"/>
          <w:szCs w:val="20"/>
          <w:color w:val="auto"/>
        </w:rPr>
      </w:pPr>
    </w:p>
    <w:p>
      <w:pPr>
        <w:ind w:left="740" w:right="1779" w:firstLine="5"/>
        <w:spacing w:after="0" w:line="237" w:lineRule="auto"/>
        <w:tabs>
          <w:tab w:leader="none" w:pos="1161"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 formed by or surviving any such consolidation or merger (if other than the Company) or the Person to which such sale, assignment, transfer, conveyance or other disposition shall have been made assumes all the obligations of the Company under the Notes, the Indenture and the Registration Rights Agreement pursuant to agreements reasonably satisfactory to the Trustee;</w:t>
      </w:r>
    </w:p>
    <w:p>
      <w:pPr>
        <w:spacing w:after="0" w:line="209" w:lineRule="exact"/>
        <w:rPr>
          <w:rFonts w:ascii="Courier New" w:cs="Courier New" w:eastAsia="Courier New" w:hAnsi="Courier New"/>
          <w:sz w:val="18"/>
          <w:szCs w:val="18"/>
          <w:color w:val="auto"/>
        </w:rPr>
      </w:pPr>
    </w:p>
    <w:p>
      <w:pPr>
        <w:ind w:left="740" w:right="2199" w:firstLine="5"/>
        <w:spacing w:after="0" w:line="235" w:lineRule="auto"/>
        <w:tabs>
          <w:tab w:leader="none" w:pos="1161"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such transaction no Default or Event of Default exists; and</w:t>
      </w:r>
    </w:p>
    <w:p>
      <w:pPr>
        <w:spacing w:after="0" w:line="208" w:lineRule="exact"/>
        <w:rPr>
          <w:rFonts w:ascii="Courier New" w:cs="Courier New" w:eastAsia="Courier New" w:hAnsi="Courier New"/>
          <w:sz w:val="18"/>
          <w:szCs w:val="18"/>
          <w:color w:val="auto"/>
        </w:rPr>
      </w:pPr>
    </w:p>
    <w:p>
      <w:pPr>
        <w:ind w:left="740" w:right="1779" w:firstLine="5"/>
        <w:spacing w:after="0" w:line="237" w:lineRule="auto"/>
        <w:tabs>
          <w:tab w:leader="none" w:pos="1161"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in the case of a merger entered into solely for the purpose of reincorporating the Company or any Restricted Subsidiary in another jurisdiction, the Company or the Person formed by or surviving any such consolidation or merger (if other than the Company) 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 Incurrence of indebtedness and issuance of preferred stock."</w:t>
      </w:r>
    </w:p>
    <w:p>
      <w:pPr>
        <w:spacing w:after="0" w:line="21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addition, the Company may not, directly or indirectly, lease all or substantially all of its properties or assets, in one or more related transactions, to any other Person. This "Merger, consolidation or sale of assets" covenant will not apply to a sale, assignment, transfer, conveyance or other disposition of assets between or among the Company and any of its Wholly-Owned Restricted Subsidiaries.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TRANSACTIONS WITH AFFILIATES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(each, an "Affiliate Transaction"), unless:</w:t>
      </w:r>
    </w:p>
    <w:p>
      <w:pPr>
        <w:spacing w:after="0" w:line="210" w:lineRule="exact"/>
        <w:rPr>
          <w:sz w:val="20"/>
          <w:szCs w:val="20"/>
          <w:color w:val="auto"/>
        </w:rPr>
      </w:pPr>
    </w:p>
    <w:p>
      <w:pPr>
        <w:ind w:left="740" w:right="1879" w:firstLine="5"/>
        <w:spacing w:after="0" w:line="237" w:lineRule="auto"/>
        <w:tabs>
          <w:tab w:leader="none" w:pos="1161"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Affiliate Transaction is on terms that are no less favorable to the Company or the relevant Restricted Subsidiary than those that would have been obtained in a comparable transaction by the Company or such Restricted Subsidiary with an unrelated Person; and</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delivers to the Trustee:</w:t>
      </w:r>
    </w:p>
    <w:p>
      <w:pPr>
        <w:spacing w:after="0" w:line="206" w:lineRule="exact"/>
        <w:rPr>
          <w:rFonts w:ascii="Courier New" w:cs="Courier New" w:eastAsia="Courier New" w:hAnsi="Courier New"/>
          <w:sz w:val="18"/>
          <w:szCs w:val="18"/>
          <w:color w:val="auto"/>
        </w:rPr>
      </w:pPr>
    </w:p>
    <w:p>
      <w:pPr>
        <w:ind w:left="960" w:right="1999" w:hanging="4"/>
        <w:spacing w:after="0" w:line="237" w:lineRule="auto"/>
        <w:tabs>
          <w:tab w:leader="none" w:pos="1381"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Affiliate Transaction or series of related Affiliate Transactions involving aggregate consideration in excess of $3.0 million, a resolution of the Board of Directors set forth in an Officers' Certificate certifying that such Affiliate Transaction complies with this covenant and that such Affiliate Transaction has been approved by a majority of the disinterested members of the Board of Directors; and</w:t>
      </w:r>
    </w:p>
    <w:p>
      <w:pPr>
        <w:spacing w:after="0" w:line="211" w:lineRule="exact"/>
        <w:rPr>
          <w:rFonts w:ascii="Courier New" w:cs="Courier New" w:eastAsia="Courier New" w:hAnsi="Courier New"/>
          <w:sz w:val="18"/>
          <w:szCs w:val="18"/>
          <w:color w:val="auto"/>
        </w:rPr>
      </w:pPr>
    </w:p>
    <w:p>
      <w:pPr>
        <w:ind w:left="960" w:right="1879" w:hanging="4"/>
        <w:spacing w:after="0" w:line="273" w:lineRule="auto"/>
        <w:tabs>
          <w:tab w:leader="none" w:pos="1381"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Affiliate Transaction or series of related Affiliate Transactions involving aggregate consideration in excess of $10.0 million, an opinion as to the fairness to the Holders of such Affiliate Transaction from a financial point of view issued by an accounting, appraisal or investment banking firm of national standing.</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23" w:right="1440" w:bottom="1440" w:gutter="0" w:footer="0" w:header="0"/>
        </w:sectPr>
      </w:pPr>
    </w:p>
    <w:bookmarkStart w:id="61" w:name="page62"/>
    <w:bookmarkEnd w:id="61"/>
    <w:p>
      <w:pPr>
        <w:ind w:right="2519"/>
        <w:spacing w:after="0" w:line="290" w:lineRule="auto"/>
        <w:rPr>
          <w:sz w:val="20"/>
          <w:szCs w:val="20"/>
          <w:color w:val="auto"/>
        </w:rPr>
      </w:pPr>
      <w:r>
        <w:rPr>
          <w:rFonts w:ascii="Courier New" w:cs="Courier New" w:eastAsia="Courier New" w:hAnsi="Courier New"/>
          <w:sz w:val="16"/>
          <w:szCs w:val="16"/>
          <w:color w:val="auto"/>
        </w:rPr>
        <w:t>The following items shall not be deemed to be Affiliate Transactions and, therefore, will not be subject to the provisions of the prior paragraph:</w:t>
      </w:r>
    </w:p>
    <w:p>
      <w:pPr>
        <w:spacing w:after="0" w:line="170" w:lineRule="exact"/>
        <w:rPr>
          <w:sz w:val="20"/>
          <w:szCs w:val="20"/>
          <w:color w:val="auto"/>
        </w:rPr>
      </w:pPr>
    </w:p>
    <w:p>
      <w:pPr>
        <w:ind w:left="740" w:right="1879" w:firstLine="5"/>
        <w:spacing w:after="0" w:line="237" w:lineRule="auto"/>
        <w:tabs>
          <w:tab w:leader="none" w:pos="1161"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employment, consulting or similar agreement (including any loan, but not any forgiveness thereof) entered into by the Company or any of its Restricted Subsidiaries in the ordinary course of business or any payment of directors' and officers' insurance premiums;</w:t>
      </w:r>
    </w:p>
    <w:p>
      <w:pPr>
        <w:spacing w:after="0" w:line="207" w:lineRule="exact"/>
        <w:rPr>
          <w:rFonts w:ascii="Courier New" w:cs="Courier New" w:eastAsia="Courier New" w:hAnsi="Courier New"/>
          <w:sz w:val="18"/>
          <w:szCs w:val="18"/>
          <w:color w:val="auto"/>
        </w:rPr>
      </w:pPr>
    </w:p>
    <w:p>
      <w:pPr>
        <w:ind w:left="740" w:right="2419" w:firstLine="5"/>
        <w:spacing w:after="0" w:line="235" w:lineRule="auto"/>
        <w:tabs>
          <w:tab w:leader="none" w:pos="1161"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transactions between or among the Company and/or its Restricted Subsidiaries;</w:t>
      </w:r>
    </w:p>
    <w:p>
      <w:pPr>
        <w:spacing w:after="0" w:line="208" w:lineRule="exact"/>
        <w:rPr>
          <w:rFonts w:ascii="Courier New" w:cs="Courier New" w:eastAsia="Courier New" w:hAnsi="Courier New"/>
          <w:sz w:val="18"/>
          <w:szCs w:val="18"/>
          <w:color w:val="auto"/>
        </w:rPr>
      </w:pPr>
    </w:p>
    <w:p>
      <w:pPr>
        <w:ind w:left="740" w:right="1779" w:firstLine="5"/>
        <w:spacing w:after="0" w:line="235" w:lineRule="auto"/>
        <w:tabs>
          <w:tab w:leader="none" w:pos="1161"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reasonable directors fees to Persons who are not otherwise Affiliates of the Company;</w:t>
      </w:r>
    </w:p>
    <w:p>
      <w:pPr>
        <w:spacing w:after="0" w:line="208" w:lineRule="exact"/>
        <w:rPr>
          <w:rFonts w:ascii="Courier New" w:cs="Courier New" w:eastAsia="Courier New" w:hAnsi="Courier New"/>
          <w:sz w:val="18"/>
          <w:szCs w:val="18"/>
          <w:color w:val="auto"/>
        </w:rPr>
      </w:pPr>
    </w:p>
    <w:p>
      <w:pPr>
        <w:ind w:left="740" w:right="1879" w:firstLine="5"/>
        <w:spacing w:after="0" w:line="235" w:lineRule="auto"/>
        <w:tabs>
          <w:tab w:leader="none" w:pos="1161"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on or any repurchases of any shares of any series or class of equity securities of the Company;</w:t>
      </w:r>
    </w:p>
    <w:p>
      <w:pPr>
        <w:spacing w:after="0" w:line="208" w:lineRule="exact"/>
        <w:rPr>
          <w:rFonts w:ascii="Courier New" w:cs="Courier New" w:eastAsia="Courier New" w:hAnsi="Courier New"/>
          <w:sz w:val="18"/>
          <w:szCs w:val="18"/>
          <w:color w:val="auto"/>
        </w:rPr>
      </w:pPr>
    </w:p>
    <w:p>
      <w:pPr>
        <w:ind w:left="740" w:right="2199" w:firstLine="5"/>
        <w:spacing w:after="0" w:line="290" w:lineRule="auto"/>
        <w:tabs>
          <w:tab w:leader="none" w:pos="1161"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Payments that are permitted by the provisions of the Indenture described above under the caption "-- Restricted payments";</w:t>
      </w:r>
    </w:p>
    <w:p>
      <w:pPr>
        <w:spacing w:after="0" w:line="169" w:lineRule="exact"/>
        <w:rPr>
          <w:rFonts w:ascii="Courier New" w:cs="Courier New" w:eastAsia="Courier New" w:hAnsi="Courier New"/>
          <w:sz w:val="16"/>
          <w:szCs w:val="16"/>
          <w:color w:val="auto"/>
        </w:rPr>
      </w:pPr>
    </w:p>
    <w:p>
      <w:pPr>
        <w:ind w:left="740" w:right="1879" w:firstLine="5"/>
        <w:spacing w:after="0" w:line="279" w:lineRule="auto"/>
        <w:tabs>
          <w:tab w:leader="none" w:pos="1161"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merger between or among the Company or any of its Restricted Subsidiaries solely for the purpose of reincorporating the Company or such Restricted Subsidiary in another jurisdiction for tax purposes; and</w:t>
      </w:r>
    </w:p>
    <w:p>
      <w:pPr>
        <w:spacing w:after="0" w:line="178" w:lineRule="exact"/>
        <w:rPr>
          <w:rFonts w:ascii="Courier New" w:cs="Courier New" w:eastAsia="Courier New" w:hAnsi="Courier New"/>
          <w:sz w:val="16"/>
          <w:szCs w:val="16"/>
          <w:color w:val="auto"/>
        </w:rPr>
      </w:pPr>
    </w:p>
    <w:p>
      <w:pPr>
        <w:ind w:left="740" w:right="2939" w:firstLine="5"/>
        <w:spacing w:after="0" w:line="290" w:lineRule="auto"/>
        <w:tabs>
          <w:tab w:leader="none" w:pos="1161"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transactions in connection with a Qualified Securitization Transaction or an industrial revenue bond financing.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SUBSIDIARY GUARANTEES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after the date of the Indenture, the Company or any of its Wholly Owned Domestic Restricted Subsidiaries acquires or creates another Wholly Owned Domestic Restricted Subsidiary or a Significant Domestic Restricted Subsidiary, including any other Domestic Restricted Subsidiary that at any time becomes a Wholly Owned Domestic Restricted Subsidiary or a Significant Domestic Restricted Subsidiary, then that newly acquired or created Wholly Owned Domestic Restricted Subsidiary or Significant Domestic Restricted Subsidiary will, within 10 Business Days of the date on which it was acquired or created, execute a supplemental indenture or other instrument evidencing its Subsidiary Guarantee, in either case in form satisfactory to the Trustee, and deliver an Opinion of Counsel to the Trustee.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 AND LEASEBACK TRANSACTIONS</w:t>
      </w:r>
    </w:p>
    <w:p>
      <w:pPr>
        <w:spacing w:after="0" w:line="207"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The Company will not, and will not permit any of its Restricted Subsidiaries to, enter into any sale and leaseback transaction; provided that the Company and any Restricted Subsidiary may enter into a sale and leaseback transaction if:</w:t>
      </w:r>
    </w:p>
    <w:p>
      <w:pPr>
        <w:spacing w:after="0" w:line="178" w:lineRule="exact"/>
        <w:rPr>
          <w:sz w:val="20"/>
          <w:szCs w:val="20"/>
          <w:color w:val="auto"/>
        </w:rPr>
      </w:pPr>
    </w:p>
    <w:p>
      <w:pPr>
        <w:ind w:left="1160" w:hanging="415"/>
        <w:spacing w:after="0"/>
        <w:tabs>
          <w:tab w:leader="none" w:pos="116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or such Restricted Subsidiary, as applicable, could have</w:t>
      </w:r>
    </w:p>
    <w:p>
      <w:pPr>
        <w:spacing w:after="0" w:line="21" w:lineRule="exact"/>
        <w:rPr>
          <w:rFonts w:ascii="Courier New" w:cs="Courier New" w:eastAsia="Courier New" w:hAnsi="Courier New"/>
          <w:sz w:val="16"/>
          <w:szCs w:val="16"/>
          <w:color w:val="auto"/>
        </w:rPr>
      </w:pPr>
    </w:p>
    <w:p>
      <w:pPr>
        <w:ind w:left="74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incurred Indebtedness in an amount equal to the Attributable Debt relating to such sale and leaseback transaction under the Fixed Charge Coverage Ratio test in the first paragraph of the covenant described above under the caption "-- Incurrence of additional indebtedness and issuance of preferred stock" and (b) incurred a Lien to secure such Indebtedness pursuant to the covenant described above under the caption "-- Liens"; provided that the Lien to secure such Indebtedness does not extend to or cover any assets of the Company or such Restricted Subsidiary other than the assets which are the subject of the sale and leaseback transaction;</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23" w:right="1440" w:bottom="1440" w:gutter="0" w:footer="0" w:header="0"/>
        </w:sectPr>
      </w:pPr>
    </w:p>
    <w:bookmarkStart w:id="62" w:name="page63"/>
    <w:bookmarkEnd w:id="62"/>
    <w:p>
      <w:pPr>
        <w:ind w:left="740" w:right="1779" w:firstLine="5"/>
        <w:spacing w:after="0" w:line="237" w:lineRule="auto"/>
        <w:tabs>
          <w:tab w:leader="none" w:pos="1161"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gross cash proceeds of that sale and leaseback transaction are at least equal to the fair market value, as determined in good faith by the Board of Directors, of the property that is the subject of such sale and leaseback transaction; and</w:t>
      </w:r>
    </w:p>
    <w:p>
      <w:pPr>
        <w:spacing w:after="0" w:line="207" w:lineRule="exact"/>
        <w:rPr>
          <w:rFonts w:ascii="Courier New" w:cs="Courier New" w:eastAsia="Courier New" w:hAnsi="Courier New"/>
          <w:sz w:val="18"/>
          <w:szCs w:val="18"/>
          <w:color w:val="auto"/>
        </w:rPr>
      </w:pPr>
    </w:p>
    <w:p>
      <w:pPr>
        <w:ind w:left="740" w:right="1779" w:firstLine="5"/>
        <w:spacing w:after="0" w:line="237" w:lineRule="auto"/>
        <w:tabs>
          <w:tab w:leader="none" w:pos="1161"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transfer of assets in that sale and leaseback transaction is permitted by, and the Company applies the proceeds of such transaction in compliance with, the covenant described above under the caption "Repurchase at the option of holders -- Asset sales."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PAYMENTS FOR CONSENT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will not, and will not permit any of its Subsidiaries to, directly or indirectly, pay or cause to be paid any consideration to or for the benefit of any Holder of Notes for or as an inducement to any consent, waiver or amendment of any of the terms or provisions of the Indenture or the Notes unless such consideration is offered to be paid and is paid to all Holders of the Notes that consent, waive or agree to amend in the time frame set forth in the solicitation documents relating to such consent, waiver or agreement.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Whether or not required by the Commission, so long as any Notes are outstanding, the Company will furnish to the Holders of Notes, within the time periods specified in the Commission's rules and regulations:</w:t>
      </w:r>
    </w:p>
    <w:p>
      <w:pPr>
        <w:spacing w:after="0" w:line="209" w:lineRule="exact"/>
        <w:rPr>
          <w:sz w:val="20"/>
          <w:szCs w:val="20"/>
          <w:color w:val="auto"/>
        </w:rPr>
      </w:pPr>
    </w:p>
    <w:p>
      <w:pPr>
        <w:ind w:left="740" w:right="1779" w:firstLine="5"/>
        <w:spacing w:after="0" w:line="237" w:lineRule="auto"/>
        <w:tabs>
          <w:tab w:leader="none" w:pos="1161"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quarterly and annual financial information that would be required to be contained in a filing with the Commission on Forms 10-Q and 10-K if the Company were required to file such Forms, including a "Management's Discussion and Analysis of Financial Condition and Results of Operations" and, with respect to the annual information only, a report on the annual financial statements by the Company's certified independent accountants; and</w:t>
      </w:r>
    </w:p>
    <w:p>
      <w:pPr>
        <w:spacing w:after="0" w:line="211" w:lineRule="exact"/>
        <w:rPr>
          <w:rFonts w:ascii="Courier New" w:cs="Courier New" w:eastAsia="Courier New" w:hAnsi="Courier New"/>
          <w:sz w:val="18"/>
          <w:szCs w:val="18"/>
          <w:color w:val="auto"/>
        </w:rPr>
      </w:pPr>
    </w:p>
    <w:p>
      <w:pPr>
        <w:ind w:left="740" w:right="1779" w:firstLine="5"/>
        <w:spacing w:after="0" w:line="290" w:lineRule="auto"/>
        <w:tabs>
          <w:tab w:leader="none" w:pos="1161"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current reports that would be required to be filed with the Commission on Form 8-K if the Company were required to file such reports.</w:t>
      </w:r>
    </w:p>
    <w:p>
      <w:pPr>
        <w:spacing w:after="0" w:line="17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addition, whether or not required by the Commission, the Company will file a copy of all of the information and reports referred to in clauses (1) and (2) above with the Commission for public availability within the time periods specified in the Commission's rules and regulations (unless the Commission will not accept such a filing) and make such information available to securities analysts and prospective investors upon request.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 AND REMEDIES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Each of the following is an Event of Default:</w:t>
      </w:r>
    </w:p>
    <w:p>
      <w:pPr>
        <w:spacing w:after="0" w:line="207" w:lineRule="exact"/>
        <w:rPr>
          <w:sz w:val="20"/>
          <w:szCs w:val="20"/>
          <w:color w:val="auto"/>
        </w:rPr>
      </w:pPr>
    </w:p>
    <w:p>
      <w:pPr>
        <w:ind w:left="740" w:right="1879" w:firstLine="5"/>
        <w:spacing w:after="0" w:line="236" w:lineRule="auto"/>
        <w:tabs>
          <w:tab w:leader="none" w:pos="1161"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for 30 days in the payment when due of interest on, or Liquidated Damages with respect to, the Notes, whether or not prohibited by the subordination provisions of the Indenture;</w:t>
      </w:r>
    </w:p>
    <w:p>
      <w:pPr>
        <w:spacing w:after="0" w:line="208" w:lineRule="exact"/>
        <w:rPr>
          <w:rFonts w:ascii="Courier New" w:cs="Courier New" w:eastAsia="Courier New" w:hAnsi="Courier New"/>
          <w:sz w:val="18"/>
          <w:szCs w:val="18"/>
          <w:color w:val="auto"/>
        </w:rPr>
      </w:pPr>
    </w:p>
    <w:p>
      <w:pPr>
        <w:jc w:val="both"/>
        <w:ind w:left="740" w:right="1999" w:firstLine="5"/>
        <w:spacing w:after="0" w:line="236" w:lineRule="auto"/>
        <w:tabs>
          <w:tab w:leader="none" w:pos="1161"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payment when due of the principal of or premium, if any, on the Notes, whether or not prohibited by the subordination provisions of the Indenture;</w:t>
      </w:r>
    </w:p>
    <w:p>
      <w:pPr>
        <w:spacing w:after="0" w:line="208" w:lineRule="exact"/>
        <w:rPr>
          <w:rFonts w:ascii="Courier New" w:cs="Courier New" w:eastAsia="Courier New" w:hAnsi="Courier New"/>
          <w:sz w:val="18"/>
          <w:szCs w:val="18"/>
          <w:color w:val="auto"/>
        </w:rPr>
      </w:pPr>
    </w:p>
    <w:p>
      <w:pPr>
        <w:ind w:left="740" w:right="1999" w:firstLine="5"/>
        <w:spacing w:after="0" w:line="237" w:lineRule="auto"/>
        <w:tabs>
          <w:tab w:leader="none" w:pos="1161"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by the Company or any of its Subsidiaries for 30 days after notice to comply with the provisions described under the captions "Repurchase at the option of holders -- Change of control," "Repurchase at the option of holders -- Asset sales,"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723" w:right="1440" w:bottom="1440" w:gutter="0" w:footer="0" w:header="0"/>
        </w:sectPr>
      </w:pPr>
    </w:p>
    <w:bookmarkStart w:id="63" w:name="page64"/>
    <w:bookmarkEnd w:id="63"/>
    <w:p>
      <w:pPr>
        <w:ind w:left="740"/>
        <w:spacing w:after="0"/>
        <w:rPr>
          <w:sz w:val="20"/>
          <w:szCs w:val="20"/>
          <w:color w:val="auto"/>
        </w:rPr>
      </w:pPr>
      <w:r>
        <w:rPr>
          <w:rFonts w:ascii="Courier New" w:cs="Courier New" w:eastAsia="Courier New" w:hAnsi="Courier New"/>
          <w:sz w:val="18"/>
          <w:szCs w:val="18"/>
          <w:color w:val="auto"/>
        </w:rPr>
        <w:t>"Certain covenants -- Restricted payments" or "Certain</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covenants -- Incurrence of indebtedness and issuance of preferred stock";</w:t>
      </w:r>
    </w:p>
    <w:p>
      <w:pPr>
        <w:spacing w:after="0" w:line="224" w:lineRule="exact"/>
        <w:rPr>
          <w:sz w:val="20"/>
          <w:szCs w:val="20"/>
          <w:color w:val="auto"/>
        </w:rPr>
      </w:pPr>
    </w:p>
    <w:p>
      <w:pPr>
        <w:ind w:left="740" w:right="1999" w:firstLine="5"/>
        <w:spacing w:after="0" w:line="290" w:lineRule="auto"/>
        <w:tabs>
          <w:tab w:leader="none" w:pos="1161"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by the Company or any of its Subsidiaries for 60 days after notice to comply with any of the other agreements in the Indenture;</w:t>
      </w:r>
    </w:p>
    <w:p>
      <w:pPr>
        <w:spacing w:after="0" w:line="169" w:lineRule="exact"/>
        <w:rPr>
          <w:rFonts w:ascii="Courier New" w:cs="Courier New" w:eastAsia="Courier New" w:hAnsi="Courier New"/>
          <w:sz w:val="16"/>
          <w:szCs w:val="16"/>
          <w:color w:val="auto"/>
        </w:rPr>
      </w:pPr>
    </w:p>
    <w:p>
      <w:pPr>
        <w:ind w:left="740" w:right="1779" w:firstLine="5"/>
        <w:spacing w:after="0" w:line="237" w:lineRule="auto"/>
        <w:tabs>
          <w:tab w:leader="none" w:pos="1161"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under any mortgage, indenture or instrument under which there may be issued or by which there may be secured or evidenced any Indebtedness for money borrowed by the Company or any of its Restricted Subsidiaries (or the payment of which is guaranteed by the Company or any of its Restricted Subsidiaries) whether such Indebtedness or guarantee now exists, or is created after the date of the Indenture, if that default:</w:t>
      </w:r>
    </w:p>
    <w:p>
      <w:pPr>
        <w:spacing w:after="0" w:line="211" w:lineRule="exact"/>
        <w:rPr>
          <w:rFonts w:ascii="Courier New" w:cs="Courier New" w:eastAsia="Courier New" w:hAnsi="Courier New"/>
          <w:sz w:val="18"/>
          <w:szCs w:val="18"/>
          <w:color w:val="auto"/>
        </w:rPr>
      </w:pPr>
    </w:p>
    <w:p>
      <w:pPr>
        <w:ind w:left="960" w:right="1999" w:hanging="4"/>
        <w:spacing w:after="0" w:line="237" w:lineRule="auto"/>
        <w:tabs>
          <w:tab w:leader="none" w:pos="1381"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caused by a failure to pay principal of or premium, if any, or interest on such Indebtedness prior to the expiration of the grace period provided in such Indebtedness on the date of such default (a "Payment Default"); or</w:t>
      </w:r>
    </w:p>
    <w:p>
      <w:pPr>
        <w:spacing w:after="0" w:line="207" w:lineRule="exact"/>
        <w:rPr>
          <w:rFonts w:ascii="Courier New" w:cs="Courier New" w:eastAsia="Courier New" w:hAnsi="Courier New"/>
          <w:sz w:val="18"/>
          <w:szCs w:val="18"/>
          <w:color w:val="auto"/>
        </w:rPr>
      </w:pPr>
    </w:p>
    <w:p>
      <w:pPr>
        <w:ind w:left="960" w:right="2419" w:hanging="4"/>
        <w:spacing w:after="0" w:line="235" w:lineRule="auto"/>
        <w:tabs>
          <w:tab w:leader="none" w:pos="1381"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results in the acceleration of such Indebtedness prior to its express maturity,</w:t>
      </w:r>
    </w:p>
    <w:p>
      <w:pPr>
        <w:spacing w:after="0" w:line="208"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and, in each case, the principal amount of any such Indebtedness, together with the principal amount of any other such Indebtedness under which there has been a Payment Default or the maturity of which has been so accelerated, aggregates $10.0 million or more;</w:t>
      </w:r>
    </w:p>
    <w:p>
      <w:pPr>
        <w:spacing w:after="0" w:line="207" w:lineRule="exact"/>
        <w:rPr>
          <w:sz w:val="20"/>
          <w:szCs w:val="20"/>
          <w:color w:val="auto"/>
        </w:rPr>
      </w:pPr>
    </w:p>
    <w:p>
      <w:pPr>
        <w:ind w:left="740" w:right="1779" w:firstLine="5"/>
        <w:spacing w:after="0" w:line="236" w:lineRule="auto"/>
        <w:tabs>
          <w:tab w:leader="none" w:pos="1161"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by the Company or any of its Subsidiaries to pay final judgments aggregating in excess of $10.0 million, which judgments are not paid, discharged or stayed for a period of 60 days;</w:t>
      </w:r>
    </w:p>
    <w:p>
      <w:pPr>
        <w:spacing w:after="0" w:line="208" w:lineRule="exact"/>
        <w:rPr>
          <w:rFonts w:ascii="Courier New" w:cs="Courier New" w:eastAsia="Courier New" w:hAnsi="Courier New"/>
          <w:sz w:val="18"/>
          <w:szCs w:val="18"/>
          <w:color w:val="auto"/>
        </w:rPr>
      </w:pPr>
    </w:p>
    <w:p>
      <w:pPr>
        <w:ind w:left="740" w:right="1879" w:firstLine="5"/>
        <w:spacing w:after="0" w:line="237" w:lineRule="auto"/>
        <w:tabs>
          <w:tab w:leader="none" w:pos="1161"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permitted by the Indenture, any Subsidiary Guarantee(s) of any Guarantor that is a Significant Subsidiary or of any group of Guarantors that collectively would constitute a Significant Subsidiary shall be held in any judicial proceeding to be unenforceable or invalid or shall cease for any reason to be in full force and effect or any Guarantor that is a Significant Subsidiary or any group of Guarantors that collectively would constitute a Significant Subsidiary, or any Person acting on behalf of any such Guarantor or group of Guarantors, shall deny or disaffirm the obligations of each such Guarantor under its Subsidiary Guarantee; and</w:t>
      </w:r>
    </w:p>
    <w:p>
      <w:pPr>
        <w:spacing w:after="0" w:line="214" w:lineRule="exact"/>
        <w:rPr>
          <w:rFonts w:ascii="Courier New" w:cs="Courier New" w:eastAsia="Courier New" w:hAnsi="Courier New"/>
          <w:sz w:val="18"/>
          <w:szCs w:val="18"/>
          <w:color w:val="auto"/>
        </w:rPr>
      </w:pPr>
    </w:p>
    <w:p>
      <w:pPr>
        <w:ind w:left="740" w:right="2519" w:firstLine="5"/>
        <w:spacing w:after="0" w:line="235" w:lineRule="auto"/>
        <w:tabs>
          <w:tab w:leader="none" w:pos="1161"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events of bankruptcy or insolvency with respect to the Company or any of its Significant Subsidiaries.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case of an Event of Default arising from certain events of bankruptcy or insolvency, with respect to the Company, any Subsidiary that is a Significant Subsidiary or any group of Subsidiaries that, taken together, would constitute a Significant Subsidiary, all outstanding Notes will become due and payable immediately without further action or notice. If any other Event of Default occurs and is continuing, the Trustee or the Holders of at least 25% in principal amount of the then outstanding Notes may declare all the Notes to be due and payable immediately.</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Holders of the Notes may not enforce the Indenture or the Notes except as provided in the Indenture. Subject to certain limitations, Holders of a majority in principal amount of the then outstanding Notes may direct the Trustee in its exercise of any trust or power. The Trustee may withhold from Holders of the Notes notice of any continuing Default or Event of Default (except a Default or Event of Default relating to the payment of principal or interest) if it determines that withholding notice is in their interest.</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17" w:right="1440" w:bottom="1440" w:gutter="0" w:footer="0" w:header="0"/>
        </w:sectPr>
      </w:pPr>
    </w:p>
    <w:bookmarkStart w:id="64" w:name="page65"/>
    <w:bookmarkEnd w:id="64"/>
    <w:p>
      <w:pPr>
        <w:ind w:right="1879"/>
        <w:spacing w:after="0" w:line="237" w:lineRule="auto"/>
        <w:rPr>
          <w:sz w:val="20"/>
          <w:szCs w:val="20"/>
          <w:color w:val="auto"/>
        </w:rPr>
      </w:pPr>
      <w:r>
        <w:rPr>
          <w:rFonts w:ascii="Courier New" w:cs="Courier New" w:eastAsia="Courier New" w:hAnsi="Courier New"/>
          <w:sz w:val="18"/>
          <w:szCs w:val="18"/>
          <w:color w:val="auto"/>
        </w:rPr>
        <w:t>The Holders of a majority in aggregate principal amount of the Notes then outstanding by notice to the Trustee may on behalf of the Holders of all of the Notes waive any existing Default or Event of Default and its consequences under the Indenture except a continuing Default or Event of Default in the payment of interest, or the principal of, premium and Liquidated Damages, if any, on the Notes.</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the case of any Event of Default occurring by reason of any willful action or inaction taken or not taken by or on behalf of the Company with the intention of avoiding payment of the premium that the Company would have had to pay if the Company then had elected to redeem the Notes pursuant to the optional redemption provisions of the Indenture, an equivalent premium shall also become and be immediately due and payable to the extent permitted by law upon the acceleration of the Notes. If an Event of Default occurs prior to January 15, 2004, by reason of any willful action (or inaction) taken (or not taken) by or on behalf of the Company with the intention of avoiding the prohibition on redemption of the Notes prior to January 15, 2004, then the premium specified in the Indenture shall also become immediately due and payable to the extent permitted by law upon the acceleration of the Notes.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is required to deliver to the Trustee annually a statement regarding compliance with the Indenture. Upon becoming aware of any Default or Event of Default, the Company is required to deliver to the Trustee a statement specifying such Default or Event of Default.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PERSONAL LIABILITY OF DIRECTORS, OFFICERS, EMPLOYEES AND STOCKHOLDERS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No director, officer, employee, incorporator or stockholder of the Company or any Guarantor, as such, shall have any liability for any obligations of the Company or the Guarantors under the Notes, the Indenture, the Subsidiary Guarantees, the Registration Rights Agreement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DEFEASANCE AND COVENANT DEFEASANCE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may, at its option and at any time, elect to have all of its obligations discharged with respect to the outstanding Notes and all obligations of the Guarantors discharged with respect to their Subsidiary Guarantees ("Legal Defeasance") except for:</w:t>
      </w:r>
    </w:p>
    <w:p>
      <w:pPr>
        <w:spacing w:after="0" w:line="202" w:lineRule="exact"/>
        <w:rPr>
          <w:sz w:val="20"/>
          <w:szCs w:val="20"/>
          <w:color w:val="auto"/>
        </w:rPr>
      </w:pPr>
    </w:p>
    <w:p>
      <w:pPr>
        <w:ind w:left="1160" w:hanging="415"/>
        <w:spacing w:after="0"/>
        <w:tabs>
          <w:tab w:leader="none" w:pos="11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 Holders of outstanding Notes to receive payments in</w:t>
      </w:r>
    </w:p>
    <w:p>
      <w:pPr>
        <w:spacing w:after="0" w:line="4" w:lineRule="exact"/>
        <w:rPr>
          <w:rFonts w:ascii="Courier New" w:cs="Courier New" w:eastAsia="Courier New" w:hAnsi="Courier New"/>
          <w:sz w:val="18"/>
          <w:szCs w:val="18"/>
          <w:color w:val="auto"/>
        </w:rPr>
      </w:pPr>
    </w:p>
    <w:p>
      <w:pPr>
        <w:ind w:left="7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respect of the principal of, premium, if any, and interest and Liquidated Damages, if any, on such Notes when such payments are due from the trust referred to below;</w:t>
      </w:r>
    </w:p>
    <w:p>
      <w:pPr>
        <w:spacing w:after="0" w:line="208" w:lineRule="exact"/>
        <w:rPr>
          <w:rFonts w:ascii="Courier New" w:cs="Courier New" w:eastAsia="Courier New" w:hAnsi="Courier New"/>
          <w:sz w:val="18"/>
          <w:szCs w:val="18"/>
          <w:color w:val="auto"/>
        </w:rPr>
      </w:pPr>
    </w:p>
    <w:p>
      <w:pPr>
        <w:ind w:left="740" w:right="2199" w:firstLine="5"/>
        <w:spacing w:after="0" w:line="237" w:lineRule="auto"/>
        <w:tabs>
          <w:tab w:leader="none" w:pos="1161"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obligations with respect to the Notes concerning issuing temporary Notes, registration of Notes, mutilated, destroyed, lost or stolen Notes and the maintenance of an office or agency for payment and money for security payments held in trust;</w:t>
      </w:r>
    </w:p>
    <w:p>
      <w:pPr>
        <w:spacing w:after="0" w:line="207" w:lineRule="exact"/>
        <w:rPr>
          <w:rFonts w:ascii="Courier New" w:cs="Courier New" w:eastAsia="Courier New" w:hAnsi="Courier New"/>
          <w:sz w:val="18"/>
          <w:szCs w:val="18"/>
          <w:color w:val="auto"/>
        </w:rPr>
      </w:pPr>
    </w:p>
    <w:p>
      <w:pPr>
        <w:ind w:left="740" w:right="1779" w:firstLine="5"/>
        <w:spacing w:after="0" w:line="235" w:lineRule="auto"/>
        <w:tabs>
          <w:tab w:leader="none" w:pos="1161"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powers, trusts, duties and immunities of the Trustee, and the Company's obligations in connection therewith; and</w:t>
      </w:r>
    </w:p>
    <w:p>
      <w:pPr>
        <w:spacing w:after="0" w:line="202"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Legal Defeasance provisions of the Indenture.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723" w:right="1440" w:bottom="1440" w:gutter="0" w:footer="0" w:header="0"/>
        </w:sectPr>
      </w:pPr>
    </w:p>
    <w:bookmarkStart w:id="65" w:name="page66"/>
    <w:bookmarkEnd w:id="65"/>
    <w:p>
      <w:pPr>
        <w:ind w:right="1999"/>
        <w:spacing w:after="0" w:line="237" w:lineRule="auto"/>
        <w:rPr>
          <w:sz w:val="20"/>
          <w:szCs w:val="20"/>
          <w:color w:val="auto"/>
        </w:rPr>
      </w:pPr>
      <w:r>
        <w:rPr>
          <w:rFonts w:ascii="Courier New" w:cs="Courier New" w:eastAsia="Courier New" w:hAnsi="Courier New"/>
          <w:sz w:val="18"/>
          <w:szCs w:val="18"/>
          <w:color w:val="auto"/>
        </w:rPr>
        <w:t>In addition, the Company may, at its option and at any time, elect to have the obligations of the Company and the Guarantors released with respect to certain covenants that are described in the Indenture ("Covenant Defeasance") and thereafter any omission to comply with those covenants shall not constitute a Default or Event of Default with respect to the Notes. In the event Covenant Defeasance occurs, certain events (not including non-payment, bankruptcy, receivership, rehabilitation and insolvency events) described under "Events of Default" will no longer constitute an Event of Default with respect to the Notes.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order to exercise either Legal Defeasance or Covenant Defeasance:</w:t>
      </w:r>
    </w:p>
    <w:p>
      <w:pPr>
        <w:spacing w:after="0" w:line="207" w:lineRule="exact"/>
        <w:rPr>
          <w:sz w:val="20"/>
          <w:szCs w:val="20"/>
          <w:color w:val="auto"/>
        </w:rPr>
      </w:pPr>
    </w:p>
    <w:p>
      <w:pPr>
        <w:ind w:left="740" w:right="1779" w:firstLine="5"/>
        <w:spacing w:after="0" w:line="271" w:lineRule="auto"/>
        <w:tabs>
          <w:tab w:leader="none" w:pos="1161"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must irrevocably deposit with the Trustee, in trust, for the benefit of the Holders of the Notes, cash in U.S. dollars, non-callable Government Securities, or a combination thereof, in such amounts as will be sufficient, in the opinion of a nationally recognized firm of independent public accountants, to pay the principal of, premium, if any, and interest and Liquidated Damages, if any, on the outstanding Notes on the stated maturity or on the applicable redemption date, as the case may be, and the Company must specify whether the Notes are being defeased to maturity or to a particular redemption date;</w:t>
      </w:r>
    </w:p>
    <w:p>
      <w:pPr>
        <w:spacing w:after="0" w:line="183" w:lineRule="exact"/>
        <w:rPr>
          <w:rFonts w:ascii="Courier New" w:cs="Courier New" w:eastAsia="Courier New" w:hAnsi="Courier New"/>
          <w:sz w:val="16"/>
          <w:szCs w:val="16"/>
          <w:color w:val="auto"/>
        </w:rPr>
      </w:pPr>
    </w:p>
    <w:p>
      <w:pPr>
        <w:ind w:left="740" w:right="1779" w:firstLine="5"/>
        <w:spacing w:after="0" w:line="238" w:lineRule="auto"/>
        <w:tabs>
          <w:tab w:leader="none" w:pos="1161"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Legal Defeasance, the Company shall have delivered to the Trustee an Opinion of Counsel reasonably acceptable to the Trustee confirming that (a) the Company has received from, or there has been published by, the Internal Revenue Service a ruling or (b) since the date of the Indenture, there has been a change in the applicable federal income tax law, 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207" w:lineRule="exact"/>
        <w:rPr>
          <w:rFonts w:ascii="Courier New" w:cs="Courier New" w:eastAsia="Courier New" w:hAnsi="Courier New"/>
          <w:sz w:val="18"/>
          <w:szCs w:val="18"/>
          <w:color w:val="auto"/>
        </w:rPr>
      </w:pPr>
    </w:p>
    <w:p>
      <w:pPr>
        <w:ind w:left="740" w:right="1779" w:firstLine="5"/>
        <w:spacing w:after="0" w:line="271" w:lineRule="auto"/>
        <w:tabs>
          <w:tab w:leader="none" w:pos="1161"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Covenant Defeasance, the Company shall have delivered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7" w:lineRule="exact"/>
        <w:rPr>
          <w:rFonts w:ascii="Courier New" w:cs="Courier New" w:eastAsia="Courier New" w:hAnsi="Courier New"/>
          <w:sz w:val="16"/>
          <w:szCs w:val="16"/>
          <w:color w:val="auto"/>
        </w:rPr>
      </w:pPr>
    </w:p>
    <w:p>
      <w:pPr>
        <w:ind w:left="740" w:right="1779" w:firstLine="5"/>
        <w:spacing w:after="0" w:line="237" w:lineRule="auto"/>
        <w:tabs>
          <w:tab w:leader="none" w:pos="1161"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or Event of Default shall have occurred and be continuing either: (a) on the date of such deposit (other than a Default or Event of Default resulting from the borrowing of funds to be applied to such deposit); or (b) or insofar as Events of Default from bankruptcy or insolvency events are concerned, at any time in the period ending on the 91st day after the date of deposit;</w:t>
      </w:r>
    </w:p>
    <w:p>
      <w:pPr>
        <w:spacing w:after="0" w:line="209" w:lineRule="exact"/>
        <w:rPr>
          <w:rFonts w:ascii="Courier New" w:cs="Courier New" w:eastAsia="Courier New" w:hAnsi="Courier New"/>
          <w:sz w:val="18"/>
          <w:szCs w:val="18"/>
          <w:color w:val="auto"/>
        </w:rPr>
      </w:pPr>
    </w:p>
    <w:p>
      <w:pPr>
        <w:ind w:left="740" w:right="1999" w:firstLine="5"/>
        <w:spacing w:after="0" w:line="237" w:lineRule="auto"/>
        <w:tabs>
          <w:tab w:leader="none" w:pos="1161"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Legal Defeasance or Covenant Defeasance will not result in a breach or violation of, or constitute a default under any material agreement or instrument (other than the Indenture) to which the Company or any of its Subsidiaries is a party or by which the Company or any of its Subsidiaries is bound;</w:t>
      </w:r>
    </w:p>
    <w:p>
      <w:pPr>
        <w:spacing w:after="0" w:line="208" w:lineRule="exact"/>
        <w:rPr>
          <w:rFonts w:ascii="Courier New" w:cs="Courier New" w:eastAsia="Courier New" w:hAnsi="Courier New"/>
          <w:sz w:val="18"/>
          <w:szCs w:val="18"/>
          <w:color w:val="auto"/>
        </w:rPr>
      </w:pPr>
    </w:p>
    <w:p>
      <w:pPr>
        <w:ind w:left="740" w:right="1879" w:firstLine="5"/>
        <w:spacing w:after="0" w:line="237" w:lineRule="auto"/>
        <w:tabs>
          <w:tab w:leader="none" w:pos="1161"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must have delivered to the Trustee an Opinion of Counsel to the effect that after the 91st day following the deposit, the trust funds will not be subject to the effect of any applicable bankruptcy, insolvency, reorganization or similar laws affecting creditors' rights generally;</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723" w:right="1440" w:bottom="1440" w:gutter="0" w:footer="0" w:header="0"/>
        </w:sectPr>
      </w:pPr>
    </w:p>
    <w:bookmarkStart w:id="66" w:name="page67"/>
    <w:bookmarkEnd w:id="66"/>
    <w:p>
      <w:pPr>
        <w:ind w:left="740" w:right="1779" w:firstLine="5"/>
        <w:spacing w:after="0" w:line="237" w:lineRule="auto"/>
        <w:tabs>
          <w:tab w:leader="none" w:pos="1161"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must deliver to the Trustee an Officers' Certificate stating that the deposit was not made by the Company with the intent of preferring the Holders of Notes over the other creditors of the Company with the intent of defeating, hindering, delaying or defrauding creditors of the Company or others; and</w:t>
      </w:r>
    </w:p>
    <w:p>
      <w:pPr>
        <w:spacing w:after="0" w:line="208" w:lineRule="exact"/>
        <w:rPr>
          <w:rFonts w:ascii="Courier New" w:cs="Courier New" w:eastAsia="Courier New" w:hAnsi="Courier New"/>
          <w:sz w:val="18"/>
          <w:szCs w:val="18"/>
          <w:color w:val="auto"/>
        </w:rPr>
      </w:pPr>
    </w:p>
    <w:p>
      <w:pPr>
        <w:ind w:left="740" w:right="1879" w:firstLine="5"/>
        <w:spacing w:after="0" w:line="237" w:lineRule="auto"/>
        <w:tabs>
          <w:tab w:leader="none" w:pos="1161"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must deliver to the Trustee an Officers' Certificate and an Opinion of Counsel, each stating that all conditions precedent relating to the Legal Defeasance or the Covenant Defeasance have been complied with.</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SUPPLEMENT AND WAIVER</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Without the consent of each Holder affected, an amendment or waiver may not (with respect to any Notes held by a non-consenting Holder):</w:t>
      </w:r>
    </w:p>
    <w:p>
      <w:pPr>
        <w:spacing w:after="0" w:line="208" w:lineRule="exact"/>
        <w:rPr>
          <w:sz w:val="20"/>
          <w:szCs w:val="20"/>
          <w:color w:val="auto"/>
        </w:rPr>
      </w:pPr>
    </w:p>
    <w:p>
      <w:pPr>
        <w:ind w:left="740" w:right="1779" w:firstLine="5"/>
        <w:spacing w:after="0" w:line="235" w:lineRule="auto"/>
        <w:tabs>
          <w:tab w:leader="none" w:pos="1161"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Notes whose Holders must consent to an amendment, supplement or waiver;</w:t>
      </w:r>
    </w:p>
    <w:p>
      <w:pPr>
        <w:spacing w:after="0" w:line="208" w:lineRule="exact"/>
        <w:rPr>
          <w:rFonts w:ascii="Courier New" w:cs="Courier New" w:eastAsia="Courier New" w:hAnsi="Courier New"/>
          <w:sz w:val="18"/>
          <w:szCs w:val="18"/>
          <w:color w:val="auto"/>
        </w:rPr>
      </w:pPr>
    </w:p>
    <w:p>
      <w:pPr>
        <w:jc w:val="both"/>
        <w:ind w:left="740" w:right="1999" w:firstLine="5"/>
        <w:spacing w:after="0" w:line="237" w:lineRule="auto"/>
        <w:tabs>
          <w:tab w:leader="none" w:pos="1161"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of or change the fixed maturity of any Note or alter the provisions with respect to the redemption of the Notes (other than provisions relating to the covenants described above under the caption "Repurchase at the option of holders");</w:t>
      </w:r>
    </w:p>
    <w:p>
      <w:pPr>
        <w:spacing w:after="0" w:line="207" w:lineRule="exact"/>
        <w:rPr>
          <w:rFonts w:ascii="Courier New" w:cs="Courier New" w:eastAsia="Courier New" w:hAnsi="Courier New"/>
          <w:sz w:val="18"/>
          <w:szCs w:val="18"/>
          <w:color w:val="auto"/>
        </w:rPr>
      </w:pPr>
    </w:p>
    <w:p>
      <w:pPr>
        <w:ind w:left="740" w:right="1879" w:firstLine="5"/>
        <w:spacing w:after="0" w:line="235" w:lineRule="auto"/>
        <w:tabs>
          <w:tab w:leader="none" w:pos="1161"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rate of or change the time for payment of interest on any Note;</w:t>
      </w:r>
    </w:p>
    <w:p>
      <w:pPr>
        <w:spacing w:after="0" w:line="208" w:lineRule="exact"/>
        <w:rPr>
          <w:rFonts w:ascii="Courier New" w:cs="Courier New" w:eastAsia="Courier New" w:hAnsi="Courier New"/>
          <w:sz w:val="18"/>
          <w:szCs w:val="18"/>
          <w:color w:val="auto"/>
        </w:rPr>
      </w:pPr>
    </w:p>
    <w:p>
      <w:pPr>
        <w:ind w:left="740" w:right="1779" w:firstLine="5"/>
        <w:spacing w:after="0" w:line="237" w:lineRule="auto"/>
        <w:tabs>
          <w:tab w:leader="none" w:pos="1161"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 a Default or Event of Default in the payment of principal of or premium, if any, or interest on the Notes (except a rescission of acceleration of the Notes by the Holders of at least a majority in aggregate principal amount of the Notes and a waiver of the payment default that resulted from such acceleration);</w:t>
      </w:r>
    </w:p>
    <w:p>
      <w:pPr>
        <w:spacing w:after="0" w:line="203"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Note payable in money other than that stated in the Notes;</w:t>
      </w:r>
    </w:p>
    <w:p>
      <w:pPr>
        <w:spacing w:after="0" w:line="206" w:lineRule="exact"/>
        <w:rPr>
          <w:rFonts w:ascii="Courier New" w:cs="Courier New" w:eastAsia="Courier New" w:hAnsi="Courier New"/>
          <w:sz w:val="18"/>
          <w:szCs w:val="18"/>
          <w:color w:val="auto"/>
        </w:rPr>
      </w:pPr>
    </w:p>
    <w:p>
      <w:pPr>
        <w:ind w:left="740" w:right="2099" w:firstLine="5"/>
        <w:spacing w:after="0" w:line="279" w:lineRule="auto"/>
        <w:tabs>
          <w:tab w:leader="none" w:pos="1161"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change in the provisions of the Indenture relating to waivers of past Defaults or the rights of Holders of Notes to receive payments of principal of or premium, if any, or interest on the Notes;</w:t>
      </w:r>
    </w:p>
    <w:p>
      <w:pPr>
        <w:spacing w:after="0" w:line="178" w:lineRule="exact"/>
        <w:rPr>
          <w:rFonts w:ascii="Courier New" w:cs="Courier New" w:eastAsia="Courier New" w:hAnsi="Courier New"/>
          <w:sz w:val="16"/>
          <w:szCs w:val="16"/>
          <w:color w:val="auto"/>
        </w:rPr>
      </w:pPr>
    </w:p>
    <w:p>
      <w:pPr>
        <w:ind w:left="740" w:right="2199" w:firstLine="5"/>
        <w:spacing w:after="0" w:line="236" w:lineRule="auto"/>
        <w:tabs>
          <w:tab w:leader="none" w:pos="1161"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 a redemption payment with respect to any Note (other than a payment required by one of the covenants described above under the caption "Repurchase at the option of holders"); or</w:t>
      </w:r>
    </w:p>
    <w:p>
      <w:pPr>
        <w:spacing w:after="0" w:line="208" w:lineRule="exact"/>
        <w:rPr>
          <w:rFonts w:ascii="Courier New" w:cs="Courier New" w:eastAsia="Courier New" w:hAnsi="Courier New"/>
          <w:sz w:val="18"/>
          <w:szCs w:val="18"/>
          <w:color w:val="auto"/>
        </w:rPr>
      </w:pPr>
    </w:p>
    <w:p>
      <w:pPr>
        <w:ind w:left="740" w:right="2199" w:firstLine="5"/>
        <w:spacing w:after="0" w:line="235" w:lineRule="auto"/>
        <w:tabs>
          <w:tab w:leader="none" w:pos="1161"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change in the preceding amendment and waiver provisions, except as set forth below.</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addition, any amendment to, or waiver of, the provisions of the Indenture relating to subordination that adversely affect the rights of the Holders of the Notes will require the consent of the Holders of at least 75% in aggregate principal amount of Notes then outstanding.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Notwithstanding the preceding, without the consent of any Holder of Notes, the</w:t>
      </w:r>
    </w:p>
    <w:p>
      <w:pPr>
        <w:spacing w:after="0" w:line="238" w:lineRule="auto"/>
        <w:rPr>
          <w:sz w:val="20"/>
          <w:szCs w:val="20"/>
          <w:color w:val="auto"/>
        </w:rPr>
      </w:pPr>
      <w:r>
        <w:rPr>
          <w:rFonts w:ascii="Courier New" w:cs="Courier New" w:eastAsia="Courier New" w:hAnsi="Courier New"/>
          <w:sz w:val="18"/>
          <w:szCs w:val="18"/>
          <w:color w:val="auto"/>
        </w:rPr>
        <w:t>Company and the Trustee may amend or supplement the Indenture or the Notes:</w:t>
      </w:r>
    </w:p>
    <w:p>
      <w:pPr>
        <w:spacing w:after="0" w:line="202" w:lineRule="exact"/>
        <w:rPr>
          <w:sz w:val="20"/>
          <w:szCs w:val="20"/>
          <w:color w:val="auto"/>
        </w:rPr>
      </w:pPr>
    </w:p>
    <w:p>
      <w:pPr>
        <w:ind w:left="1160" w:hanging="415"/>
        <w:spacing w:after="0"/>
        <w:tabs>
          <w:tab w:leader="none" w:pos="116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cure any ambiguity, defect or inconsistency;</w:t>
      </w:r>
    </w:p>
    <w:p>
      <w:pPr>
        <w:spacing w:after="0" w:line="206" w:lineRule="exact"/>
        <w:rPr>
          <w:rFonts w:ascii="Courier New" w:cs="Courier New" w:eastAsia="Courier New" w:hAnsi="Courier New"/>
          <w:sz w:val="18"/>
          <w:szCs w:val="18"/>
          <w:color w:val="auto"/>
        </w:rPr>
      </w:pPr>
    </w:p>
    <w:p>
      <w:pPr>
        <w:ind w:left="740" w:right="2199" w:firstLine="5"/>
        <w:spacing w:after="0" w:line="235" w:lineRule="auto"/>
        <w:tabs>
          <w:tab w:leader="none" w:pos="1161"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for uncertificated Notes in addition to or in place of certificated Notes;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219"/>
          </w:cols>
          <w:pgMar w:left="240" w:top="723" w:right="1440" w:bottom="1440" w:gutter="0" w:footer="0" w:header="0"/>
        </w:sectPr>
      </w:pPr>
    </w:p>
    <w:bookmarkStart w:id="67" w:name="page68"/>
    <w:bookmarkEnd w:id="67"/>
    <w:p>
      <w:pPr>
        <w:ind w:left="740" w:right="1779" w:firstLine="5"/>
        <w:spacing w:after="0" w:line="236" w:lineRule="auto"/>
        <w:tabs>
          <w:tab w:leader="none" w:pos="1161"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for the assumption of the Company's obligations to Holders of Notes in the case of a merger or consolidation or sale of all or substantially all of the Company's assets;</w:t>
      </w:r>
    </w:p>
    <w:p>
      <w:pPr>
        <w:spacing w:after="0" w:line="203"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any change that would provide any additional rights or</w:t>
      </w:r>
    </w:p>
    <w:p>
      <w:pPr>
        <w:spacing w:after="0" w:line="4" w:lineRule="exact"/>
        <w:rPr>
          <w:rFonts w:ascii="Courier New" w:cs="Courier New" w:eastAsia="Courier New" w:hAnsi="Courier New"/>
          <w:sz w:val="18"/>
          <w:szCs w:val="18"/>
          <w:color w:val="auto"/>
        </w:rPr>
      </w:pPr>
    </w:p>
    <w:p>
      <w:pPr>
        <w:ind w:left="74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benefits to the Holders of Notes or that does not adversely affect the legal rights under the Indenture of any such Holder;</w:t>
      </w:r>
    </w:p>
    <w:p>
      <w:pPr>
        <w:spacing w:after="0" w:line="202"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add any Person as a Guarantor; and</w:t>
      </w:r>
    </w:p>
    <w:p>
      <w:pPr>
        <w:spacing w:after="0" w:line="206" w:lineRule="exact"/>
        <w:rPr>
          <w:rFonts w:ascii="Courier New" w:cs="Courier New" w:eastAsia="Courier New" w:hAnsi="Courier New"/>
          <w:sz w:val="18"/>
          <w:szCs w:val="18"/>
          <w:color w:val="auto"/>
        </w:rPr>
      </w:pPr>
    </w:p>
    <w:p>
      <w:pPr>
        <w:ind w:left="740" w:right="1999" w:firstLine="5"/>
        <w:spacing w:after="0" w:line="236" w:lineRule="auto"/>
        <w:tabs>
          <w:tab w:leader="none" w:pos="1161"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comply with requirements of the Commission in order to effect or maintain the qualification of the Indenture under the Trust Indenture Act.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CONCERNING THE TRUSTEE</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If the Trustee becomes a creditor of the Company or any Guarantor, the Indenture limits its right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Commission for permission to continue or resign.</w:t>
      </w:r>
    </w:p>
    <w:p>
      <w:pPr>
        <w:spacing w:after="0" w:line="186"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Holders of a majority in principal amount of the then outstanding Notes will have the right to direct the time, method and place of conducting any proceeding for exercising any remedy available to the Trustee, subject to certain exceptions. The Indenture provides that in case an Event of Default shall occur and be continuing, the Trustee will be required, in the exercise of its power, to use the degree of care of a prudent man in the conduct of his own affairs. Subject to such provisions, the Trustee will be under no obligation to exercise any of its rights or powers under the Indenture at the request of any Holder of Notes, unless such Holder shall have offered to the Trustee security and indemnity satisfactory to it against any loss, liability or expense.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DEFINITIONS</w:t>
      </w:r>
    </w:p>
    <w:p>
      <w:pPr>
        <w:spacing w:after="0" w:line="207" w:lineRule="exact"/>
        <w:rPr>
          <w:sz w:val="20"/>
          <w:szCs w:val="20"/>
          <w:color w:val="auto"/>
        </w:rPr>
      </w:pPr>
    </w:p>
    <w:p>
      <w:pPr>
        <w:jc w:val="both"/>
        <w:ind w:right="2099"/>
        <w:spacing w:after="0" w:line="279" w:lineRule="auto"/>
        <w:rPr>
          <w:sz w:val="20"/>
          <w:szCs w:val="20"/>
          <w:color w:val="auto"/>
        </w:rPr>
      </w:pPr>
      <w:r>
        <w:rPr>
          <w:rFonts w:ascii="Courier New" w:cs="Courier New" w:eastAsia="Courier New" w:hAnsi="Courier New"/>
          <w:sz w:val="16"/>
          <w:szCs w:val="16"/>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"ACQUIRED DEBT" means, with respect to any specified Person:</w:t>
      </w:r>
    </w:p>
    <w:p>
      <w:pPr>
        <w:spacing w:after="0" w:line="207" w:lineRule="exact"/>
        <w:rPr>
          <w:sz w:val="20"/>
          <w:szCs w:val="20"/>
          <w:color w:val="auto"/>
        </w:rPr>
      </w:pPr>
    </w:p>
    <w:p>
      <w:pPr>
        <w:ind w:left="740" w:right="1879" w:firstLine="5"/>
        <w:spacing w:after="0" w:line="237" w:lineRule="auto"/>
        <w:tabs>
          <w:tab w:leader="none" w:pos="1161"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w:t>
      </w:r>
    </w:p>
    <w:p>
      <w:pPr>
        <w:spacing w:after="0" w:line="208" w:lineRule="exact"/>
        <w:rPr>
          <w:rFonts w:ascii="Courier New" w:cs="Courier New" w:eastAsia="Courier New" w:hAnsi="Courier New"/>
          <w:sz w:val="18"/>
          <w:szCs w:val="18"/>
          <w:color w:val="auto"/>
        </w:rPr>
      </w:pPr>
    </w:p>
    <w:p>
      <w:pPr>
        <w:ind w:left="740" w:right="1779" w:firstLine="5"/>
        <w:spacing w:after="0" w:line="235" w:lineRule="auto"/>
        <w:tabs>
          <w:tab w:leader="none" w:pos="1161"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secured by a Lien encumbering any asset acquired by such specified Person.</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provided that beneficial ownership of 25% or more of the Voting Stock of a Person shall be deemed to be control. For purposes of this definition, the terms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723" w:right="1440" w:bottom="1440" w:gutter="0" w:footer="0" w:header="0"/>
        </w:sectPr>
      </w:pPr>
    </w:p>
    <w:bookmarkStart w:id="68" w:name="page69"/>
    <w:bookmarkEnd w:id="68"/>
    <w:p>
      <w:pPr>
        <w:ind w:right="2519"/>
        <w:spacing w:after="0" w:line="235" w:lineRule="auto"/>
        <w:rPr>
          <w:sz w:val="20"/>
          <w:szCs w:val="20"/>
          <w:color w:val="auto"/>
        </w:rPr>
      </w:pPr>
      <w:r>
        <w:rPr>
          <w:rFonts w:ascii="Courier New" w:cs="Courier New" w:eastAsia="Courier New" w:hAnsi="Courier New"/>
          <w:sz w:val="18"/>
          <w:szCs w:val="18"/>
          <w:color w:val="auto"/>
        </w:rPr>
        <w:t>"controlling," "controlled by" and "under common control with" shall have correlative meanings.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 SALE" means:</w:t>
      </w:r>
    </w:p>
    <w:p>
      <w:pPr>
        <w:spacing w:after="0" w:line="207" w:lineRule="exact"/>
        <w:rPr>
          <w:sz w:val="20"/>
          <w:szCs w:val="20"/>
          <w:color w:val="auto"/>
        </w:rPr>
      </w:pPr>
    </w:p>
    <w:p>
      <w:pPr>
        <w:ind w:left="740" w:right="1779" w:firstLine="5"/>
        <w:spacing w:after="0" w:line="268" w:lineRule="auto"/>
        <w:tabs>
          <w:tab w:leader="none" w:pos="1161"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lease, conveyance or other disposition of any assets or rights, other than sales of inventory in the ordinary course of business consistent with past practices; provided that the sale, conveyance or other disposition of all or substantially all of the assets of the Company and its Restricted Subsidiaries taken as a whole will be governed by the provisions of the Indenture described above under the caption</w:t>
      </w:r>
    </w:p>
    <w:p>
      <w:pPr>
        <w:spacing w:after="0" w:line="1" w:lineRule="exact"/>
        <w:rPr>
          <w:rFonts w:ascii="Courier New" w:cs="Courier New" w:eastAsia="Courier New" w:hAnsi="Courier New"/>
          <w:sz w:val="16"/>
          <w:szCs w:val="16"/>
          <w:color w:val="auto"/>
        </w:rPr>
      </w:pPr>
    </w:p>
    <w:p>
      <w:pPr>
        <w:ind w:left="740" w:right="20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Change of control" and/or the provisions described above under the caption "-- Merger, consolidation or sale of assets" and not by the provisions of the Asset Sale covenant; and</w:t>
      </w:r>
    </w:p>
    <w:p>
      <w:pPr>
        <w:spacing w:after="0" w:line="208" w:lineRule="exact"/>
        <w:rPr>
          <w:rFonts w:ascii="Courier New" w:cs="Courier New" w:eastAsia="Courier New" w:hAnsi="Courier New"/>
          <w:sz w:val="16"/>
          <w:szCs w:val="16"/>
          <w:color w:val="auto"/>
        </w:rPr>
      </w:pPr>
    </w:p>
    <w:p>
      <w:pPr>
        <w:ind w:left="740" w:right="1879" w:firstLine="5"/>
        <w:spacing w:after="0" w:line="290" w:lineRule="auto"/>
        <w:tabs>
          <w:tab w:leader="none" w:pos="1161"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of Equity Interests by any of the Company's Restricted Subsidiaries or the sale of Equity Interests in any of its Subsidiaries.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Notwithstanding the preceding, the following items shall not be deemed to be</w:t>
      </w:r>
    </w:p>
    <w:p>
      <w:pPr>
        <w:spacing w:after="0" w:line="238" w:lineRule="auto"/>
        <w:rPr>
          <w:sz w:val="20"/>
          <w:szCs w:val="20"/>
          <w:color w:val="auto"/>
        </w:rPr>
      </w:pPr>
      <w:r>
        <w:rPr>
          <w:rFonts w:ascii="Courier New" w:cs="Courier New" w:eastAsia="Courier New" w:hAnsi="Courier New"/>
          <w:sz w:val="18"/>
          <w:szCs w:val="18"/>
          <w:color w:val="auto"/>
        </w:rPr>
        <w:t>Asset Sales:</w:t>
      </w:r>
    </w:p>
    <w:p>
      <w:pPr>
        <w:spacing w:after="0" w:line="207" w:lineRule="exact"/>
        <w:rPr>
          <w:sz w:val="20"/>
          <w:szCs w:val="20"/>
          <w:color w:val="auto"/>
        </w:rPr>
      </w:pPr>
    </w:p>
    <w:p>
      <w:pPr>
        <w:ind w:left="740" w:right="1879" w:firstLine="5"/>
        <w:spacing w:after="0" w:line="268" w:lineRule="auto"/>
        <w:tabs>
          <w:tab w:leader="none" w:pos="1161"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single transaction or series of related transactions that: (a) involves assets having a fair market value of less than $2.5 million; or</w:t>
      </w:r>
    </w:p>
    <w:p>
      <w:pPr>
        <w:ind w:left="74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results in net proceeds to the Company and its Subsidiaries of less than $2.5 million;</w:t>
      </w:r>
    </w:p>
    <w:p>
      <w:pPr>
        <w:spacing w:after="0" w:line="208" w:lineRule="exact"/>
        <w:rPr>
          <w:rFonts w:ascii="Courier New" w:cs="Courier New" w:eastAsia="Courier New" w:hAnsi="Courier New"/>
          <w:sz w:val="16"/>
          <w:szCs w:val="16"/>
          <w:color w:val="auto"/>
        </w:rPr>
      </w:pPr>
    </w:p>
    <w:p>
      <w:pPr>
        <w:ind w:left="740" w:right="1779" w:firstLine="5"/>
        <w:spacing w:after="0" w:line="237" w:lineRule="auto"/>
        <w:tabs>
          <w:tab w:leader="none" w:pos="1161"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transfer of assets (a) between or among the Company and its Wholly Owned Restricted Subsidiaries, (b) by a Restricted Subsidiary to the Company or any of its Wholly Owned Restricted Subsidiaries or (c) by the Company or any of its Wholly Owned Restricted Subsidiaries to any Restricted Subsidiary of the Company that is not a Wholly Owned Restricted Subsidiary if, in the case of this clause (c), the Company or the Wholly Owned Restricted Subsidiary, as the case may be, either retains title to or ownership of the assets being transferred or receives consideration at the time of such transfer at least equal to the fair market value of the transferred assets;</w:t>
      </w:r>
    </w:p>
    <w:p>
      <w:pPr>
        <w:spacing w:after="0" w:line="214" w:lineRule="exact"/>
        <w:rPr>
          <w:rFonts w:ascii="Courier New" w:cs="Courier New" w:eastAsia="Courier New" w:hAnsi="Courier New"/>
          <w:sz w:val="18"/>
          <w:szCs w:val="18"/>
          <w:color w:val="auto"/>
        </w:rPr>
      </w:pPr>
    </w:p>
    <w:p>
      <w:pPr>
        <w:ind w:left="740" w:right="2199" w:firstLine="5"/>
        <w:spacing w:after="0" w:line="235" w:lineRule="auto"/>
        <w:tabs>
          <w:tab w:leader="none" w:pos="1161"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issuance of Equity Interests by a Restricted Subsidiary to the Company or to a Wholly Owned Restricted Subsidiary;</w:t>
      </w:r>
    </w:p>
    <w:p>
      <w:pPr>
        <w:spacing w:after="0" w:line="208" w:lineRule="exact"/>
        <w:rPr>
          <w:rFonts w:ascii="Courier New" w:cs="Courier New" w:eastAsia="Courier New" w:hAnsi="Courier New"/>
          <w:sz w:val="18"/>
          <w:szCs w:val="18"/>
          <w:color w:val="auto"/>
        </w:rPr>
      </w:pPr>
    </w:p>
    <w:p>
      <w:pPr>
        <w:ind w:left="740" w:right="2099" w:firstLine="5"/>
        <w:spacing w:after="0" w:line="279" w:lineRule="auto"/>
        <w:tabs>
          <w:tab w:leader="none" w:pos="1161"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transfer or discount of any receivables to lenders under any Credit Facilities or to special purpose entities formed to borrow from lenders under Credit Facilities against such receivables;</w:t>
      </w:r>
    </w:p>
    <w:p>
      <w:pPr>
        <w:spacing w:after="0" w:line="178" w:lineRule="exact"/>
        <w:rPr>
          <w:rFonts w:ascii="Courier New" w:cs="Courier New" w:eastAsia="Courier New" w:hAnsi="Courier New"/>
          <w:sz w:val="16"/>
          <w:szCs w:val="16"/>
          <w:color w:val="auto"/>
        </w:rPr>
      </w:pPr>
    </w:p>
    <w:p>
      <w:pPr>
        <w:ind w:left="740" w:right="1879" w:firstLine="5"/>
        <w:spacing w:after="0" w:line="271" w:lineRule="auto"/>
        <w:tabs>
          <w:tab w:leader="none" w:pos="1161"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sale of assets (other than assets specified in any other clause of this paragraph) by the Company or any of its Restricted Subsidiaries prior to September 30, 2002, provided that (a) the Company (or the Restricted Subsidiary, as the case may be) receives consideration at the time of each such sale at least equal to the fair market value of the assets sold and (b) the aggregate fair market value of all such assets sold in any fiscal year shall not exceed an amount equal to:</w:t>
      </w:r>
    </w:p>
    <w:p>
      <w:pPr>
        <w:spacing w:after="0" w:line="182" w:lineRule="exact"/>
        <w:rPr>
          <w:rFonts w:ascii="Courier New" w:cs="Courier New" w:eastAsia="Courier New" w:hAnsi="Courier New"/>
          <w:sz w:val="16"/>
          <w:szCs w:val="16"/>
          <w:color w:val="auto"/>
        </w:rPr>
      </w:pPr>
    </w:p>
    <w:p>
      <w:pPr>
        <w:ind w:left="1380" w:hanging="424"/>
        <w:spacing w:after="0"/>
        <w:tabs>
          <w:tab w:leader="none" w:pos="1380" w:val="left"/>
        </w:tabs>
        <w:numPr>
          <w:ilvl w:val="1"/>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Company's fiscal year ended September 30, 1999,</w:t>
      </w:r>
    </w:p>
    <w:p>
      <w:pPr>
        <w:ind w:left="960"/>
        <w:spacing w:after="0" w:line="238" w:lineRule="auto"/>
        <w:rPr>
          <w:sz w:val="20"/>
          <w:szCs w:val="20"/>
          <w:color w:val="auto"/>
        </w:rPr>
      </w:pPr>
      <w:r>
        <w:rPr>
          <w:rFonts w:ascii="Courier New" w:cs="Courier New" w:eastAsia="Courier New" w:hAnsi="Courier New"/>
          <w:sz w:val="18"/>
          <w:szCs w:val="18"/>
          <w:color w:val="auto"/>
        </w:rPr>
        <w:t>$25,000,000, and</w:t>
      </w:r>
    </w:p>
    <w:p>
      <w:pPr>
        <w:spacing w:after="0" w:line="202" w:lineRule="exact"/>
        <w:rPr>
          <w:sz w:val="20"/>
          <w:szCs w:val="20"/>
          <w:color w:val="auto"/>
        </w:rPr>
      </w:pPr>
    </w:p>
    <w:p>
      <w:pPr>
        <w:ind w:left="1480" w:hanging="524"/>
        <w:spacing w:after="0"/>
        <w:tabs>
          <w:tab w:leader="none" w:pos="1480" w:val="left"/>
        </w:tabs>
        <w:numPr>
          <w:ilvl w:val="1"/>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each of the Company's fiscal years ended September 30, 2000,</w:t>
      </w:r>
    </w:p>
    <w:p>
      <w:pPr>
        <w:spacing w:after="0" w:line="4" w:lineRule="exact"/>
        <w:rPr>
          <w:rFonts w:ascii="Courier New" w:cs="Courier New" w:eastAsia="Courier New" w:hAnsi="Courier New"/>
          <w:sz w:val="18"/>
          <w:szCs w:val="18"/>
          <w:color w:val="auto"/>
        </w:rPr>
      </w:pPr>
    </w:p>
    <w:p>
      <w:pPr>
        <w:ind w:left="96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2001 and 2002, an amount equal to the sum of $25,000,000 plus the difference between (A) $25,000,000 and (B) the aggregate consideration received by the Company and its Restricted Subsidiaries for all sales of assets (excluding assets specified in any other clause of this paragraph) during the previous fiscal year;</w:t>
      </w:r>
    </w:p>
    <w:p>
      <w:pPr>
        <w:spacing w:after="0" w:line="208" w:lineRule="exact"/>
        <w:rPr>
          <w:rFonts w:ascii="Courier New" w:cs="Courier New" w:eastAsia="Courier New" w:hAnsi="Courier New"/>
          <w:sz w:val="18"/>
          <w:szCs w:val="18"/>
          <w:color w:val="auto"/>
        </w:rPr>
      </w:pPr>
    </w:p>
    <w:p>
      <w:pPr>
        <w:ind w:left="740" w:right="2319" w:firstLine="5"/>
        <w:spacing w:after="0" w:line="235" w:lineRule="auto"/>
        <w:tabs>
          <w:tab w:leader="none" w:pos="1161"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Restricted Payment that is permitted by the covenant described above under the caption "-- Restricted payments"; and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723" w:right="1440" w:bottom="1440" w:gutter="0" w:footer="0" w:header="0"/>
        </w:sectPr>
      </w:pPr>
    </w:p>
    <w:bookmarkStart w:id="69" w:name="page70"/>
    <w:bookmarkEnd w:id="69"/>
    <w:p>
      <w:pPr>
        <w:ind w:left="740" w:right="1879" w:firstLine="5"/>
        <w:spacing w:after="0" w:line="275" w:lineRule="auto"/>
        <w:tabs>
          <w:tab w:leader="none" w:pos="1161"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disposition of inventory in the ordinary course of business or a disposition of obsolete equipment or equipment that is no longer useful in the conduct of the business of the Company and its Restricted Subsidiaries and that is disposed of in the ordinary course of business.</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"ATTRIBUTABLE DEBT"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"BENEFICIAL OWNER" has the meaning assigned to such term in Rule 13d-3 and Rule 13d-5 under the Exchange Act, except that in calculating the beneficial ownership of any particular "person" (as such term is used in Section 13(d)(3) of the Exchange Act), such "person" shall be deemed to have beneficial ownership of all securities that such "person" has the right to acquire, whether such right is currently exercisable or is exercisable only upon the occurrence of a subsequent condition.</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"CAPITAL LEASE OBLIGATION" means, at the time any determination thereof is to be made, the amount of the liability in respect of a capital lease that would at that time be required to be capitalized on a balance sheet in accordance with GAAP.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STOCK" means:</w:t>
      </w:r>
    </w:p>
    <w:p>
      <w:pPr>
        <w:spacing w:after="0" w:line="201" w:lineRule="exact"/>
        <w:rPr>
          <w:sz w:val="20"/>
          <w:szCs w:val="20"/>
          <w:color w:val="auto"/>
        </w:rPr>
      </w:pPr>
    </w:p>
    <w:p>
      <w:pPr>
        <w:ind w:left="1160" w:hanging="415"/>
        <w:spacing w:after="0"/>
        <w:tabs>
          <w:tab w:leader="none" w:pos="116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corporation, corporate stock;</w:t>
      </w:r>
    </w:p>
    <w:p>
      <w:pPr>
        <w:spacing w:after="0" w:line="206" w:lineRule="exact"/>
        <w:rPr>
          <w:rFonts w:ascii="Courier New" w:cs="Courier New" w:eastAsia="Courier New" w:hAnsi="Courier New"/>
          <w:sz w:val="18"/>
          <w:szCs w:val="18"/>
          <w:color w:val="auto"/>
        </w:rPr>
      </w:pPr>
    </w:p>
    <w:p>
      <w:pPr>
        <w:ind w:left="740" w:right="1779" w:firstLine="5"/>
        <w:spacing w:after="0" w:line="236" w:lineRule="auto"/>
        <w:tabs>
          <w:tab w:leader="none" w:pos="1161"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association or business entity, any and all shares, interests, participations, rights or other equivalents (however designated) of corporate stock;</w:t>
      </w:r>
    </w:p>
    <w:p>
      <w:pPr>
        <w:spacing w:after="0" w:line="208" w:lineRule="exact"/>
        <w:rPr>
          <w:rFonts w:ascii="Courier New" w:cs="Courier New" w:eastAsia="Courier New" w:hAnsi="Courier New"/>
          <w:sz w:val="18"/>
          <w:szCs w:val="18"/>
          <w:color w:val="auto"/>
        </w:rPr>
      </w:pPr>
    </w:p>
    <w:p>
      <w:pPr>
        <w:ind w:left="740" w:right="2199" w:firstLine="5"/>
        <w:spacing w:after="0" w:line="290" w:lineRule="auto"/>
        <w:tabs>
          <w:tab w:leader="none" w:pos="1161"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partnership or limited liability company, partnership or membership interests (whether general or limited); and</w:t>
      </w:r>
    </w:p>
    <w:p>
      <w:pPr>
        <w:spacing w:after="0" w:line="169" w:lineRule="exact"/>
        <w:rPr>
          <w:rFonts w:ascii="Courier New" w:cs="Courier New" w:eastAsia="Courier New" w:hAnsi="Courier New"/>
          <w:sz w:val="16"/>
          <w:szCs w:val="16"/>
          <w:color w:val="auto"/>
        </w:rPr>
      </w:pPr>
    </w:p>
    <w:p>
      <w:pPr>
        <w:ind w:left="740" w:right="1999" w:firstLine="5"/>
        <w:spacing w:after="0" w:line="236" w:lineRule="auto"/>
        <w:tabs>
          <w:tab w:leader="none" w:pos="1161"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interest or participation that confers on a Person the right to receive a share of the profits and losses of, or distributions of assets of, the issuing Person.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EQUIVALENTS" means:</w:t>
      </w:r>
    </w:p>
    <w:p>
      <w:pPr>
        <w:spacing w:after="0" w:line="201" w:lineRule="exact"/>
        <w:rPr>
          <w:sz w:val="20"/>
          <w:szCs w:val="20"/>
          <w:color w:val="auto"/>
        </w:rPr>
      </w:pPr>
    </w:p>
    <w:p>
      <w:pPr>
        <w:ind w:left="1160" w:hanging="415"/>
        <w:spacing w:after="0"/>
        <w:tabs>
          <w:tab w:leader="none" w:pos="116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 dollars;</w:t>
      </w:r>
    </w:p>
    <w:p>
      <w:pPr>
        <w:spacing w:after="0" w:line="206" w:lineRule="exact"/>
        <w:rPr>
          <w:rFonts w:ascii="Courier New" w:cs="Courier New" w:eastAsia="Courier New" w:hAnsi="Courier New"/>
          <w:sz w:val="18"/>
          <w:szCs w:val="18"/>
          <w:color w:val="auto"/>
        </w:rPr>
      </w:pPr>
    </w:p>
    <w:p>
      <w:pPr>
        <w:ind w:left="740" w:right="1879" w:firstLine="5"/>
        <w:spacing w:after="0" w:line="237" w:lineRule="auto"/>
        <w:tabs>
          <w:tab w:leader="none" w:pos="1161"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issued or directly and fully guaranteed or insured by the United States government or any agency or instrumentality thereof (provided that the full faith and credit of the United States is pledged in support thereof) having maturities of not more than six months from the date of acquisition;</w:t>
      </w:r>
    </w:p>
    <w:p>
      <w:pPr>
        <w:spacing w:after="0" w:line="208" w:lineRule="exact"/>
        <w:rPr>
          <w:rFonts w:ascii="Courier New" w:cs="Courier New" w:eastAsia="Courier New" w:hAnsi="Courier New"/>
          <w:sz w:val="18"/>
          <w:szCs w:val="18"/>
          <w:color w:val="auto"/>
        </w:rPr>
      </w:pPr>
    </w:p>
    <w:p>
      <w:pPr>
        <w:ind w:left="740" w:right="1879" w:firstLine="5"/>
        <w:spacing w:after="0" w:line="272" w:lineRule="auto"/>
        <w:tabs>
          <w:tab w:leader="none" w:pos="1161"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of deposit and eurodollar time deposits with maturities of six months or less from the date of acquisition, bankers' acceptances with maturities not exceeding six months and overnight bank deposits, in each case, with any lender party to the Credit Facility or with any domestic commercial bank having capital and surplus in excess of $500 million and a Thompson Bank Watch Rating of "B" or better;</w:t>
      </w:r>
    </w:p>
    <w:p>
      <w:pPr>
        <w:spacing w:after="0" w:line="185" w:lineRule="exact"/>
        <w:rPr>
          <w:rFonts w:ascii="Courier New" w:cs="Courier New" w:eastAsia="Courier New" w:hAnsi="Courier New"/>
          <w:sz w:val="16"/>
          <w:szCs w:val="16"/>
          <w:color w:val="auto"/>
        </w:rPr>
      </w:pPr>
    </w:p>
    <w:p>
      <w:pPr>
        <w:ind w:left="740" w:right="1779" w:firstLine="5"/>
        <w:spacing w:after="0" w:line="237" w:lineRule="auto"/>
        <w:tabs>
          <w:tab w:leader="none" w:pos="1161"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9"/>
          </w:cols>
          <w:pgMar w:left="240" w:top="723" w:right="1440" w:bottom="1440" w:gutter="0" w:footer="0" w:header="0"/>
        </w:sectPr>
      </w:pPr>
    </w:p>
    <w:bookmarkStart w:id="70" w:name="page71"/>
    <w:bookmarkEnd w:id="70"/>
    <w:p>
      <w:pPr>
        <w:ind w:left="740" w:right="1779" w:firstLine="5"/>
        <w:spacing w:after="0" w:line="236" w:lineRule="auto"/>
        <w:tabs>
          <w:tab w:leader="none" w:pos="1161"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commercial paper having the highest rating obtainable from Moody's Investors Service, Inc. or Standard &amp; Poor's Corporation and in each case maturing within six months after the date of acquisition; and</w:t>
      </w:r>
    </w:p>
    <w:p>
      <w:pPr>
        <w:spacing w:after="0" w:line="208" w:lineRule="exact"/>
        <w:rPr>
          <w:rFonts w:ascii="Courier New" w:cs="Courier New" w:eastAsia="Courier New" w:hAnsi="Courier New"/>
          <w:sz w:val="18"/>
          <w:szCs w:val="18"/>
          <w:color w:val="auto"/>
        </w:rPr>
      </w:pPr>
    </w:p>
    <w:p>
      <w:pPr>
        <w:jc w:val="both"/>
        <w:ind w:left="740" w:right="2199" w:firstLine="5"/>
        <w:spacing w:after="0" w:line="236" w:lineRule="auto"/>
        <w:tabs>
          <w:tab w:leader="none" w:pos="1161"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money market funds at least 95% of the assets of which constitute Cash Equivalents of the kinds described in clauses (1) through (5) of this definition.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 OF CONTROL" means the occurrence of any of the following:</w:t>
      </w:r>
    </w:p>
    <w:p>
      <w:pPr>
        <w:spacing w:after="0" w:line="207" w:lineRule="exact"/>
        <w:rPr>
          <w:sz w:val="20"/>
          <w:szCs w:val="20"/>
          <w:color w:val="auto"/>
        </w:rPr>
      </w:pPr>
    </w:p>
    <w:p>
      <w:pPr>
        <w:ind w:left="740" w:right="1779" w:firstLine="5"/>
        <w:spacing w:after="0" w:line="237" w:lineRule="auto"/>
        <w:tabs>
          <w:tab w:leader="none" w:pos="1161"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lease, transfer, conveyance or other disposition (other than by way of merger or consolidation), in one or a series of related transactions, of all or substantially all of the assets of the Company and its Restricted Subsidiaries taken as a whole to any "person" (as such term is used in Section 13(d)(3) of the Exchange Act) other than a Principal or a Related Party of a Principal;</w:t>
      </w:r>
    </w:p>
    <w:p>
      <w:pPr>
        <w:spacing w:after="0" w:line="209" w:lineRule="exact"/>
        <w:rPr>
          <w:rFonts w:ascii="Courier New" w:cs="Courier New" w:eastAsia="Courier New" w:hAnsi="Courier New"/>
          <w:sz w:val="18"/>
          <w:szCs w:val="18"/>
          <w:color w:val="auto"/>
        </w:rPr>
      </w:pPr>
    </w:p>
    <w:p>
      <w:pPr>
        <w:ind w:left="740" w:right="1879" w:firstLine="5"/>
        <w:spacing w:after="0" w:line="235" w:lineRule="auto"/>
        <w:tabs>
          <w:tab w:leader="none" w:pos="1161"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adoption of a plan relating to the liquidation or dissolution of the Company;</w:t>
      </w:r>
    </w:p>
    <w:p>
      <w:pPr>
        <w:spacing w:after="0" w:line="208" w:lineRule="exact"/>
        <w:rPr>
          <w:rFonts w:ascii="Courier New" w:cs="Courier New" w:eastAsia="Courier New" w:hAnsi="Courier New"/>
          <w:sz w:val="18"/>
          <w:szCs w:val="18"/>
          <w:color w:val="auto"/>
        </w:rPr>
      </w:pPr>
    </w:p>
    <w:p>
      <w:pPr>
        <w:ind w:left="740" w:right="1779" w:firstLine="5"/>
        <w:spacing w:after="0" w:line="237" w:lineRule="auto"/>
        <w:tabs>
          <w:tab w:leader="none" w:pos="1161"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consummation of any transaction (including, without limitation, any merger or consolidation) the result of which is that any "person" (as defined above), other than the Principals and their Related Parties, becomes the Beneficial Owner, directly or indirectly, of more than 30% of the Voting Stock of the Company, measured by voting power rather than number of shares;</w:t>
      </w:r>
    </w:p>
    <w:p>
      <w:pPr>
        <w:spacing w:after="0" w:line="209" w:lineRule="exact"/>
        <w:rPr>
          <w:rFonts w:ascii="Courier New" w:cs="Courier New" w:eastAsia="Courier New" w:hAnsi="Courier New"/>
          <w:sz w:val="18"/>
          <w:szCs w:val="18"/>
          <w:color w:val="auto"/>
        </w:rPr>
      </w:pPr>
    </w:p>
    <w:p>
      <w:pPr>
        <w:ind w:left="740" w:right="2319" w:firstLine="5"/>
        <w:spacing w:after="0" w:line="235" w:lineRule="auto"/>
        <w:tabs>
          <w:tab w:leader="none" w:pos="1161"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day on which a majority of the members of the Board of Directors of the Company are not Continuing Directors; or</w:t>
      </w:r>
    </w:p>
    <w:p>
      <w:pPr>
        <w:spacing w:after="0" w:line="208" w:lineRule="exact"/>
        <w:rPr>
          <w:rFonts w:ascii="Courier New" w:cs="Courier New" w:eastAsia="Courier New" w:hAnsi="Courier New"/>
          <w:sz w:val="18"/>
          <w:szCs w:val="18"/>
          <w:color w:val="auto"/>
        </w:rPr>
      </w:pPr>
    </w:p>
    <w:p>
      <w:pPr>
        <w:ind w:left="740" w:right="1779" w:firstLine="5"/>
        <w:spacing w:after="0" w:line="270" w:lineRule="auto"/>
        <w:tabs>
          <w:tab w:leader="none" w:pos="1161"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consolidation or merger of the Company with or into any Person, or the consolidation or merger of any Person with or into the Company, in any such event pursuant to a transaction in which any of the outstanding Voting Stock of the Company is converted into or exchanged for cash, securities or other property, excluding any such transaction where the Voting Stock of the Company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18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"CLASS A CONVERTIBLE PREFERRED STOCK" means 195,000 shares of the Company's 5% Class A Convertible Preferred Stock, liquidation preference $1,000 per share, all of which has been converted into common shares of the Company.</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"CONSOLIDATED CASH FLOW" means, with respect to any Person for any period, the Consolidated Net Income of such Person for such period plus, without duplication:</w:t>
      </w:r>
    </w:p>
    <w:p>
      <w:pPr>
        <w:spacing w:after="0" w:line="209" w:lineRule="exact"/>
        <w:rPr>
          <w:sz w:val="20"/>
          <w:szCs w:val="20"/>
          <w:color w:val="auto"/>
        </w:rPr>
      </w:pPr>
    </w:p>
    <w:p>
      <w:pPr>
        <w:ind w:left="740" w:right="1879" w:firstLine="5"/>
        <w:spacing w:after="0" w:line="271" w:lineRule="auto"/>
        <w:tabs>
          <w:tab w:leader="none" w:pos="1161"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any extraordinary gain or loss plus any net gain or loss realized in connection with an Asset Sale or any other sale, lease, conveyance or other disposition of any assets or rights (other than sales of inventory in the ordinary course of business) in a single transaction or in a series of related transactions that involves assets or rights having an aggregate fair market value equal to or greater than $2.5 million, in any such case to the extent such gains or losses were excluded in computing such Consolidated Net Income; plus</w:t>
      </w:r>
    </w:p>
    <w:p>
      <w:pPr>
        <w:spacing w:after="0" w:line="185" w:lineRule="exact"/>
        <w:rPr>
          <w:rFonts w:ascii="Courier New" w:cs="Courier New" w:eastAsia="Courier New" w:hAnsi="Courier New"/>
          <w:sz w:val="16"/>
          <w:szCs w:val="16"/>
          <w:color w:val="auto"/>
        </w:rPr>
      </w:pPr>
    </w:p>
    <w:p>
      <w:pPr>
        <w:ind w:left="740" w:right="1779" w:firstLine="5"/>
        <w:spacing w:after="0" w:line="237" w:lineRule="auto"/>
        <w:tabs>
          <w:tab w:leader="none" w:pos="1161"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 for taxes based on income or profits of such Person and its Restricted Subsidiaries for such period, to the extent that such provision for taxes was deducted in computing such Consolidated Net Income; plus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723" w:right="1440" w:bottom="1440" w:gutter="0" w:footer="0" w:header="0"/>
        </w:sectPr>
      </w:pPr>
    </w:p>
    <w:bookmarkStart w:id="71" w:name="page72"/>
    <w:bookmarkEnd w:id="71"/>
    <w:p>
      <w:pPr>
        <w:ind w:left="740" w:right="1779" w:firstLine="5"/>
        <w:spacing w:after="0" w:line="270" w:lineRule="auto"/>
        <w:tabs>
          <w:tab w:leader="none" w:pos="1161"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net interest expense of such Person and its Restricted Subsidiaries for such period, whether paid or accrued and whether or not capitalized (including, without limitation, amortization of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payments, if any, pursuant to Hedging Obligations but excluding amortization of debt issuance costs), to the extent that any such expense was deducted in computing such Consolidated Net Income; plus</w:t>
      </w:r>
    </w:p>
    <w:p>
      <w:pPr>
        <w:spacing w:after="0" w:line="187" w:lineRule="exact"/>
        <w:rPr>
          <w:rFonts w:ascii="Courier New" w:cs="Courier New" w:eastAsia="Courier New" w:hAnsi="Courier New"/>
          <w:sz w:val="16"/>
          <w:szCs w:val="16"/>
          <w:color w:val="auto"/>
        </w:rPr>
      </w:pPr>
    </w:p>
    <w:p>
      <w:pPr>
        <w:ind w:left="740" w:right="1779" w:firstLine="5"/>
        <w:spacing w:after="0" w:line="238" w:lineRule="auto"/>
        <w:tabs>
          <w:tab w:leader="none" w:pos="1161"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depreciation, amortization (including amortization of goodwill and other intangibles but excluding amortization of prepaid cash expenses that were paid in a prior period), other non-cash expenses (excluding any such non-cash expense to the extent that it represents an accrual of or reserve for cash expenses in any future period or amortization of a prepaid cash expense that was paid in a prior period) and, in the case of the Company and its Restricted Subsidiaries, restructuring charges recorded in the Company's fourth fiscal quarter of fiscal 1998 in an amount not to exceed $20.4 million in the aggregate, of such Person and its Restricted Subsidiaries for such period to the extent that such depreciation, amortization and other non-cash expenses were deducted in computing such Consolidated Net Income; minus</w:t>
      </w:r>
    </w:p>
    <w:p>
      <w:pPr>
        <w:spacing w:after="0" w:line="207" w:lineRule="exact"/>
        <w:rPr>
          <w:rFonts w:ascii="Courier New" w:cs="Courier New" w:eastAsia="Courier New" w:hAnsi="Courier New"/>
          <w:sz w:val="18"/>
          <w:szCs w:val="18"/>
          <w:color w:val="auto"/>
        </w:rPr>
      </w:pPr>
    </w:p>
    <w:p>
      <w:pPr>
        <w:ind w:left="740" w:right="2319" w:firstLine="5"/>
        <w:spacing w:after="0" w:line="237" w:lineRule="auto"/>
        <w:tabs>
          <w:tab w:leader="none" w:pos="1161"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non-cash items increasing such Consolidated Net Income for such period, other than items that were accrued in the ordinary course of business, in each case, on a consolidated basis and determined in accordance with GAAP.</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Notwithstanding the preceding, the provision for taxes based on the income or profits of, and the depreciation and amortization and other non-cash charges of, a Restricted Subsidiary of the Company shall be added to Consolidated Net Income to compute Consolidated Cash Flow of the Company only to the extent that a corresponding amount would be permitted at the date of determination to be dividended to the Company by such Restricted Subsidiary without prior approval (that has not been obtained), pursuant to the terms of its charter and all agreements, instruments, judgments, decrees, orders, statutes, rules and governmental regulations applicable to that Subsidiary or its stockholders (other than restrictions in effect on the Issue Date and other than restrictions that are created or exist in compliance with the covenant under the caption "Dividends and other payment restrictions affecting subsidiaries").</w:t>
      </w:r>
    </w:p>
    <w:p>
      <w:pPr>
        <w:spacing w:after="0" w:line="39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"CONSOLIDATED NET INCOME" means, with respect to any specified Person for any period, the aggregate of the Net Income of such Person and its Restricted Subsidiaries for such period, on a consolidated basis, determined in accordance with GAAP; provided that:</w:t>
      </w:r>
    </w:p>
    <w:p>
      <w:pPr>
        <w:spacing w:after="0" w:line="207" w:lineRule="exact"/>
        <w:rPr>
          <w:sz w:val="20"/>
          <w:szCs w:val="20"/>
          <w:color w:val="auto"/>
        </w:rPr>
      </w:pPr>
    </w:p>
    <w:p>
      <w:pPr>
        <w:ind w:left="740" w:right="1879" w:firstLine="5"/>
        <w:spacing w:after="0" w:line="237" w:lineRule="auto"/>
        <w:tabs>
          <w:tab w:leader="none" w:pos="1161"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Net Income (but not loss) of any Person that is not a Restricted Subsidiary or that is accounted for by the equity method of accounting shall be included only to the extent of the amount of dividends or distributions paid in cash to the specified Person or a Restricted Subsidiary thereof;</w:t>
      </w:r>
    </w:p>
    <w:p>
      <w:pPr>
        <w:spacing w:after="0" w:line="208" w:lineRule="exact"/>
        <w:rPr>
          <w:rFonts w:ascii="Courier New" w:cs="Courier New" w:eastAsia="Courier New" w:hAnsi="Courier New"/>
          <w:sz w:val="18"/>
          <w:szCs w:val="18"/>
          <w:color w:val="auto"/>
        </w:rPr>
      </w:pPr>
    </w:p>
    <w:p>
      <w:pPr>
        <w:ind w:left="740" w:right="1879" w:firstLine="5"/>
        <w:spacing w:after="0" w:line="237" w:lineRule="auto"/>
        <w:tabs>
          <w:tab w:leader="none" w:pos="1161"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Net Income of any Restricted Subsidiary shall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219"/>
          </w:cols>
          <w:pgMar w:left="240" w:top="723" w:right="1440" w:bottom="1440" w:gutter="0" w:footer="0" w:header="0"/>
        </w:sectPr>
      </w:pPr>
    </w:p>
    <w:bookmarkStart w:id="72" w:name="page73"/>
    <w:bookmarkEnd w:id="72"/>
    <w:p>
      <w:pPr>
        <w:jc w:val="both"/>
        <w:ind w:left="740" w:right="1879"/>
        <w:spacing w:after="0" w:line="237" w:lineRule="auto"/>
        <w:rPr>
          <w:sz w:val="20"/>
          <w:szCs w:val="20"/>
          <w:color w:val="auto"/>
        </w:rPr>
      </w:pPr>
      <w:r>
        <w:rPr>
          <w:rFonts w:ascii="Courier New" w:cs="Courier New" w:eastAsia="Courier New" w:hAnsi="Courier New"/>
          <w:sz w:val="18"/>
          <w:szCs w:val="18"/>
          <w:color w:val="auto"/>
        </w:rPr>
        <w:t>or its stockholders (other than restrictions in effect on the Issue Date and other than restrictions that are created or exist in compliance with the covenant under the caption "Dividends and other payment restrictions affecting subsidiaries");</w:t>
      </w:r>
    </w:p>
    <w:p>
      <w:pPr>
        <w:spacing w:after="0" w:line="207" w:lineRule="exact"/>
        <w:rPr>
          <w:sz w:val="20"/>
          <w:szCs w:val="20"/>
          <w:color w:val="auto"/>
        </w:rPr>
      </w:pPr>
    </w:p>
    <w:p>
      <w:pPr>
        <w:ind w:left="740" w:right="1779" w:firstLine="5"/>
        <w:spacing w:after="0" w:line="236" w:lineRule="auto"/>
        <w:tabs>
          <w:tab w:leader="none" w:pos="1161"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Net Income of any Person acquired in a pooling of interests transaction for any period prior to the date of such acquisition shall be excluded;</w:t>
      </w:r>
    </w:p>
    <w:p>
      <w:pPr>
        <w:spacing w:after="0" w:line="208" w:lineRule="exact"/>
        <w:rPr>
          <w:rFonts w:ascii="Courier New" w:cs="Courier New" w:eastAsia="Courier New" w:hAnsi="Courier New"/>
          <w:sz w:val="18"/>
          <w:szCs w:val="18"/>
          <w:color w:val="auto"/>
        </w:rPr>
      </w:pPr>
    </w:p>
    <w:p>
      <w:pPr>
        <w:ind w:left="740" w:right="1779" w:firstLine="5"/>
        <w:spacing w:after="0" w:line="236" w:lineRule="auto"/>
        <w:tabs>
          <w:tab w:leader="none" w:pos="1161"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Net Income (but not loss) of any Unrestricted Subsidiary shall be excluded, whether or not distributed to the specified Person or one of its Subsidiaries;</w:t>
      </w:r>
    </w:p>
    <w:p>
      <w:pPr>
        <w:spacing w:after="0" w:line="208" w:lineRule="exact"/>
        <w:rPr>
          <w:rFonts w:ascii="Courier New" w:cs="Courier New" w:eastAsia="Courier New" w:hAnsi="Courier New"/>
          <w:sz w:val="18"/>
          <w:szCs w:val="18"/>
          <w:color w:val="auto"/>
        </w:rPr>
      </w:pPr>
    </w:p>
    <w:p>
      <w:pPr>
        <w:ind w:left="740" w:right="1999" w:firstLine="5"/>
        <w:spacing w:after="0" w:line="236" w:lineRule="auto"/>
        <w:tabs>
          <w:tab w:leader="none" w:pos="1161"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restructuring charges and write-offs recorded prior to the first anniversary of the date of the Indenture, in an aggregate amount not to exceed $12.5 million, shall be excluded; and</w:t>
      </w:r>
    </w:p>
    <w:p>
      <w:pPr>
        <w:spacing w:after="0" w:line="208" w:lineRule="exact"/>
        <w:rPr>
          <w:rFonts w:ascii="Courier New" w:cs="Courier New" w:eastAsia="Courier New" w:hAnsi="Courier New"/>
          <w:sz w:val="18"/>
          <w:szCs w:val="18"/>
          <w:color w:val="auto"/>
        </w:rPr>
      </w:pPr>
    </w:p>
    <w:p>
      <w:pPr>
        <w:ind w:left="740" w:right="1999" w:firstLine="5"/>
        <w:spacing w:after="0" w:line="235" w:lineRule="auto"/>
        <w:tabs>
          <w:tab w:leader="none" w:pos="1161"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cumulative effect of a change in accounting principles shall be excluded.</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"CONTINUING DIRECTORS" means, as of any date of determination, any member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of the Company who:</w:t>
      </w:r>
    </w:p>
    <w:p>
      <w:pPr>
        <w:spacing w:after="0" w:line="207" w:lineRule="exact"/>
        <w:rPr>
          <w:sz w:val="20"/>
          <w:szCs w:val="20"/>
          <w:color w:val="auto"/>
        </w:rPr>
      </w:pPr>
    </w:p>
    <w:p>
      <w:pPr>
        <w:ind w:left="1160" w:hanging="415"/>
        <w:spacing w:after="0"/>
        <w:tabs>
          <w:tab w:leader="none" w:pos="116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a member of such Board of Directors on the date of the Indenture;</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w:t>
      </w:r>
    </w:p>
    <w:p>
      <w:pPr>
        <w:spacing w:after="0" w:line="207" w:lineRule="exact"/>
        <w:rPr>
          <w:rFonts w:ascii="Courier New" w:cs="Courier New" w:eastAsia="Courier New" w:hAnsi="Courier New"/>
          <w:sz w:val="16"/>
          <w:szCs w:val="16"/>
          <w:color w:val="auto"/>
        </w:rPr>
      </w:pPr>
    </w:p>
    <w:p>
      <w:pPr>
        <w:ind w:left="740" w:right="1779" w:firstLine="5"/>
        <w:spacing w:after="0" w:line="236" w:lineRule="auto"/>
        <w:tabs>
          <w:tab w:leader="none" w:pos="1161"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nominated for election or elected to such Board of Directors with the approval of a majority of the Continuing Directors who were members of such Board at the time of such nomination or election.</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"CREDIT FACILITY" means, with respect to the Company or any of its Restricted Subsidiaries:</w:t>
      </w:r>
    </w:p>
    <w:p>
      <w:pPr>
        <w:spacing w:after="0" w:line="208" w:lineRule="exact"/>
        <w:rPr>
          <w:sz w:val="20"/>
          <w:szCs w:val="20"/>
          <w:color w:val="auto"/>
        </w:rPr>
      </w:pPr>
    </w:p>
    <w:p>
      <w:pPr>
        <w:ind w:left="740" w:right="1879" w:firstLine="5"/>
        <w:spacing w:after="0" w:line="271" w:lineRule="auto"/>
        <w:tabs>
          <w:tab w:leader="none" w:pos="1161"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certain Credit Facility, dated as of December 4, 1998, by and among the Company, certain of the Company's Subsidiaries, the lenders party thereto, JP Morgan Chase Bank, as Administrative Agent, Salomon Smith Barney Inc., as Syndication Agent, Credit Lyonnais Chicago Branch, as Co-Documentation Agent and NBD Bank, as Co-Documentation Agent providing for up to $500.0 million of revolving credit borrowings and $525.0 million in term loans, in each case including any related notes, guarantees, collateral documents, instruments and agreements executed in connection therewith, and in each case as amended, modified, renewed, refunded, replaced or refinanced from time to time; and</w:t>
      </w:r>
    </w:p>
    <w:p>
      <w:pPr>
        <w:spacing w:after="0" w:line="386" w:lineRule="exact"/>
        <w:rPr>
          <w:rFonts w:ascii="Courier New" w:cs="Courier New" w:eastAsia="Courier New" w:hAnsi="Courier New"/>
          <w:sz w:val="16"/>
          <w:szCs w:val="16"/>
          <w:color w:val="auto"/>
        </w:rPr>
      </w:pPr>
    </w:p>
    <w:p>
      <w:pPr>
        <w:ind w:left="740" w:right="1779" w:firstLine="5"/>
        <w:spacing w:after="0" w:line="237" w:lineRule="auto"/>
        <w:tabs>
          <w:tab w:leader="none" w:pos="1161"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or more debt facilities or commercial paper 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 or letters of credit, in each case, as amended, restated, modified, renewed, refunded, replaced or refinanced in whole or in part from time to time.</w:t>
      </w:r>
    </w:p>
    <w:p>
      <w:pPr>
        <w:spacing w:after="0" w:line="21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"DEFAULT" means any event that is, or with the passage of time or the giving of notice or both would be, an Event of Default.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"DESIGNATED SENIOR DEBT" means:</w:t>
      </w:r>
    </w:p>
    <w:p>
      <w:pPr>
        <w:spacing w:after="0" w:line="201" w:lineRule="exact"/>
        <w:rPr>
          <w:sz w:val="20"/>
          <w:szCs w:val="20"/>
          <w:color w:val="auto"/>
        </w:rPr>
      </w:pPr>
    </w:p>
    <w:p>
      <w:pPr>
        <w:ind w:left="1160" w:hanging="415"/>
        <w:spacing w:after="0"/>
        <w:tabs>
          <w:tab w:leader="none" w:pos="116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outstanding under the Credit Facility; and</w:t>
      </w:r>
    </w:p>
    <w:p>
      <w:pPr>
        <w:spacing w:after="0" w:line="206" w:lineRule="exact"/>
        <w:rPr>
          <w:rFonts w:ascii="Courier New" w:cs="Courier New" w:eastAsia="Courier New" w:hAnsi="Courier New"/>
          <w:sz w:val="18"/>
          <w:szCs w:val="18"/>
          <w:color w:val="auto"/>
        </w:rPr>
      </w:pPr>
    </w:p>
    <w:p>
      <w:pPr>
        <w:ind w:left="740" w:right="1879" w:firstLine="5"/>
        <w:spacing w:after="0" w:line="236" w:lineRule="auto"/>
        <w:tabs>
          <w:tab w:leader="none" w:pos="1161"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Senior Debt permitted under the Indenture the principal amount of which is $10.0 million or more and that has been designated by the Company as "Designated Senior Debt."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723" w:right="1440" w:bottom="1440" w:gutter="0" w:footer="0" w:header="0"/>
        </w:sectPr>
      </w:pPr>
    </w:p>
    <w:bookmarkStart w:id="73" w:name="page74"/>
    <w:bookmarkEnd w:id="73"/>
    <w:p>
      <w:pPr>
        <w:ind w:right="1779"/>
        <w:spacing w:after="0" w:line="237" w:lineRule="auto"/>
        <w:rPr>
          <w:sz w:val="20"/>
          <w:szCs w:val="20"/>
          <w:color w:val="auto"/>
        </w:rPr>
      </w:pPr>
      <w:r>
        <w:rPr>
          <w:rFonts w:ascii="Courier New" w:cs="Courier New" w:eastAsia="Courier New" w:hAnsi="Courier New"/>
          <w:sz w:val="18"/>
          <w:szCs w:val="18"/>
          <w:color w:val="auto"/>
        </w:rPr>
        <w:t>"DISQUALIFIED STOCK" means any Capital Stock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91 days after the date on which the Notes mature. Notwithstanding the preceding sentence, any Capital Stock that would constitute Disqualified Stock solely because the holders thereof have the right to require the Company to repurchase such Capital Stock upon the occurrence of a change of control or an asset sale shall not constitute Disqualified Stock.</w:t>
      </w:r>
    </w:p>
    <w:p>
      <w:pPr>
        <w:spacing w:after="0" w:line="216"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"DOMESTIC RESTRICTED SUBSIDIARY" means, with respect to the Company, any Restricted Subsidiary that was formed under the laws of the United States of America or any State thereof.</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"EQUITY INTERESTS" means Capital Stock and all warrants, options or other rights to acquire Capital Stock (but excluding any debt security that is convertible into, or exchangeable for, Capital Stock).</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"EXCLUSIVE AGENCY AND MARKETING AGREEMENT" means the Exclusive Agency and Marketing Agreement between the Company and Monsanto Company, dated as of September 30, 1998 (as amended and restated as of November 11, 1998) as the same may be amended, modified, restated, extended, renewed or replaced from time to time.</w:t>
      </w:r>
    </w:p>
    <w:p>
      <w:pPr>
        <w:spacing w:after="0" w:line="209"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"EXISTING INDEBTEDNESS" means Indebtedness of the Company and its Restricted Subsidiaries (in addition to Indebtedness under the Credit Facility) in existence on the date of the Indenture, until such amounts are repaid.</w:t>
      </w:r>
    </w:p>
    <w:p>
      <w:pPr>
        <w:spacing w:after="0" w:line="17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"FIXED CHARGES" means, with respect to any Person for any period, the sum, without duplication, of:</w:t>
      </w:r>
    </w:p>
    <w:p>
      <w:pPr>
        <w:spacing w:after="0" w:line="208" w:lineRule="exact"/>
        <w:rPr>
          <w:sz w:val="20"/>
          <w:szCs w:val="20"/>
          <w:color w:val="auto"/>
        </w:rPr>
      </w:pPr>
    </w:p>
    <w:p>
      <w:pPr>
        <w:ind w:left="740" w:right="1999" w:firstLine="5"/>
        <w:spacing w:after="0" w:line="237" w:lineRule="auto"/>
        <w:tabs>
          <w:tab w:leader="none" w:pos="1161"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consolidated net interest expense of such Person and its Restricted Subsidiaries for such period, whether paid or accrued, including, without limitation, amortization of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payments, if any, pursuant to Hedging Obligations, but excluding amortization of debt issuance costs and other non-cash amortization; plus</w:t>
      </w:r>
    </w:p>
    <w:p>
      <w:pPr>
        <w:spacing w:after="0" w:line="215" w:lineRule="exact"/>
        <w:rPr>
          <w:rFonts w:ascii="Courier New" w:cs="Courier New" w:eastAsia="Courier New" w:hAnsi="Courier New"/>
          <w:sz w:val="18"/>
          <w:szCs w:val="18"/>
          <w:color w:val="auto"/>
        </w:rPr>
      </w:pPr>
    </w:p>
    <w:p>
      <w:pPr>
        <w:ind w:left="740" w:right="2839" w:firstLine="5"/>
        <w:spacing w:after="0" w:line="290" w:lineRule="auto"/>
        <w:tabs>
          <w:tab w:leader="none" w:pos="1161"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interest of such Person and its Restricted Subsidiaries that was capitalized during such period; plus</w:t>
      </w:r>
    </w:p>
    <w:p>
      <w:pPr>
        <w:spacing w:after="0" w:line="169" w:lineRule="exact"/>
        <w:rPr>
          <w:rFonts w:ascii="Courier New" w:cs="Courier New" w:eastAsia="Courier New" w:hAnsi="Courier New"/>
          <w:sz w:val="16"/>
          <w:szCs w:val="16"/>
          <w:color w:val="auto"/>
        </w:rPr>
      </w:pPr>
    </w:p>
    <w:p>
      <w:pPr>
        <w:ind w:left="740" w:right="1879" w:firstLine="5"/>
        <w:spacing w:after="0" w:line="275" w:lineRule="auto"/>
        <w:tabs>
          <w:tab w:leader="none" w:pos="1161"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expense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182" w:lineRule="exact"/>
        <w:rPr>
          <w:rFonts w:ascii="Courier New" w:cs="Courier New" w:eastAsia="Courier New" w:hAnsi="Courier New"/>
          <w:sz w:val="16"/>
          <w:szCs w:val="16"/>
          <w:color w:val="auto"/>
        </w:rPr>
      </w:pPr>
    </w:p>
    <w:p>
      <w:pPr>
        <w:ind w:left="740" w:right="1779" w:firstLine="5"/>
        <w:spacing w:after="0" w:line="272" w:lineRule="auto"/>
        <w:tabs>
          <w:tab w:leader="none" w:pos="1161"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product of (a) all dividend payments, whether or not in cash, on any series of preferred stock of such Person or any of its Restricted Subsidiaries, other than dividend payments on Equity Interests payable solely in Equity Interests of the Company (other than Disqualified Stock) or to the Company or a Restricted Subsidiary of the Company, times (b) a fraction, the numerator of which is one and the denominator of which is</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723" w:right="1440" w:bottom="1440" w:gutter="0" w:footer="0" w:header="0"/>
        </w:sectPr>
      </w:pPr>
    </w:p>
    <w:bookmarkStart w:id="74" w:name="page75"/>
    <w:bookmarkEnd w:id="74"/>
    <w:p>
      <w:pPr>
        <w:ind w:left="740" w:right="2099"/>
        <w:spacing w:after="0" w:line="236" w:lineRule="auto"/>
        <w:rPr>
          <w:sz w:val="20"/>
          <w:szCs w:val="20"/>
          <w:color w:val="auto"/>
        </w:rPr>
      </w:pPr>
      <w:r>
        <w:rPr>
          <w:rFonts w:ascii="Courier New" w:cs="Courier New" w:eastAsia="Courier New" w:hAnsi="Courier New"/>
          <w:sz w:val="18"/>
          <w:szCs w:val="18"/>
          <w:color w:val="auto"/>
        </w:rPr>
        <w:t>one minus the then current combined federal, state and local statutory tax rate of such Person, expressed as a decimal, in each case, on a consolidated basis and in accordance with GAAP.</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"FIXED CHARGE COVERAGE RATIO" means with respect to any specified Person for any period, the ratio of the Consolidated Cash Flow of such Person and its Restricted Subsidiaries for such period to the Fixed Charges of such Person for such period. In the event that the specified Person or any of its Restricted Subsidiaries incurs, assumes, Guarantees or redeems any Indebtedness (other than revolving credit borrowings) or issues or redeems preferred stock subsequent to the commencement of the period for which the Fixed Charge Coverage Ratio is being calculated but prior to the date on which the event for which the calculation of the Fixed Charge Coverage Ratio is made (the "Calculation Date"), then the Fixed Charge Coverage Ratio shall be calculated giving pro forma effect to such incurrence, assumption, Guarantee or redemption of Indebtedness, or such issuance or redemption of preferred stock, as if the same had occurred at the beginning of the applicable four-quarter reference period.</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addition, for purposes of calculating the Fixed Charge Coverage Ratio:</w:t>
      </w:r>
    </w:p>
    <w:p>
      <w:pPr>
        <w:spacing w:after="0" w:line="207" w:lineRule="exact"/>
        <w:rPr>
          <w:sz w:val="20"/>
          <w:szCs w:val="20"/>
          <w:color w:val="auto"/>
        </w:rPr>
      </w:pPr>
    </w:p>
    <w:p>
      <w:pPr>
        <w:ind w:left="740" w:right="1779" w:firstLine="5"/>
        <w:spacing w:after="0" w:line="271" w:lineRule="auto"/>
        <w:tabs>
          <w:tab w:leader="none" w:pos="1161"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that have been made by the specified Person or any of its Restricted Subsidiaries, including through mergers or consolidations and including any related financing transactions, during the four-quarter reference period or subsequent to such reference period and on or prior to the Calculation Date shall be deemed to have occurred on the first day of the four-quarter reference period and Consolidated Cash Flow for such reference period shall be calculated without giving effect to clause (3) of the proviso set forth in the definition of Consolidated Net Income;</w:t>
      </w:r>
    </w:p>
    <w:p>
      <w:pPr>
        <w:spacing w:after="0" w:line="185" w:lineRule="exact"/>
        <w:rPr>
          <w:rFonts w:ascii="Courier New" w:cs="Courier New" w:eastAsia="Courier New" w:hAnsi="Courier New"/>
          <w:sz w:val="16"/>
          <w:szCs w:val="16"/>
          <w:color w:val="auto"/>
        </w:rPr>
      </w:pPr>
    </w:p>
    <w:p>
      <w:pPr>
        <w:ind w:left="740" w:right="1999" w:firstLine="5"/>
        <w:spacing w:after="0" w:line="279" w:lineRule="auto"/>
        <w:tabs>
          <w:tab w:leader="none" w:pos="1161"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Cash Flow attributable to discontinued operations, as determined in accordance with GAAP, and operations or businesses disposed of prior to the Calculation Date, shall be excluded; and</w:t>
      </w:r>
    </w:p>
    <w:p>
      <w:pPr>
        <w:spacing w:after="0" w:line="178" w:lineRule="exact"/>
        <w:rPr>
          <w:rFonts w:ascii="Courier New" w:cs="Courier New" w:eastAsia="Courier New" w:hAnsi="Courier New"/>
          <w:sz w:val="16"/>
          <w:szCs w:val="16"/>
          <w:color w:val="auto"/>
        </w:rPr>
      </w:pPr>
    </w:p>
    <w:p>
      <w:pPr>
        <w:ind w:left="740" w:right="1779" w:firstLine="5"/>
        <w:spacing w:after="0" w:line="237" w:lineRule="auto"/>
        <w:tabs>
          <w:tab w:leader="none" w:pos="1161"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Fixed Charges attributable to discontinued operations, as determined in accordance with GAAP, and operations or businesses disposed of prior to the Calculation Date, shall be excluded, but only to the extent that the obligations giving rise to such Fixed Charges will not be obligations of the specified Person or any of its Restricted Subsidiaries following the Calculation Date.</w:t>
      </w: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"FOREIGN SUBSIDIARY" means, with respect to the Company, any Subsidiary that does not meet the definition of a Domestic Subsidiary.</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210"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"GUARANTEE"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"GUARANTORS" means:</w:t>
      </w:r>
    </w:p>
    <w:p>
      <w:pPr>
        <w:spacing w:after="0" w:line="207" w:lineRule="exact"/>
        <w:rPr>
          <w:sz w:val="20"/>
          <w:szCs w:val="20"/>
          <w:color w:val="auto"/>
        </w:rPr>
      </w:pPr>
    </w:p>
    <w:p>
      <w:pPr>
        <w:ind w:left="740" w:right="2099" w:firstLine="5"/>
        <w:spacing w:after="0" w:line="235" w:lineRule="auto"/>
        <w:tabs>
          <w:tab w:leader="none" w:pos="1161"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Wholly Owned Domestic Restricted Subsidiary of the Company on the date of the Indenture; and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723" w:right="1440" w:bottom="1440" w:gutter="0" w:footer="0" w:header="0"/>
        </w:sectPr>
      </w:pPr>
    </w:p>
    <w:bookmarkStart w:id="75" w:name="page76"/>
    <w:bookmarkEnd w:id="75"/>
    <w:p>
      <w:pPr>
        <w:ind w:left="740" w:right="2519" w:firstLine="5"/>
        <w:spacing w:after="0" w:line="290" w:lineRule="auto"/>
        <w:tabs>
          <w:tab w:leader="none" w:pos="1161"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Subsidiary of the Company that executes a Subsidiary Guarantee in accordance with the provisions of the Indenture;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their respective successors and assigns.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"HEDGING OBLIGATIONS" means, with respect to any Person, the obligations of such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 under:</w:t>
      </w:r>
    </w:p>
    <w:p>
      <w:pPr>
        <w:spacing w:after="0" w:line="201" w:lineRule="exact"/>
        <w:rPr>
          <w:sz w:val="20"/>
          <w:szCs w:val="20"/>
          <w:color w:val="auto"/>
        </w:rPr>
      </w:pPr>
    </w:p>
    <w:p>
      <w:pPr>
        <w:ind w:left="1160" w:hanging="415"/>
        <w:spacing w:after="0"/>
        <w:tabs>
          <w:tab w:leader="none" w:pos="116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 swap agreements, interest rate cap agreements and</w:t>
      </w:r>
    </w:p>
    <w:p>
      <w:pPr>
        <w:spacing w:after="0" w:line="4" w:lineRule="exact"/>
        <w:rPr>
          <w:rFonts w:ascii="Courier New" w:cs="Courier New" w:eastAsia="Courier New" w:hAnsi="Courier New"/>
          <w:sz w:val="18"/>
          <w:szCs w:val="18"/>
          <w:color w:val="auto"/>
        </w:rPr>
      </w:pPr>
    </w:p>
    <w:p>
      <w:pPr>
        <w:ind w:left="740"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 collar agreements or exchange rate or raw materials price risk agreements; and</w:t>
      </w:r>
    </w:p>
    <w:p>
      <w:pPr>
        <w:spacing w:after="0" w:line="208" w:lineRule="exact"/>
        <w:rPr>
          <w:rFonts w:ascii="Courier New" w:cs="Courier New" w:eastAsia="Courier New" w:hAnsi="Courier New"/>
          <w:sz w:val="18"/>
          <w:szCs w:val="18"/>
          <w:color w:val="auto"/>
        </w:rPr>
      </w:pPr>
    </w:p>
    <w:p>
      <w:pPr>
        <w:jc w:val="both"/>
        <w:ind w:left="740" w:right="2099" w:firstLine="5"/>
        <w:spacing w:after="0" w:line="275" w:lineRule="auto"/>
        <w:tabs>
          <w:tab w:leader="none" w:pos="1161"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agreements or arrangements designed to protect such Person against fluctuations in interest rates, in each case pursuant to any Credit Facilities permitted pursuant to the covenant under the caption "Incurrence of indebtedness and issuance of preferred stock."</w:t>
      </w:r>
    </w:p>
    <w:p>
      <w:pPr>
        <w:spacing w:after="0" w:line="182"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"INDEBTEDNESS" means, with respect to any specified Person, without duplication, any indebtedness of such Person, whether or not contingent, in respect of:</w:t>
      </w:r>
    </w:p>
    <w:p>
      <w:pPr>
        <w:spacing w:after="0" w:line="164" w:lineRule="exact"/>
        <w:rPr>
          <w:sz w:val="20"/>
          <w:szCs w:val="20"/>
          <w:color w:val="auto"/>
        </w:rPr>
      </w:pPr>
    </w:p>
    <w:p>
      <w:pPr>
        <w:ind w:left="1160" w:hanging="415"/>
        <w:spacing w:after="0"/>
        <w:tabs>
          <w:tab w:leader="none" w:pos="116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borrowed money;</w:t>
      </w:r>
    </w:p>
    <w:p>
      <w:pPr>
        <w:spacing w:after="0" w:line="206" w:lineRule="exact"/>
        <w:rPr>
          <w:rFonts w:ascii="Courier New" w:cs="Courier New" w:eastAsia="Courier New" w:hAnsi="Courier New"/>
          <w:sz w:val="18"/>
          <w:szCs w:val="18"/>
          <w:color w:val="auto"/>
        </w:rPr>
      </w:pPr>
    </w:p>
    <w:p>
      <w:pPr>
        <w:jc w:val="both"/>
        <w:ind w:left="740" w:right="2419" w:firstLine="5"/>
        <w:spacing w:after="0" w:line="290" w:lineRule="auto"/>
        <w:tabs>
          <w:tab w:leader="none" w:pos="1161"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evidenced by bonds, notes, debentures or similar instruments or letters of credit (or reimbursement agreements in respect thereof);</w:t>
      </w:r>
    </w:p>
    <w:p>
      <w:pPr>
        <w:spacing w:after="0" w:line="164" w:lineRule="exact"/>
        <w:rPr>
          <w:rFonts w:ascii="Courier New" w:cs="Courier New" w:eastAsia="Courier New" w:hAnsi="Courier New"/>
          <w:sz w:val="16"/>
          <w:szCs w:val="16"/>
          <w:color w:val="auto"/>
        </w:rPr>
      </w:pPr>
    </w:p>
    <w:p>
      <w:pPr>
        <w:ind w:left="1160" w:hanging="415"/>
        <w:spacing w:after="0"/>
        <w:tabs>
          <w:tab w:leader="none" w:pos="116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banker's acceptances;</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representing Capital Lease Obligations;</w:t>
      </w:r>
    </w:p>
    <w:p>
      <w:pPr>
        <w:spacing w:after="0" w:line="206" w:lineRule="exact"/>
        <w:rPr>
          <w:rFonts w:ascii="Courier New" w:cs="Courier New" w:eastAsia="Courier New" w:hAnsi="Courier New"/>
          <w:sz w:val="18"/>
          <w:szCs w:val="18"/>
          <w:color w:val="auto"/>
        </w:rPr>
      </w:pPr>
    </w:p>
    <w:p>
      <w:pPr>
        <w:ind w:left="740" w:right="1879" w:firstLine="5"/>
        <w:spacing w:after="0" w:line="236" w:lineRule="auto"/>
        <w:tabs>
          <w:tab w:leader="none" w:pos="1161"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balance deferred and unpaid of the purchase price of any property, except any such balance that constitutes an accrued expense or trade payable; or</w:t>
      </w:r>
    </w:p>
    <w:p>
      <w:pPr>
        <w:spacing w:after="0" w:line="203"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representing any Hedging Obligations,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if and to the extent any of the preceding items (other than letters of credit and Hedging Obligations) would appear as a liability upon a balance sheet of the specified Person prepared in accordance with GAAP. In addition, the term "Indebtedness" includes, without duplication, all Indebtedness of others secured by a Lien on any asset of the specified Person (whether or not such Indebtedness is assumed by the specified Person) and, to the extent not otherwise included, the Guarantee by such Person of any indebtedness of any other Person.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amount of any Indebtedness outstanding as of any date shall be:</w:t>
      </w:r>
    </w:p>
    <w:p>
      <w:pPr>
        <w:spacing w:after="0" w:line="207" w:lineRule="exact"/>
        <w:rPr>
          <w:sz w:val="20"/>
          <w:szCs w:val="20"/>
          <w:color w:val="auto"/>
        </w:rPr>
      </w:pPr>
    </w:p>
    <w:p>
      <w:pPr>
        <w:ind w:left="740" w:right="2099" w:firstLine="5"/>
        <w:spacing w:after="0" w:line="235" w:lineRule="auto"/>
        <w:tabs>
          <w:tab w:leader="none" w:pos="1161"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accreted value thereof, in the case of any Indebtedness issued with original issue discount; and</w:t>
      </w:r>
    </w:p>
    <w:p>
      <w:pPr>
        <w:spacing w:after="0" w:line="208" w:lineRule="exact"/>
        <w:rPr>
          <w:rFonts w:ascii="Courier New" w:cs="Courier New" w:eastAsia="Courier New" w:hAnsi="Courier New"/>
          <w:sz w:val="18"/>
          <w:szCs w:val="18"/>
          <w:color w:val="auto"/>
        </w:rPr>
      </w:pPr>
    </w:p>
    <w:p>
      <w:pPr>
        <w:ind w:left="740" w:right="1779" w:firstLine="5"/>
        <w:spacing w:after="0" w:line="290" w:lineRule="auto"/>
        <w:tabs>
          <w:tab w:leader="none" w:pos="1161"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thereof, together with any interest thereon that is more than 30 days past due, in the case of any other Indebtedness.</w:t>
      </w:r>
    </w:p>
    <w:p>
      <w:pPr>
        <w:spacing w:after="0" w:line="17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"INVESTMENTS" means, with respect to any Person, all investments by such Person in other Persons (including Affiliates) in the forms of direct or indirect loans (including guarantees of Indebtedness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the Company or any Subsidiary of the Company sells or otherwise disposes of any Equity Interests of any direct or indirect Subsidiary of the Company such that, after giving effect to any such sale or disposition, such Person is no longer</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723" w:right="1440" w:bottom="1440" w:gutter="0" w:footer="0" w:header="0"/>
        </w:sectPr>
      </w:pPr>
    </w:p>
    <w:bookmarkStart w:id="76" w:name="page77"/>
    <w:bookmarkEnd w:id="76"/>
    <w:p>
      <w:pPr>
        <w:ind w:right="1879"/>
        <w:spacing w:after="0" w:line="237" w:lineRule="auto"/>
        <w:rPr>
          <w:sz w:val="20"/>
          <w:szCs w:val="20"/>
          <w:color w:val="auto"/>
        </w:rPr>
      </w:pPr>
      <w:r>
        <w:rPr>
          <w:rFonts w:ascii="Courier New" w:cs="Courier New" w:eastAsia="Courier New" w:hAnsi="Courier New"/>
          <w:sz w:val="18"/>
          <w:szCs w:val="18"/>
          <w:color w:val="auto"/>
        </w:rPr>
        <w:t>a Subsidiary of the Company, the Company shall be deemed to have made an Investment on the date of any such sale or disposition equal to the fair market value of the Equity Interests of such Subsidiary not sold or disposed of in an amount determined as provided in the final paragraph of the covenant described above under the caption "Certain covenants -- Restricted payments."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 DATE" means the date of first issuance of the Notes under the Indenture.</w:t>
      </w:r>
    </w:p>
    <w:p>
      <w:pPr>
        <w:spacing w:after="0" w:line="22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"LIEN"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8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"NET INCOME" means, with respect to any Person, the net income (loss) of such Person and its Restricted Subsidiaries, determined in accordance with GAAP and before any reduction in respect of preferred stock dividends, excluding, however:</w:t>
      </w:r>
    </w:p>
    <w:p>
      <w:pPr>
        <w:spacing w:after="0" w:line="207" w:lineRule="exact"/>
        <w:rPr>
          <w:sz w:val="20"/>
          <w:szCs w:val="20"/>
          <w:color w:val="auto"/>
        </w:rPr>
      </w:pPr>
    </w:p>
    <w:p>
      <w:pPr>
        <w:ind w:left="740" w:right="1779" w:firstLine="5"/>
        <w:spacing w:after="0" w:line="237" w:lineRule="auto"/>
        <w:tabs>
          <w:tab w:leader="none" w:pos="1161"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gain or loss, together with any related provision for taxes on such gain or loss, realized in connection with: (a) any Asset Sale or any other sale, lease, conveyance or other disposition of any assets or rights (other than sales of inventory in the ordinary course of business) in a single transaction or in a series of related transactions that involves assets or rights having an aggregate fair market value equal to or greater than $2.5 million; or (b) the disposition of any securities by such Person or any of its Restricted Subsidiaries or the extinguishment of any Indebtedness of such Person or any of its Restricted Subsidiaries; and</w:t>
      </w:r>
    </w:p>
    <w:p>
      <w:pPr>
        <w:spacing w:after="0" w:line="214" w:lineRule="exact"/>
        <w:rPr>
          <w:rFonts w:ascii="Courier New" w:cs="Courier New" w:eastAsia="Courier New" w:hAnsi="Courier New"/>
          <w:sz w:val="18"/>
          <w:szCs w:val="18"/>
          <w:color w:val="auto"/>
        </w:rPr>
      </w:pPr>
    </w:p>
    <w:p>
      <w:pPr>
        <w:ind w:left="740" w:right="1999" w:firstLine="5"/>
        <w:spacing w:after="0" w:line="235" w:lineRule="auto"/>
        <w:tabs>
          <w:tab w:leader="none" w:pos="1161"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extraordinary gain or loss, together with any related provision for taxes on such extraordinary gain or loss; and</w:t>
      </w:r>
    </w:p>
    <w:p>
      <w:pPr>
        <w:spacing w:after="0" w:line="208" w:lineRule="exact"/>
        <w:rPr>
          <w:rFonts w:ascii="Courier New" w:cs="Courier New" w:eastAsia="Courier New" w:hAnsi="Courier New"/>
          <w:sz w:val="18"/>
          <w:szCs w:val="18"/>
          <w:color w:val="auto"/>
        </w:rPr>
      </w:pPr>
    </w:p>
    <w:p>
      <w:pPr>
        <w:ind w:left="740" w:right="1779" w:firstLine="5"/>
        <w:spacing w:after="0" w:line="235" w:lineRule="auto"/>
        <w:tabs>
          <w:tab w:leader="none" w:pos="1161"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non-cash expenses attributable to grants or exercises of employee stock options.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PROCEEDS" means the aggregate cash proceeds received by the Company or any of its Restricted Subsidiaries in respect of any Asset Sale (including, without limitation, any cash received upon the sale or other disposition of any non-cash consideration received in any Asset Sale), net of the direct costs relating to such Asset Sale, including, without limitation, legal, accounting and investment banking fees, and sales commissions, and any relocation expenses incurred as a result thereof, taxes paid or payable as a result thereof, in each case after taking into account any available tax credits or deductions and any tax sharing arrangements and amounts required to be applied to the repayment of Indebtedness, other than Senior Debt, secured by a Lien on the asset or assets that were the subject of such Asset Sale.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"NON-RECOURSE DEBT" means Indebtedness:</w:t>
      </w:r>
    </w:p>
    <w:p>
      <w:pPr>
        <w:spacing w:after="0" w:line="207" w:lineRule="exact"/>
        <w:rPr>
          <w:sz w:val="20"/>
          <w:szCs w:val="20"/>
          <w:color w:val="auto"/>
        </w:rPr>
      </w:pPr>
    </w:p>
    <w:p>
      <w:pPr>
        <w:ind w:left="740" w:right="1779" w:firstLine="5"/>
        <w:spacing w:after="0" w:line="268" w:lineRule="auto"/>
        <w:tabs>
          <w:tab w:leader="none" w:pos="1161"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which neither the Company nor any of its Restricted Subsidiaries (a) provides credit support of any kind (including any undertaking, agreement or instrument that would constitute Indebtedness),</w:t>
      </w:r>
    </w:p>
    <w:p>
      <w:pPr>
        <w:ind w:left="740"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is directly or indirectly liable as a guarantor or otherwise, or (c) constitutes the lender;</w:t>
      </w:r>
    </w:p>
    <w:p>
      <w:pPr>
        <w:spacing w:after="0" w:line="208" w:lineRule="exact"/>
        <w:rPr>
          <w:rFonts w:ascii="Courier New" w:cs="Courier New" w:eastAsia="Courier New" w:hAnsi="Courier New"/>
          <w:sz w:val="16"/>
          <w:szCs w:val="16"/>
          <w:color w:val="auto"/>
        </w:rPr>
      </w:pPr>
    </w:p>
    <w:p>
      <w:pPr>
        <w:ind w:left="740" w:right="1879" w:firstLine="5"/>
        <w:spacing w:after="0" w:line="237" w:lineRule="auto"/>
        <w:tabs>
          <w:tab w:leader="none" w:pos="1161"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with respect to which (including any rights that the holders thereof may have to take enforcement action against an Unrestricted Subsidiary) would permit upon notice, lapse of time or both any holder of any other Indebtedness (other than the Notes) of the Company or any of its Restricted Subsidiaries to declare a default on such</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722" w:right="1440" w:bottom="1440" w:gutter="0" w:footer="0" w:header="0"/>
        </w:sectPr>
      </w:pPr>
    </w:p>
    <w:bookmarkStart w:id="77" w:name="page78"/>
    <w:bookmarkEnd w:id="77"/>
    <w:p>
      <w:pPr>
        <w:ind w:left="740" w:right="2319"/>
        <w:spacing w:after="0" w:line="235" w:lineRule="auto"/>
        <w:rPr>
          <w:sz w:val="20"/>
          <w:szCs w:val="20"/>
          <w:color w:val="auto"/>
        </w:rPr>
      </w:pPr>
      <w:r>
        <w:rPr>
          <w:rFonts w:ascii="Courier New" w:cs="Courier New" w:eastAsia="Courier New" w:hAnsi="Courier New"/>
          <w:sz w:val="18"/>
          <w:szCs w:val="18"/>
          <w:color w:val="auto"/>
        </w:rPr>
        <w:t>other Indebtedness or cause the payment thereof to be accelerated or payable prior to its stated maturity; and</w:t>
      </w:r>
    </w:p>
    <w:p>
      <w:pPr>
        <w:spacing w:after="0" w:line="208" w:lineRule="exact"/>
        <w:rPr>
          <w:sz w:val="20"/>
          <w:szCs w:val="20"/>
          <w:color w:val="auto"/>
        </w:rPr>
      </w:pPr>
    </w:p>
    <w:p>
      <w:pPr>
        <w:ind w:left="740" w:right="1779" w:firstLine="5"/>
        <w:spacing w:after="0" w:line="236" w:lineRule="auto"/>
        <w:tabs>
          <w:tab w:leader="none" w:pos="1161"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to which the lenders have been notified in writing that they will not have any recourse to the stock or assets of the Company or any of its Restricted Subsidiaries.</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"OBLIGATIONS" means any principal, interest, penalties, fees, indemnifications, reimbursements, damages and other liabilities payable under the documentation governing any Indebtedness.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"PERMITTED INVESTMENTS" means:</w:t>
      </w:r>
    </w:p>
    <w:p>
      <w:pPr>
        <w:spacing w:after="0" w:line="207" w:lineRule="exact"/>
        <w:rPr>
          <w:sz w:val="20"/>
          <w:szCs w:val="20"/>
          <w:color w:val="auto"/>
        </w:rPr>
      </w:pPr>
    </w:p>
    <w:p>
      <w:pPr>
        <w:ind w:left="740" w:right="2099" w:firstLine="5"/>
        <w:spacing w:after="0" w:line="235" w:lineRule="auto"/>
        <w:tabs>
          <w:tab w:leader="none" w:pos="1161"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Investment in the Company or in a Restricted Subsidiary of the Company;</w:t>
      </w:r>
    </w:p>
    <w:p>
      <w:pPr>
        <w:spacing w:after="0" w:line="202"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Investment in Cash Equivalents;</w:t>
      </w:r>
    </w:p>
    <w:p>
      <w:pPr>
        <w:spacing w:after="0" w:line="206" w:lineRule="exact"/>
        <w:rPr>
          <w:rFonts w:ascii="Courier New" w:cs="Courier New" w:eastAsia="Courier New" w:hAnsi="Courier New"/>
          <w:sz w:val="18"/>
          <w:szCs w:val="18"/>
          <w:color w:val="auto"/>
        </w:rPr>
      </w:pPr>
    </w:p>
    <w:p>
      <w:pPr>
        <w:ind w:left="740" w:right="2199" w:firstLine="5"/>
        <w:spacing w:after="0" w:line="235" w:lineRule="auto"/>
        <w:tabs>
          <w:tab w:leader="none" w:pos="1161"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Investment by the Company or any Restricted Subsidiary of the Company in a Person, if as a result of such Investment:</w:t>
      </w:r>
    </w:p>
    <w:p>
      <w:pPr>
        <w:spacing w:after="0" w:line="202"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Person becomes a Restricted Subsidiary of the Company; or</w:t>
      </w:r>
    </w:p>
    <w:p>
      <w:pPr>
        <w:spacing w:after="0" w:line="206" w:lineRule="exact"/>
        <w:rPr>
          <w:rFonts w:ascii="Courier New" w:cs="Courier New" w:eastAsia="Courier New" w:hAnsi="Courier New"/>
          <w:sz w:val="18"/>
          <w:szCs w:val="18"/>
          <w:color w:val="auto"/>
        </w:rPr>
      </w:pPr>
    </w:p>
    <w:p>
      <w:pPr>
        <w:ind w:left="960" w:right="1779" w:hanging="4"/>
        <w:spacing w:after="0" w:line="279" w:lineRule="auto"/>
        <w:tabs>
          <w:tab w:leader="none" w:pos="1381" w:val="left"/>
        </w:tabs>
        <w:numPr>
          <w:ilvl w:val="1"/>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Person is merged, consolidated or amalgamated with or into, or transfers or conveys substantially all of its assets to, or is liquidated into, the Company or a Restricted Subsidiary of the Company;</w:t>
      </w:r>
    </w:p>
    <w:p>
      <w:pPr>
        <w:spacing w:after="0" w:line="178" w:lineRule="exact"/>
        <w:rPr>
          <w:rFonts w:ascii="Courier New" w:cs="Courier New" w:eastAsia="Courier New" w:hAnsi="Courier New"/>
          <w:sz w:val="16"/>
          <w:szCs w:val="16"/>
          <w:color w:val="auto"/>
        </w:rPr>
      </w:pPr>
    </w:p>
    <w:p>
      <w:pPr>
        <w:ind w:left="740" w:right="2619" w:firstLine="5"/>
        <w:spacing w:after="0" w:line="237" w:lineRule="auto"/>
        <w:tabs>
          <w:tab w:leader="none" w:pos="1161"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Investment made as a result of the receipt of non-cash consideration from an Asset Sale that was made pursuant to and in compliance with the covenant described above under the caption "Repurchase at the option of holders -- Asset sales";</w:t>
      </w:r>
    </w:p>
    <w:p>
      <w:pPr>
        <w:spacing w:after="0" w:line="207" w:lineRule="exact"/>
        <w:rPr>
          <w:rFonts w:ascii="Courier New" w:cs="Courier New" w:eastAsia="Courier New" w:hAnsi="Courier New"/>
          <w:sz w:val="18"/>
          <w:szCs w:val="18"/>
          <w:color w:val="auto"/>
        </w:rPr>
      </w:pPr>
    </w:p>
    <w:p>
      <w:pPr>
        <w:ind w:left="740" w:right="2319" w:firstLine="5"/>
        <w:spacing w:after="0" w:line="290" w:lineRule="auto"/>
        <w:tabs>
          <w:tab w:leader="none" w:pos="1161"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acquisition of assets solely in exchange for the issuance of Equity Interests (other than Disqualified Stock) of the Company;</w:t>
      </w:r>
    </w:p>
    <w:p>
      <w:pPr>
        <w:spacing w:after="0" w:line="169" w:lineRule="exact"/>
        <w:rPr>
          <w:rFonts w:ascii="Courier New" w:cs="Courier New" w:eastAsia="Courier New" w:hAnsi="Courier New"/>
          <w:sz w:val="16"/>
          <w:szCs w:val="16"/>
          <w:color w:val="auto"/>
        </w:rPr>
      </w:pPr>
    </w:p>
    <w:p>
      <w:pPr>
        <w:ind w:left="740" w:right="1879" w:firstLine="5"/>
        <w:spacing w:after="0" w:line="235" w:lineRule="auto"/>
        <w:tabs>
          <w:tab w:leader="none" w:pos="1161"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accounts or notes receivable acquired in the ordinary course of business;</w:t>
      </w:r>
    </w:p>
    <w:p>
      <w:pPr>
        <w:spacing w:after="0" w:line="208" w:lineRule="exact"/>
        <w:rPr>
          <w:rFonts w:ascii="Courier New" w:cs="Courier New" w:eastAsia="Courier New" w:hAnsi="Courier New"/>
          <w:sz w:val="18"/>
          <w:szCs w:val="18"/>
          <w:color w:val="auto"/>
        </w:rPr>
      </w:pPr>
    </w:p>
    <w:p>
      <w:pPr>
        <w:ind w:left="740" w:right="2319" w:firstLine="5"/>
        <w:spacing w:after="0" w:line="236" w:lineRule="auto"/>
        <w:tabs>
          <w:tab w:leader="none" w:pos="1161"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designation of one or more Subsidiaries of the Company whose assets and operations are exclusively related to the professional business segment of the Company;</w:t>
      </w:r>
    </w:p>
    <w:p>
      <w:pPr>
        <w:spacing w:after="0" w:line="208" w:lineRule="exact"/>
        <w:rPr>
          <w:rFonts w:ascii="Courier New" w:cs="Courier New" w:eastAsia="Courier New" w:hAnsi="Courier New"/>
          <w:sz w:val="18"/>
          <w:szCs w:val="18"/>
          <w:color w:val="auto"/>
        </w:rPr>
      </w:pPr>
    </w:p>
    <w:p>
      <w:pPr>
        <w:ind w:left="740" w:right="2319" w:firstLine="5"/>
        <w:spacing w:after="0" w:line="290" w:lineRule="auto"/>
        <w:tabs>
          <w:tab w:leader="none" w:pos="1161"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payment by the Company or any of its Restricted Subsidiaries pursuant to the Exclusive Agency and Marketing Agreement; and</w:t>
      </w:r>
    </w:p>
    <w:p>
      <w:pPr>
        <w:spacing w:after="0" w:line="169" w:lineRule="exact"/>
        <w:rPr>
          <w:rFonts w:ascii="Courier New" w:cs="Courier New" w:eastAsia="Courier New" w:hAnsi="Courier New"/>
          <w:sz w:val="16"/>
          <w:szCs w:val="16"/>
          <w:color w:val="auto"/>
        </w:rPr>
      </w:pPr>
    </w:p>
    <w:p>
      <w:pPr>
        <w:ind w:left="740" w:right="1779" w:firstLine="5"/>
        <w:spacing w:after="0" w:line="237" w:lineRule="auto"/>
        <w:tabs>
          <w:tab w:leader="none" w:pos="1161"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Investments in any Person having an aggregate fair market value (measured on the date each such Investment was made and without giving effect to subsequent changes in value), when taken together with all other Investments made pursuant to this clause (9) that are at any time outstanding, not to exceed $50.0 million (according to the Company's calculations, the Company could utilize the full amount of this basket as of the date of this prospectus).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"PERMITTED JUNIOR SECURITIES" means: (1) Equity Interests in the Company or any Guarantor; or (2) debt securities of the Company or any Guarantor that are subordinated to all Senior Debt and any debt securities issued in exchange for Senior Debt to substantially the same extent as, or to a greater extent than, the Notes and the Subsidiary Guarantees are subordinated to Senior Debt pursuant to Article 10 of the Indenture.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"PERMITTED LIENS" means:</w:t>
      </w:r>
    </w:p>
    <w:p>
      <w:pPr>
        <w:spacing w:after="0" w:line="207" w:lineRule="exact"/>
        <w:rPr>
          <w:sz w:val="20"/>
          <w:szCs w:val="20"/>
          <w:color w:val="auto"/>
        </w:rPr>
      </w:pPr>
    </w:p>
    <w:p>
      <w:pPr>
        <w:ind w:left="740" w:right="2199" w:firstLine="5"/>
        <w:spacing w:after="0" w:line="235" w:lineRule="auto"/>
        <w:tabs>
          <w:tab w:leader="none" w:pos="1161"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securing Senior Debt that was permitted by the terms of the Indenture to be incurred;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722" w:right="1440" w:bottom="1440" w:gutter="0" w:footer="0" w:header="0"/>
        </w:sectPr>
      </w:pPr>
    </w:p>
    <w:bookmarkStart w:id="78" w:name="page79"/>
    <w:bookmarkEnd w:id="78"/>
    <w:p>
      <w:pPr>
        <w:ind w:left="1160" w:hanging="415"/>
        <w:spacing w:after="0"/>
        <w:tabs>
          <w:tab w:leader="none" w:pos="116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in favor of the Company or the Guarantors;</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on property of a Person existing at the time such Person is</w:t>
      </w:r>
    </w:p>
    <w:p>
      <w:pPr>
        <w:spacing w:after="0" w:line="4" w:lineRule="exact"/>
        <w:rPr>
          <w:rFonts w:ascii="Courier New" w:cs="Courier New" w:eastAsia="Courier New" w:hAnsi="Courier New"/>
          <w:sz w:val="18"/>
          <w:szCs w:val="18"/>
          <w:color w:val="auto"/>
        </w:rPr>
      </w:pPr>
    </w:p>
    <w:p>
      <w:pPr>
        <w:ind w:left="7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merged with or into or consolidated with the Company or any Subsidiary of the Company; provided that such Liens were not entered into in contemplation of such merger or consolidation and do not extend to any assets other than those of the Person merged into or consolidated with the Company or the Subsidiary;</w:t>
      </w:r>
    </w:p>
    <w:p>
      <w:pPr>
        <w:spacing w:after="0" w:line="208" w:lineRule="exact"/>
        <w:rPr>
          <w:rFonts w:ascii="Courier New" w:cs="Courier New" w:eastAsia="Courier New" w:hAnsi="Courier New"/>
          <w:sz w:val="18"/>
          <w:szCs w:val="18"/>
          <w:color w:val="auto"/>
        </w:rPr>
      </w:pPr>
    </w:p>
    <w:p>
      <w:pPr>
        <w:ind w:left="740" w:right="1879" w:firstLine="5"/>
        <w:spacing w:after="0" w:line="236" w:lineRule="auto"/>
        <w:tabs>
          <w:tab w:leader="none" w:pos="1161"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on property existing at the time of acquisition thereof by the Company or any Subsidiary of the Company, provided that such Liens were not entered into in contemplation of such acquisition;</w:t>
      </w:r>
    </w:p>
    <w:p>
      <w:pPr>
        <w:spacing w:after="0" w:line="208" w:lineRule="exact"/>
        <w:rPr>
          <w:rFonts w:ascii="Courier New" w:cs="Courier New" w:eastAsia="Courier New" w:hAnsi="Courier New"/>
          <w:sz w:val="18"/>
          <w:szCs w:val="18"/>
          <w:color w:val="auto"/>
        </w:rPr>
      </w:pPr>
    </w:p>
    <w:p>
      <w:pPr>
        <w:ind w:left="740" w:right="1999" w:firstLine="5"/>
        <w:spacing w:after="0" w:line="236" w:lineRule="auto"/>
        <w:tabs>
          <w:tab w:leader="none" w:pos="1161"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to secure the performance of statutory obligations, surety or appeal bonds, performance bonds or other obligations of a like nature incurred in the ordinary course of business;</w:t>
      </w:r>
    </w:p>
    <w:p>
      <w:pPr>
        <w:spacing w:after="0" w:line="208" w:lineRule="exact"/>
        <w:rPr>
          <w:rFonts w:ascii="Courier New" w:cs="Courier New" w:eastAsia="Courier New" w:hAnsi="Courier New"/>
          <w:sz w:val="18"/>
          <w:szCs w:val="18"/>
          <w:color w:val="auto"/>
        </w:rPr>
      </w:pPr>
    </w:p>
    <w:p>
      <w:pPr>
        <w:ind w:left="740" w:right="1879" w:firstLine="5"/>
        <w:spacing w:after="0" w:line="237" w:lineRule="auto"/>
        <w:tabs>
          <w:tab w:leader="none" w:pos="1161"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to secure Indebtedness (including Capital Lease Obligations) permitted by clause (4) of the second paragraph of the covenant entitled "Incurrence of indebtedness and issuance of preferred stock" covering only the assets acquired with such Indebtedness;</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existing on the date of the Indenture;</w:t>
      </w:r>
    </w:p>
    <w:p>
      <w:pPr>
        <w:spacing w:after="0" w:line="206" w:lineRule="exact"/>
        <w:rPr>
          <w:rFonts w:ascii="Courier New" w:cs="Courier New" w:eastAsia="Courier New" w:hAnsi="Courier New"/>
          <w:sz w:val="18"/>
          <w:szCs w:val="18"/>
          <w:color w:val="auto"/>
        </w:rPr>
      </w:pPr>
    </w:p>
    <w:p>
      <w:pPr>
        <w:ind w:left="740" w:right="1779" w:firstLine="5"/>
        <w:spacing w:after="0" w:line="235" w:lineRule="auto"/>
        <w:tabs>
          <w:tab w:leader="none" w:pos="1161"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on Assets of Guarantors to secure Senior Debt of such Guarantor that was permitted by the Indenture to be incurred;</w:t>
      </w:r>
    </w:p>
    <w:p>
      <w:pPr>
        <w:spacing w:after="0" w:line="208" w:lineRule="exact"/>
        <w:rPr>
          <w:rFonts w:ascii="Courier New" w:cs="Courier New" w:eastAsia="Courier New" w:hAnsi="Courier New"/>
          <w:sz w:val="18"/>
          <w:szCs w:val="18"/>
          <w:color w:val="auto"/>
        </w:rPr>
      </w:pPr>
    </w:p>
    <w:p>
      <w:pPr>
        <w:ind w:left="740" w:right="1999" w:firstLine="5"/>
        <w:spacing w:after="0" w:line="273" w:lineRule="auto"/>
        <w:tabs>
          <w:tab w:leader="none" w:pos="1161"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for taxes, assessments or governmental charges or claims that are not yet delinquent or that are being contested in good faith by appropriate proceedings promptly instituted and diligently concluded, provided that any reserve or other appropriate provision as shall be required in conformity with GAAP shall have been made therefor;</w:t>
      </w:r>
    </w:p>
    <w:p>
      <w:pPr>
        <w:spacing w:after="0" w:line="184" w:lineRule="exact"/>
        <w:rPr>
          <w:rFonts w:ascii="Courier New" w:cs="Courier New" w:eastAsia="Courier New" w:hAnsi="Courier New"/>
          <w:sz w:val="16"/>
          <w:szCs w:val="16"/>
          <w:color w:val="auto"/>
        </w:rPr>
      </w:pPr>
    </w:p>
    <w:p>
      <w:pPr>
        <w:ind w:left="740" w:right="1879" w:firstLine="5"/>
        <w:spacing w:after="0" w:line="236" w:lineRule="auto"/>
        <w:tabs>
          <w:tab w:leader="none" w:pos="1267"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incurred in the ordinary course of business of the Company or any Subsidiary of the Company with respect to obligations that do not exceed $5.0 million at any one time outstanding; and</w:t>
      </w:r>
    </w:p>
    <w:p>
      <w:pPr>
        <w:spacing w:after="0" w:line="208" w:lineRule="exact"/>
        <w:rPr>
          <w:rFonts w:ascii="Courier New" w:cs="Courier New" w:eastAsia="Courier New" w:hAnsi="Courier New"/>
          <w:sz w:val="18"/>
          <w:szCs w:val="18"/>
          <w:color w:val="auto"/>
        </w:rPr>
      </w:pPr>
    </w:p>
    <w:p>
      <w:pPr>
        <w:ind w:left="740" w:right="2619" w:firstLine="5"/>
        <w:spacing w:after="0" w:line="235" w:lineRule="auto"/>
        <w:tabs>
          <w:tab w:leader="none" w:pos="1267"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on assets of Unrestricted Subsidiaries that secure Non Recourse Debt of Unrestricted Subsidiaries.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"PERMITTED REFINANCING INDEBTEDNESS" means any Indebtedness of the Company or any of its Restricted Subsidiaries issued in exchange for, or the net proceeds of which are used to extend, refinance, renew, replace, defease or refund other Indebtedness of the Company or any of its Restricted Subsidiaries (other than intercompany Indebtedness); provided that:</w:t>
      </w:r>
    </w:p>
    <w:p>
      <w:pPr>
        <w:spacing w:after="0" w:line="203" w:lineRule="exact"/>
        <w:rPr>
          <w:sz w:val="20"/>
          <w:szCs w:val="20"/>
          <w:color w:val="auto"/>
        </w:rPr>
      </w:pPr>
    </w:p>
    <w:p>
      <w:pPr>
        <w:ind w:left="1160" w:hanging="415"/>
        <w:spacing w:after="0"/>
        <w:tabs>
          <w:tab w:leader="none" w:pos="116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(or accreted value, if applicable) of such</w:t>
      </w:r>
    </w:p>
    <w:p>
      <w:pPr>
        <w:spacing w:after="0" w:line="4" w:lineRule="exact"/>
        <w:rPr>
          <w:rFonts w:ascii="Courier New" w:cs="Courier New" w:eastAsia="Courier New" w:hAnsi="Courier New"/>
          <w:sz w:val="18"/>
          <w:szCs w:val="18"/>
          <w:color w:val="auto"/>
        </w:rPr>
      </w:pPr>
    </w:p>
    <w:p>
      <w:pPr>
        <w:ind w:left="740" w:right="199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Permitted Refinancing Indebtedness does not exceed the principal amount of (or accreted value, if applicable), plus accrued interest on, the Indebtedness so extended, refinanced, renewed, replaced, defeased or refunded (plus the amount of reasonable expenses incurred in connection therewith including premiums paid, if any, to the holders thereof);</w:t>
      </w:r>
    </w:p>
    <w:p>
      <w:pPr>
        <w:spacing w:after="0" w:line="178"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Permitted Refinancing Indebtedness has a final maturity date</w:t>
      </w:r>
    </w:p>
    <w:p>
      <w:pPr>
        <w:spacing w:after="0" w:line="4" w:lineRule="exact"/>
        <w:rPr>
          <w:rFonts w:ascii="Courier New" w:cs="Courier New" w:eastAsia="Courier New" w:hAnsi="Courier New"/>
          <w:sz w:val="18"/>
          <w:szCs w:val="18"/>
          <w:color w:val="auto"/>
        </w:rPr>
      </w:pPr>
    </w:p>
    <w:p>
      <w:pPr>
        <w:ind w:left="7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later than the final maturity date of, and has a Weighted Average Life to Maturity equal to or greater than the Weighted Average Life to Maturity of, the Indebtedness being extended, refinanced, renewed, replaced, defeased or refunded;</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70</w:t>
      </w:r>
    </w:p>
    <w:p>
      <w:pPr>
        <w:sectPr>
          <w:pgSz w:w="11900" w:h="16838" w:orient="portrait"/>
          <w:cols w:equalWidth="0" w:num="1">
            <w:col w:w="10219"/>
          </w:cols>
          <w:pgMar w:left="240" w:top="717" w:right="1440" w:bottom="1440" w:gutter="0" w:footer="0" w:header="0"/>
        </w:sectPr>
      </w:pPr>
    </w:p>
    <w:bookmarkStart w:id="79" w:name="page80"/>
    <w:bookmarkEnd w:id="79"/>
    <w:p>
      <w:pPr>
        <w:ind w:left="740" w:right="1879" w:firstLine="5"/>
        <w:spacing w:after="0" w:line="271" w:lineRule="auto"/>
        <w:tabs>
          <w:tab w:leader="none" w:pos="1161"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Indebtedness being extended, refinanced, renewed, replaced, defeased or refunded is subordinated in right of payment to the Notes, such Permitted Refinancing Indebtedness has a final maturity date later than the final maturity date of, and is subordinated in right of payment to, the Notes on terms at least as favorable to the Holders of Notes as those contained in the documentation governing the Indebtedness being extended, refinanced, renewed, replaced, defeased or refunded; and</w:t>
      </w:r>
    </w:p>
    <w:p>
      <w:pPr>
        <w:spacing w:after="0" w:line="187" w:lineRule="exact"/>
        <w:rPr>
          <w:rFonts w:ascii="Courier New" w:cs="Courier New" w:eastAsia="Courier New" w:hAnsi="Courier New"/>
          <w:sz w:val="16"/>
          <w:szCs w:val="16"/>
          <w:color w:val="auto"/>
        </w:rPr>
      </w:pPr>
    </w:p>
    <w:p>
      <w:pPr>
        <w:ind w:left="740" w:right="1879" w:firstLine="5"/>
        <w:spacing w:after="0" w:line="290" w:lineRule="auto"/>
        <w:tabs>
          <w:tab w:leader="none" w:pos="1161"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Indebtedness shall not be incurred by a Restricted Subsidiary that is not a Guarantor to refinance debt of the Company or a Guarantor.</w:t>
      </w:r>
    </w:p>
    <w:p>
      <w:pPr>
        <w:spacing w:after="0" w:line="17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"PERSON" means any individual, corporation, limited liability company, partnership, joint venture, association, joint-stock company, trust or unincorporated organization (including any subdivision or ongoing business of any such entity or substantially all of the assets of any such entity, subdivision or business).</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"PRINCIPALS" means the Hagedorn Partnership, L.P., and any Partner or Affiliate thereof or of such Partner.</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"QUALIFIED SECURITIZATION TRANSACTION" means any transaction or series of transactions pursuant to which the Company or any of its Restricted Subsidiaries may sell, convey or otherwise transfer to (a) a Securitization Entity (in the case of a transfer by the Company or any of its Restricted Subsidiaries) and (b) any other Person (in case of a transfer by a Securitization Entity), or may grant a security interest in, any accounts receivable or equipment (whether now existing or arising or acquired in the future) of the Company or any of its Restricted Subsidiaries, and any assets related thereto including, without limitation, all collateral securing such accounts receivable and equipment, all contracts and contract rights and all Guarantees or other obligations in respect of such accounts receivable and equipment, proceeds of such accounts receivable and equipment and other assets (including contract rights) which are customarily transferred or in respect of which security interests are customarily granted in connection with asset securitization transactions involving accounts receivable and equipment.</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"RELATED BUSINESS" means the business conducted (or proposed to be conducted) by the Company and its Subsidiaries as of the Issue Date and any and all businesses that in the good faith judgment of the Board of Directors of the Company are reasonably related thereto.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"RELATED PARTY" with respect to any Principal means:</w:t>
      </w:r>
    </w:p>
    <w:p>
      <w:pPr>
        <w:spacing w:after="0" w:line="207" w:lineRule="exact"/>
        <w:rPr>
          <w:sz w:val="20"/>
          <w:szCs w:val="20"/>
          <w:color w:val="auto"/>
        </w:rPr>
      </w:pPr>
    </w:p>
    <w:p>
      <w:pPr>
        <w:ind w:left="740" w:right="1879" w:firstLine="5"/>
        <w:spacing w:after="0" w:line="236" w:lineRule="auto"/>
        <w:tabs>
          <w:tab w:leader="none" w:pos="1161"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controlling stockholder, 80% or more owned Subsidiary, or spouse or immediate family member (in the case of an individual) of such Principal; or</w:t>
      </w:r>
    </w:p>
    <w:p>
      <w:pPr>
        <w:spacing w:after="0" w:line="208" w:lineRule="exact"/>
        <w:rPr>
          <w:rFonts w:ascii="Courier New" w:cs="Courier New" w:eastAsia="Courier New" w:hAnsi="Courier New"/>
          <w:sz w:val="18"/>
          <w:szCs w:val="18"/>
          <w:color w:val="auto"/>
        </w:rPr>
      </w:pPr>
    </w:p>
    <w:p>
      <w:pPr>
        <w:ind w:left="740" w:right="2199" w:firstLine="5"/>
        <w:spacing w:after="0" w:line="237" w:lineRule="auto"/>
        <w:tabs>
          <w:tab w:leader="none" w:pos="1161"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trust, corporation, partnership or other entity, the beneficiaries, stockholders, partners, owners or Persons beneficially holding an 80% or more controlling interest of which consist of such Principal and/or such other Persons referred to in the immediately preceding clause (1).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"RESTRICTED INVESTMENT" means an Investment other than a Permitted Investment.</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"RESTRICTED SUBSIDIARY" of a Person means any Subsidiary of the referent Person that is not an Unrestricted Subsidiary.</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"SECURITIZATION ENTITY" means a Wholly Owned Subsidiary of the Company (or another Person in which the Company or any Subsidiary of the Company makes an Investment and to which the Company or any Subsidiary of the Company transfers accounts receivable or equipment and related assets) that engages in no activities other than in connection with the financing of</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71</w:t>
      </w:r>
    </w:p>
    <w:p>
      <w:pPr>
        <w:sectPr>
          <w:pgSz w:w="11900" w:h="16838" w:orient="portrait"/>
          <w:cols w:equalWidth="0" w:num="1">
            <w:col w:w="10219"/>
          </w:cols>
          <w:pgMar w:left="240" w:top="723" w:right="1440" w:bottom="1440" w:gutter="0" w:footer="0" w:header="0"/>
        </w:sectPr>
      </w:pPr>
    </w:p>
    <w:bookmarkStart w:id="80" w:name="page81"/>
    <w:bookmarkEnd w:id="80"/>
    <w:p>
      <w:pPr>
        <w:ind w:right="1999"/>
        <w:spacing w:after="0" w:line="268" w:lineRule="auto"/>
        <w:rPr>
          <w:sz w:val="20"/>
          <w:szCs w:val="20"/>
          <w:color w:val="auto"/>
        </w:rPr>
      </w:pPr>
      <w:r>
        <w:rPr>
          <w:rFonts w:ascii="Courier New" w:cs="Courier New" w:eastAsia="Courier New" w:hAnsi="Courier New"/>
          <w:sz w:val="16"/>
          <w:szCs w:val="16"/>
          <w:color w:val="auto"/>
        </w:rPr>
        <w:t>accounts receivable or equipment and that is a Securitization Entity (a) no portion of the Indebtedness or any other Obligations (contingent or otherwise) of which (i) is guaranteed by the Company or any Restricted Subsidiary of the Company (excluding guarantees of Obligations (other than the principal of, and interest on, Indebtedness)) pursuant to Standard Securitization Undertakings,</w:t>
      </w:r>
    </w:p>
    <w:p>
      <w:pPr>
        <w:spacing w:after="0" w:line="1" w:lineRule="exact"/>
        <w:rPr>
          <w:sz w:val="20"/>
          <w:szCs w:val="20"/>
          <w:color w:val="auto"/>
        </w:rPr>
      </w:pPr>
    </w:p>
    <w:p>
      <w:pPr>
        <w:ind w:right="1779" w:firstLine="8"/>
        <w:spacing w:after="0" w:line="268" w:lineRule="auto"/>
        <w:tabs>
          <w:tab w:leader="none" w:pos="527"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recourse to or obligates the Company or any Restricted Subsidiary of the Company in any way other than pursuant to Standard Securitization Undertakings or (iii) subjects any property or asset of the Company or any Restricted Subsidiary of the Company, directly or indirectly, contingently or otherwise, to the satisfaction thereof, other than pursuant to Standard Securitization Undertakings, (b) with which neither the Company nor any Restricted Subsidiary of the Company has any material contract, agreement, arrangement or understanding other than on terms no less favorable to the Company or such Restricted Subsidiary than those that might be obtained at the time from Persons that are not Affiliates of the Company, other than fees payable in the ordinary course of business in connection with servicing receivables of such entity, and</w:t>
      </w:r>
    </w:p>
    <w:p>
      <w:pPr>
        <w:spacing w:after="0" w:line="2" w:lineRule="exact"/>
        <w:rPr>
          <w:rFonts w:ascii="Courier New" w:cs="Courier New" w:eastAsia="Courier New" w:hAnsi="Courier New"/>
          <w:sz w:val="16"/>
          <w:szCs w:val="16"/>
          <w:color w:val="auto"/>
        </w:rPr>
      </w:pPr>
    </w:p>
    <w:p>
      <w:pPr>
        <w:ind w:right="1879" w:firstLine="8"/>
        <w:spacing w:after="0" w:line="236" w:lineRule="auto"/>
        <w:tabs>
          <w:tab w:leader="none" w:pos="421"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which neither the Company nor any Restricted Subsidiary of the Company has any obligation to maintain or preserve such entity's financial condition or cause such entity to achieve certain levels of operating results.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DEBT" means:</w:t>
      </w:r>
    </w:p>
    <w:p>
      <w:pPr>
        <w:spacing w:after="0" w:line="207" w:lineRule="exact"/>
        <w:rPr>
          <w:sz w:val="20"/>
          <w:szCs w:val="20"/>
          <w:color w:val="auto"/>
        </w:rPr>
      </w:pPr>
    </w:p>
    <w:p>
      <w:pPr>
        <w:ind w:left="740" w:right="1879" w:firstLine="5"/>
        <w:spacing w:after="0" w:line="235" w:lineRule="auto"/>
        <w:tabs>
          <w:tab w:leader="none" w:pos="1161"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Indebtedness outstanding under Credit Facilities and all Hedging Obligations with respect thereto;</w:t>
      </w:r>
    </w:p>
    <w:p>
      <w:pPr>
        <w:spacing w:after="0" w:line="208" w:lineRule="exact"/>
        <w:rPr>
          <w:rFonts w:ascii="Courier New" w:cs="Courier New" w:eastAsia="Courier New" w:hAnsi="Courier New"/>
          <w:sz w:val="18"/>
          <w:szCs w:val="18"/>
          <w:color w:val="auto"/>
        </w:rPr>
      </w:pPr>
    </w:p>
    <w:p>
      <w:pPr>
        <w:ind w:left="740" w:right="1879" w:firstLine="5"/>
        <w:spacing w:after="0" w:line="237" w:lineRule="auto"/>
        <w:tabs>
          <w:tab w:leader="none" w:pos="1161"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Indebtedness permitted to be incurred by the Company under the terms of the Indenture, unless the instrument under which such Indebtedness is incurred expressly provides that it is on a parity with or subordinated in right of payment to the Notes or the Subsidiary Guarantees; and</w:t>
      </w:r>
    </w:p>
    <w:p>
      <w:pPr>
        <w:spacing w:after="0" w:line="208" w:lineRule="exact"/>
        <w:rPr>
          <w:rFonts w:ascii="Courier New" w:cs="Courier New" w:eastAsia="Courier New" w:hAnsi="Courier New"/>
          <w:sz w:val="18"/>
          <w:szCs w:val="18"/>
          <w:color w:val="auto"/>
        </w:rPr>
      </w:pPr>
    </w:p>
    <w:p>
      <w:pPr>
        <w:ind w:left="740" w:right="2199" w:firstLine="5"/>
        <w:spacing w:after="0" w:line="235" w:lineRule="auto"/>
        <w:tabs>
          <w:tab w:leader="none" w:pos="1161"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with respect to the items listed in the preceding clauses (1) and (2).</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Notwithstanding anything to the contrary in the preceding, Senior Debt will not include:</w:t>
      </w:r>
    </w:p>
    <w:p>
      <w:pPr>
        <w:spacing w:after="0" w:line="208" w:lineRule="exact"/>
        <w:rPr>
          <w:sz w:val="20"/>
          <w:szCs w:val="20"/>
          <w:color w:val="auto"/>
        </w:rPr>
      </w:pPr>
    </w:p>
    <w:p>
      <w:pPr>
        <w:ind w:left="740" w:right="1879" w:firstLine="5"/>
        <w:spacing w:after="0" w:line="235" w:lineRule="auto"/>
        <w:tabs>
          <w:tab w:leader="none" w:pos="1161"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for federal, state, local or other taxes owed or owing by the Company;</w:t>
      </w:r>
    </w:p>
    <w:p>
      <w:pPr>
        <w:spacing w:after="0" w:line="208" w:lineRule="exact"/>
        <w:rPr>
          <w:rFonts w:ascii="Courier New" w:cs="Courier New" w:eastAsia="Courier New" w:hAnsi="Courier New"/>
          <w:sz w:val="18"/>
          <w:szCs w:val="18"/>
          <w:color w:val="auto"/>
        </w:rPr>
      </w:pPr>
    </w:p>
    <w:p>
      <w:pPr>
        <w:ind w:left="740" w:right="1999" w:firstLine="5"/>
        <w:spacing w:after="0" w:line="235" w:lineRule="auto"/>
        <w:tabs>
          <w:tab w:leader="none" w:pos="1161"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of the Company to any of its Subsidiaries or other Affiliates;</w:t>
      </w:r>
    </w:p>
    <w:p>
      <w:pPr>
        <w:spacing w:after="0" w:line="202"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trade payables; or</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that is incurred in violation of the Indenture.</w:t>
      </w:r>
    </w:p>
    <w:p>
      <w:pPr>
        <w:spacing w:after="0" w:line="207"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"SIGNIFICANT DOMESTIC RESTRICTED SUBSIDIARY" means any Domestic Restricted Subsidiary, other than any Wholly Owned Domestic Restricted Subsidiary, that both is a Significant Subsidiary of the Company and guarantees or otherwise provides direct credit support for any Senior Debt of the Company.</w:t>
      </w:r>
    </w:p>
    <w:p>
      <w:pPr>
        <w:spacing w:after="0" w:line="182"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"SIGNIFICANT SUBSIDIARY" means any Subsidiary that would be a "significant subsidiary" as defined in Article 1, Rule 1-02 of Regulation S-X, promulgated pursuant to the Act, as such Regulation is in effect on the date hereof.</w:t>
      </w:r>
    </w:p>
    <w:p>
      <w:pPr>
        <w:spacing w:after="0" w:line="17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"STANDARD SECURITIZATION UNDERTAKINGS" means representations, warranties, covenants and indemnities entered into by the Company or any Subsidiary of the Company that are reasonably customary in an accounts receivable or equipment transaction.</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"STATED MATURITY" means, with respect to any installment of interest or principal on any series of Indebtedness, the date on which such payment of interest or principal was scheduled to be paid in the original documentation governing such Indebtedness, and shall not include any</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72</w:t>
      </w:r>
    </w:p>
    <w:p>
      <w:pPr>
        <w:sectPr>
          <w:pgSz w:w="11900" w:h="16838" w:orient="portrait"/>
          <w:cols w:equalWidth="0" w:num="1">
            <w:col w:w="10219"/>
          </w:cols>
          <w:pgMar w:left="240" w:top="723" w:right="1440" w:bottom="1440" w:gutter="0" w:footer="0" w:header="0"/>
        </w:sectPr>
      </w:pPr>
    </w:p>
    <w:bookmarkStart w:id="81" w:name="page82"/>
    <w:bookmarkEnd w:id="81"/>
    <w:p>
      <w:pPr>
        <w:ind w:right="2419"/>
        <w:spacing w:after="0" w:line="290" w:lineRule="auto"/>
        <w:rPr>
          <w:sz w:val="20"/>
          <w:szCs w:val="20"/>
          <w:color w:val="auto"/>
        </w:rPr>
      </w:pPr>
      <w:r>
        <w:rPr>
          <w:rFonts w:ascii="Courier New" w:cs="Courier New" w:eastAsia="Courier New" w:hAnsi="Courier New"/>
          <w:sz w:val="16"/>
          <w:szCs w:val="16"/>
          <w:color w:val="auto"/>
        </w:rPr>
        <w:t>contingent obligations to repay, redeem or repurchase any such interest or principal prior to the date originally scheduled for the payment thereof.</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 means, with respect to any Person:</w:t>
      </w:r>
    </w:p>
    <w:p>
      <w:pPr>
        <w:spacing w:after="0" w:line="207" w:lineRule="exact"/>
        <w:rPr>
          <w:sz w:val="20"/>
          <w:szCs w:val="20"/>
          <w:color w:val="auto"/>
        </w:rPr>
      </w:pPr>
    </w:p>
    <w:p>
      <w:pPr>
        <w:ind w:left="740" w:right="1879" w:firstLine="5"/>
        <w:spacing w:after="0" w:line="272" w:lineRule="auto"/>
        <w:tabs>
          <w:tab w:leader="none" w:pos="1161"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and</w:t>
      </w:r>
    </w:p>
    <w:p>
      <w:pPr>
        <w:spacing w:after="0" w:line="185" w:lineRule="exact"/>
        <w:rPr>
          <w:rFonts w:ascii="Courier New" w:cs="Courier New" w:eastAsia="Courier New" w:hAnsi="Courier New"/>
          <w:sz w:val="16"/>
          <w:szCs w:val="16"/>
          <w:color w:val="auto"/>
        </w:rPr>
      </w:pPr>
    </w:p>
    <w:p>
      <w:pPr>
        <w:ind w:left="740" w:right="1779" w:firstLine="5"/>
        <w:spacing w:after="0" w:line="237" w:lineRule="auto"/>
        <w:tabs>
          <w:tab w:leader="none" w:pos="1161"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partnership (a) the sole general partner or the managing general partner of which is such Person or a Subsidiary of such Person or (b) the only general partners of which are such Person or of one or more Subsidiaries of such Person (or any combination thereof).</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"TREASURY RATE" means, as of any Redemption Date, the yield to maturity as of the Redemption Date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January 15, 2004; provided, however, that if the period from the Redemption Date to January 15, 2004 is less than one year, the weekly average yield on actually traded United States Treasury securities adjusted to a constant maturity of one year shall be used.</w:t>
      </w:r>
    </w:p>
    <w:p>
      <w:pPr>
        <w:spacing w:after="0" w:line="216"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"UNRESTRICTED SUBSIDIARY" means any Subsidiary of the Company that is designated by the Board of Directors as an Unrestricted Subsidiary pursuant to a Board Resolution, but only to the extent that such Subsidiary:</w:t>
      </w:r>
    </w:p>
    <w:p>
      <w:pPr>
        <w:spacing w:after="0" w:line="203" w:lineRule="exact"/>
        <w:rPr>
          <w:sz w:val="20"/>
          <w:szCs w:val="20"/>
          <w:color w:val="auto"/>
        </w:rPr>
      </w:pPr>
    </w:p>
    <w:p>
      <w:pPr>
        <w:ind w:left="1160" w:hanging="415"/>
        <w:spacing w:after="0"/>
        <w:tabs>
          <w:tab w:leader="none" w:pos="116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no Indebtedness other than Non-Recourse Debt;</w:t>
      </w:r>
    </w:p>
    <w:p>
      <w:pPr>
        <w:spacing w:after="0" w:line="206" w:lineRule="exact"/>
        <w:rPr>
          <w:rFonts w:ascii="Courier New" w:cs="Courier New" w:eastAsia="Courier New" w:hAnsi="Courier New"/>
          <w:sz w:val="18"/>
          <w:szCs w:val="18"/>
          <w:color w:val="auto"/>
        </w:rPr>
      </w:pPr>
    </w:p>
    <w:p>
      <w:pPr>
        <w:ind w:left="740" w:right="1779" w:firstLine="5"/>
        <w:spacing w:after="0" w:line="237" w:lineRule="auto"/>
        <w:tabs>
          <w:tab w:leader="none" w:pos="1161"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not party to any agreement, contract, arrangement or understanding with the Company or any Restricted Subsidiary of the Company unless the terms of any such agreement, contract, arrangement or understanding are no less favorable to the Company or such Restricted Subsidiary than those that might be obtained at the time from Persons who are not Affiliates of the Company;</w:t>
      </w:r>
    </w:p>
    <w:p>
      <w:pPr>
        <w:spacing w:after="0" w:line="209" w:lineRule="exact"/>
        <w:rPr>
          <w:rFonts w:ascii="Courier New" w:cs="Courier New" w:eastAsia="Courier New" w:hAnsi="Courier New"/>
          <w:sz w:val="18"/>
          <w:szCs w:val="18"/>
          <w:color w:val="auto"/>
        </w:rPr>
      </w:pPr>
    </w:p>
    <w:p>
      <w:pPr>
        <w:ind w:left="740" w:right="1879" w:firstLine="5"/>
        <w:spacing w:after="0" w:line="237" w:lineRule="auto"/>
        <w:tabs>
          <w:tab w:leader="none" w:pos="1161"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Person with respect to which neither the Company nor any of its Restricted Subsidiaries has any direct or indirect obligation (a) to subscribe for additional Equity Interests or (b) to maintain or preserve such Person's financial condition or to cause such Person to achieve any specified of operating results; and</w:t>
      </w:r>
    </w:p>
    <w:p>
      <w:pPr>
        <w:spacing w:after="0" w:line="208" w:lineRule="exact"/>
        <w:rPr>
          <w:rFonts w:ascii="Courier New" w:cs="Courier New" w:eastAsia="Courier New" w:hAnsi="Courier New"/>
          <w:sz w:val="18"/>
          <w:szCs w:val="18"/>
          <w:color w:val="auto"/>
        </w:rPr>
      </w:pPr>
    </w:p>
    <w:p>
      <w:pPr>
        <w:ind w:left="740" w:right="2419" w:firstLine="5"/>
        <w:spacing w:after="0" w:line="236" w:lineRule="auto"/>
        <w:tabs>
          <w:tab w:leader="none" w:pos="1161"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not guaranteed or otherwise directly or indirectly provided credit support for any Indebtedness of the Company or any of its Restricted Subsidiaries.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Any designation of a Subsidiary of the Company as an Unrestricted Subsidiary shall be evidenced to the Trustee by filing with the Trustee a certified copy of the Board Resolution giving effect to such designation and an Officers' Certificate certifying that such designation complied with the preceding conditions and was permitted by the covenant described above under the caption "Certain covenants -- Restricted payments." If, at any time, any Unrestricted Subsidiary would fail to meet the preceding requirements as an Unrestricted Subsidiary, it shall thereafter cease to be an Unrestricted Subsidiary for purposes of the Indenture and any Indebtedness of such Subsidiary shall be deemed to be incurred by a Restricted Subsidiary of</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73</w:t>
      </w:r>
    </w:p>
    <w:p>
      <w:pPr>
        <w:sectPr>
          <w:pgSz w:w="11900" w:h="16838" w:orient="portrait"/>
          <w:cols w:equalWidth="0" w:num="1">
            <w:col w:w="10219"/>
          </w:cols>
          <w:pgMar w:left="240" w:top="723" w:right="1440" w:bottom="1440" w:gutter="0" w:footer="0" w:header="0"/>
        </w:sectPr>
      </w:pPr>
    </w:p>
    <w:bookmarkStart w:id="82" w:name="page83"/>
    <w:bookmarkEnd w:id="82"/>
    <w:p>
      <w:pPr>
        <w:ind w:right="1779"/>
        <w:spacing w:after="0" w:line="270" w:lineRule="auto"/>
        <w:rPr>
          <w:sz w:val="20"/>
          <w:szCs w:val="20"/>
          <w:color w:val="auto"/>
        </w:rPr>
      </w:pPr>
      <w:r>
        <w:rPr>
          <w:rFonts w:ascii="Courier New" w:cs="Courier New" w:eastAsia="Courier New" w:hAnsi="Courier New"/>
          <w:sz w:val="16"/>
          <w:szCs w:val="16"/>
          <w:color w:val="auto"/>
        </w:rPr>
        <w:t>the Company as of such date and, if such Indebtedness is not permitted to be incurred as of such date under the covenant described under the caption "Incurrence of indebtedness and issuance of preferred stock," the Company shall be in default of such covenant. The Board of Directors of the Company may at any time designate any Unrestricted Subsidiary to be a Restricted Subsidiary; provided that such designation shall be deemed to be an incurrence of Indebtedness by a Restricted Subsidiary of the Company of any outstanding Indebtedness of such Unrestricted Subsidiary and such designation shall only be permitted if (1) such Indebtedness is permitted under the covenant described under the caption "Certain covenants -- Incurrence of indebtedness and issuance of preferred stock," calculated on a pro forma basis as if such designation had occurred at the beginning of the four-quarter reference period; and (2) no Default or Event of Default would be in existence following such designation.</w:t>
      </w:r>
    </w:p>
    <w:p>
      <w:pPr>
        <w:spacing w:after="0" w:line="38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If a Guarantor is designated as an Unrestricted Subsidiary, the Subsidiary Guarantee of that Guarantor shall be released. If an Unrestricted Subsidiary becomes a Restricted Subsidiary, such Restricted Subsidiary shall become a Guarantor in accordance with the terms of the Indenture.</w:t>
      </w:r>
    </w:p>
    <w:p>
      <w:pPr>
        <w:spacing w:after="0" w:line="207"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"VOTING STOCK" of any Person as of any date means the Capital Stock of such Person that is at the time entitled to vote in the election of the Board of Directors of such Person.</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"WEIGHTED AVERAGE LIFE TO MATURITY" means, when applied to any Indebtedness at any date, the number of years obtained by dividing:</w:t>
      </w:r>
    </w:p>
    <w:p>
      <w:pPr>
        <w:spacing w:after="0" w:line="208" w:lineRule="exact"/>
        <w:rPr>
          <w:sz w:val="20"/>
          <w:szCs w:val="20"/>
          <w:color w:val="auto"/>
        </w:rPr>
      </w:pPr>
    </w:p>
    <w:p>
      <w:pPr>
        <w:ind w:left="740" w:right="1999" w:firstLine="5"/>
        <w:spacing w:after="0" w:line="237" w:lineRule="auto"/>
        <w:tabs>
          <w:tab w:leader="none" w:pos="1161"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w:t>
      </w:r>
    </w:p>
    <w:p>
      <w:pPr>
        <w:spacing w:after="0" w:line="204"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then outstanding principal amount of such Indebtedness.</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"WHOLLY OWNED DOMESTIC RESTRICTED SUBSIDIARY" means, with respect to the Company, any Domestic Restricted Subsidiary that meets the definition of a Wholly Owned Restricted Subsidiary.</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"WHOLLY OWNED RESTRICTED SUBSIDIARY" of any Person means a Restricted Subsidiary of such Person all of the outstanding Capital Stock or other ownership interests of which (other than directors' qualifying shares) shall at the time be owned by such Person and/or by one or more Wholly Owned Restricted Subsidiaries of such Person.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74</w:t>
      </w:r>
    </w:p>
    <w:p>
      <w:pPr>
        <w:sectPr>
          <w:pgSz w:w="11900" w:h="16838" w:orient="portrait"/>
          <w:cols w:equalWidth="0" w:num="1">
            <w:col w:w="10219"/>
          </w:cols>
          <w:pgMar w:left="240" w:top="722" w:right="1440" w:bottom="1440" w:gutter="0" w:footer="0" w:header="0"/>
        </w:sectPr>
      </w:pPr>
    </w:p>
    <w:bookmarkStart w:id="83" w:name="page84"/>
    <w:bookmarkEnd w:id="83"/>
    <w:p>
      <w:pPr>
        <w:ind w:left="2320"/>
        <w:spacing w:after="0"/>
        <w:rPr>
          <w:sz w:val="20"/>
          <w:szCs w:val="20"/>
          <w:color w:val="auto"/>
        </w:rPr>
      </w:pPr>
      <w:r>
        <w:rPr>
          <w:rFonts w:ascii="Courier New" w:cs="Courier New" w:eastAsia="Courier New" w:hAnsi="Courier New"/>
          <w:sz w:val="18"/>
          <w:szCs w:val="18"/>
          <w:color w:val="auto"/>
        </w:rPr>
        <w:t>BOOK-ENTRY, SETTLEMENT AND CLEARANCE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GLOBAL NOTE</w:t>
      </w:r>
    </w:p>
    <w:p>
      <w:pPr>
        <w:spacing w:after="0" w:line="207" w:lineRule="exact"/>
        <w:rPr>
          <w:sz w:val="20"/>
          <w:szCs w:val="20"/>
          <w:color w:val="auto"/>
        </w:rPr>
      </w:pPr>
    </w:p>
    <w:p>
      <w:pPr>
        <w:jc w:val="both"/>
        <w:ind w:right="2099"/>
        <w:spacing w:after="0" w:line="275" w:lineRule="auto"/>
        <w:rPr>
          <w:sz w:val="20"/>
          <w:szCs w:val="20"/>
          <w:color w:val="auto"/>
        </w:rPr>
      </w:pPr>
      <w:r>
        <w:rPr>
          <w:rFonts w:ascii="Courier New" w:cs="Courier New" w:eastAsia="Courier New" w:hAnsi="Courier New"/>
          <w:sz w:val="16"/>
          <w:szCs w:val="16"/>
          <w:color w:val="auto"/>
        </w:rPr>
        <w:t>The exchange notes will be issued in the form of a registered note in global form, without interest coupons (the "global note"). Upon issuance, the global note will be deposited with the Trustee as custodian for The Depository Trust Company and registered in the name of Cede &amp; Co., as nominee of DTC.</w:t>
      </w:r>
    </w:p>
    <w:p>
      <w:pPr>
        <w:spacing w:after="0" w:line="182"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OWNERSHIP OF BENEFICIAL INTERESTS IN THE GLOBAL NOTE WILL BE LIMITED TO PERSONS WHO HAVE ACCOUNTS WITH DTC ("DTC PARTICIPANTS") OR PERSONS WHO HOLD INTERESTS THROUGH DTC PARTICIPANTS. WE EXPECT THAT UNDER PROCEDURES ESTABLISHED BY DTC:</w:t>
      </w:r>
    </w:p>
    <w:p>
      <w:pPr>
        <w:spacing w:after="0" w:line="178" w:lineRule="exact"/>
        <w:rPr>
          <w:sz w:val="20"/>
          <w:szCs w:val="20"/>
          <w:color w:val="auto"/>
        </w:rPr>
      </w:pPr>
    </w:p>
    <w:p>
      <w:pPr>
        <w:ind w:left="740" w:right="1999" w:firstLine="5"/>
        <w:spacing w:after="0" w:line="279" w:lineRule="auto"/>
        <w:tabs>
          <w:tab w:leader="none" w:pos="951"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deposit of the global note with DTC's custodian, DTC will credit portions of the principal amount of the global note to the accounts of the DTC participants designated by the initial purchasers; and</w:t>
      </w:r>
    </w:p>
    <w:p>
      <w:pPr>
        <w:spacing w:after="0" w:line="178" w:lineRule="exact"/>
        <w:rPr>
          <w:rFonts w:ascii="Courier New" w:cs="Courier New" w:eastAsia="Courier New" w:hAnsi="Courier New"/>
          <w:sz w:val="16"/>
          <w:szCs w:val="16"/>
          <w:color w:val="auto"/>
        </w:rPr>
      </w:pPr>
    </w:p>
    <w:p>
      <w:pPr>
        <w:ind w:left="740" w:right="1879" w:firstLine="5"/>
        <w:spacing w:after="0" w:line="237" w:lineRule="auto"/>
        <w:tabs>
          <w:tab w:leader="none" w:pos="951"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beneficial interests in the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Investors may hold their interests in the global note directly through Euroclear or Clearstream, if they are participants in those systems, or indirectly through organizations that are participants in those systems. After the Distribution Compliance Period ends, investors may also hold their interests in the global note through organizations other than Euroclear or Clearstream that are DTC participants. Each of Euroclear and Clearstream will appoint a DTC participant to act as its depositary for the interests in the global note that are held within DTC for the account of each settlement system on behalf of its participants.</w:t>
      </w:r>
    </w:p>
    <w:p>
      <w:pPr>
        <w:spacing w:after="0" w:line="214"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Beneficial interests in the global note may not be exchanged for notes in physical, certificated form except in the limited circumstances described below.</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PROCEDURES FOR THE GLOBAL NOTE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All interests in the global note will be subject to the operations and procedures of DTC, Euroclear and Clearstream. We provide the following summaries of those operations and procedures solely for the convenience of investors. The operations and procedures of each settlement system are controlled by that settlement system and may be changed at any time. We are not responsible for those operations or procedures.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DTC has advised us that it is:</w:t>
      </w:r>
    </w:p>
    <w:p>
      <w:pPr>
        <w:spacing w:after="0" w:line="207" w:lineRule="exact"/>
        <w:rPr>
          <w:sz w:val="20"/>
          <w:szCs w:val="20"/>
          <w:color w:val="auto"/>
        </w:rPr>
      </w:pPr>
    </w:p>
    <w:p>
      <w:pPr>
        <w:ind w:left="740" w:right="1999" w:firstLine="5"/>
        <w:spacing w:after="0" w:line="235" w:lineRule="auto"/>
        <w:tabs>
          <w:tab w:leader="none" w:pos="951"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limited purpose trust company organized under the laws of the State of New York;</w:t>
      </w:r>
    </w:p>
    <w:p>
      <w:pPr>
        <w:spacing w:after="0" w:line="208" w:lineRule="exact"/>
        <w:rPr>
          <w:rFonts w:ascii="Courier New" w:cs="Courier New" w:eastAsia="Courier New" w:hAnsi="Courier New"/>
          <w:sz w:val="18"/>
          <w:szCs w:val="18"/>
          <w:color w:val="auto"/>
        </w:rPr>
      </w:pPr>
    </w:p>
    <w:p>
      <w:pPr>
        <w:ind w:left="740" w:right="2419" w:firstLine="5"/>
        <w:spacing w:after="0" w:line="235" w:lineRule="auto"/>
        <w:tabs>
          <w:tab w:leader="none" w:pos="951"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"banking organization" within the meaning of the New York State Banking Law;</w:t>
      </w:r>
    </w:p>
    <w:p>
      <w:pPr>
        <w:spacing w:after="0" w:line="202"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member of the Federal Reserve System;</w:t>
      </w:r>
    </w:p>
    <w:p>
      <w:pPr>
        <w:spacing w:after="0" w:line="206" w:lineRule="exact"/>
        <w:rPr>
          <w:rFonts w:ascii="Courier New" w:cs="Courier New" w:eastAsia="Courier New" w:hAnsi="Courier New"/>
          <w:sz w:val="18"/>
          <w:szCs w:val="18"/>
          <w:color w:val="auto"/>
        </w:rPr>
      </w:pPr>
    </w:p>
    <w:p>
      <w:pPr>
        <w:ind w:left="740" w:right="1999" w:firstLine="5"/>
        <w:spacing w:after="0" w:line="235" w:lineRule="auto"/>
        <w:tabs>
          <w:tab w:leader="none" w:pos="951"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"clearing corporation" within the meaning of the Uniform Commercial Code; and</w:t>
      </w:r>
    </w:p>
    <w:p>
      <w:pPr>
        <w:spacing w:after="0" w:line="208" w:lineRule="exact"/>
        <w:rPr>
          <w:rFonts w:ascii="Courier New" w:cs="Courier New" w:eastAsia="Courier New" w:hAnsi="Courier New"/>
          <w:sz w:val="18"/>
          <w:szCs w:val="18"/>
          <w:color w:val="auto"/>
        </w:rPr>
      </w:pPr>
    </w:p>
    <w:p>
      <w:pPr>
        <w:ind w:left="740" w:right="2319" w:firstLine="5"/>
        <w:spacing w:after="0" w:line="235" w:lineRule="auto"/>
        <w:tabs>
          <w:tab w:leader="none" w:pos="951"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"clearing agency" registered under Section 17A of the Securities Exchange Act of 1934.</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75</w:t>
      </w:r>
    </w:p>
    <w:p>
      <w:pPr>
        <w:sectPr>
          <w:pgSz w:w="11900" w:h="16838" w:orient="portrait"/>
          <w:cols w:equalWidth="0" w:num="1">
            <w:col w:w="10219"/>
          </w:cols>
          <w:pgMar w:left="240" w:top="717" w:right="1440" w:bottom="1440" w:gutter="0" w:footer="0" w:header="0"/>
        </w:sectPr>
      </w:pPr>
    </w:p>
    <w:bookmarkStart w:id="84" w:name="page85"/>
    <w:bookmarkEnd w:id="84"/>
    <w:p>
      <w:pPr>
        <w:ind w:right="1779"/>
        <w:spacing w:after="0" w:line="237" w:lineRule="auto"/>
        <w:rPr>
          <w:sz w:val="20"/>
          <w:szCs w:val="20"/>
          <w:color w:val="auto"/>
        </w:rPr>
      </w:pPr>
      <w:r>
        <w:rPr>
          <w:rFonts w:ascii="Courier New" w:cs="Courier New" w:eastAsia="Courier New" w:hAnsi="Courier New"/>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initial purchasers;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207" w:lineRule="exact"/>
        <w:rPr>
          <w:sz w:val="20"/>
          <w:szCs w:val="20"/>
          <w:color w:val="auto"/>
        </w:rPr>
      </w:pPr>
    </w:p>
    <w:p>
      <w:pPr>
        <w:ind w:left="740" w:right="2419" w:firstLine="5"/>
        <w:spacing w:after="0" w:line="235" w:lineRule="auto"/>
        <w:tabs>
          <w:tab w:leader="none" w:pos="951"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not be entitled to have notes represented by the global note registered in their names;</w:t>
      </w:r>
    </w:p>
    <w:p>
      <w:pPr>
        <w:spacing w:after="0" w:line="208" w:lineRule="exact"/>
        <w:rPr>
          <w:rFonts w:ascii="Courier New" w:cs="Courier New" w:eastAsia="Courier New" w:hAnsi="Courier New"/>
          <w:sz w:val="18"/>
          <w:szCs w:val="18"/>
          <w:color w:val="auto"/>
        </w:rPr>
      </w:pPr>
    </w:p>
    <w:p>
      <w:pPr>
        <w:ind w:left="740" w:right="2419" w:firstLine="5"/>
        <w:spacing w:after="0" w:line="235" w:lineRule="auto"/>
        <w:tabs>
          <w:tab w:leader="none" w:pos="951"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not receive or be entitled to receive physical, certificated notes; and</w:t>
      </w:r>
    </w:p>
    <w:p>
      <w:pPr>
        <w:spacing w:after="0" w:line="208" w:lineRule="exact"/>
        <w:rPr>
          <w:rFonts w:ascii="Courier New" w:cs="Courier New" w:eastAsia="Courier New" w:hAnsi="Courier New"/>
          <w:sz w:val="18"/>
          <w:szCs w:val="18"/>
          <w:color w:val="auto"/>
        </w:rPr>
      </w:pPr>
    </w:p>
    <w:p>
      <w:pPr>
        <w:ind w:left="740" w:right="2099" w:firstLine="5"/>
        <w:spacing w:after="0" w:line="279" w:lineRule="auto"/>
        <w:tabs>
          <w:tab w:leader="none" w:pos="951"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not be considered the owners or holders of the notes under the Indenture for any purpose, including with respect to the giving of any direction, instruction or approval to the Trustee under the Indenture.</w:t>
      </w:r>
    </w:p>
    <w:p>
      <w:pPr>
        <w:spacing w:after="0" w:line="17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Payments of principal, premium (if any)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Transfers between participants in DTC will be effected under DTC's procedures and will be settled in same-day funds. Transfers between participants in Euroclear or Clearstream will be effected in the ordinary way under the rules and operating procedures of those systems.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Cross-market transfers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w:t>
      </w: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76</w:t>
      </w:r>
    </w:p>
    <w:p>
      <w:pPr>
        <w:sectPr>
          <w:pgSz w:w="11900" w:h="16838" w:orient="portrait"/>
          <w:cols w:equalWidth="0" w:num="1">
            <w:col w:w="10219"/>
          </w:cols>
          <w:pgMar w:left="240" w:top="723" w:right="1440" w:bottom="1440" w:gutter="0" w:footer="0" w:header="0"/>
        </w:sectPr>
      </w:pPr>
    </w:p>
    <w:bookmarkStart w:id="85" w:name="page86"/>
    <w:bookmarkEnd w:id="85"/>
    <w:p>
      <w:pPr>
        <w:ind w:right="1779"/>
        <w:spacing w:after="0" w:line="236" w:lineRule="auto"/>
        <w:rPr>
          <w:sz w:val="20"/>
          <w:szCs w:val="20"/>
          <w:color w:val="auto"/>
        </w:rPr>
      </w:pPr>
      <w:r>
        <w:rPr>
          <w:rFonts w:ascii="Courier New" w:cs="Courier New" w:eastAsia="Courier New" w:hAnsi="Courier New"/>
          <w:sz w:val="18"/>
          <w:szCs w:val="18"/>
          <w:color w:val="auto"/>
        </w:rPr>
        <w:t>payment under normal procedures for same-day funds settlement applicable to DTC. Euroclear and Clearstream participants may not deliver instructions directly to the DTC depositaries that are acting for Euroclear or Clearstream.</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received with value on the DTC settlement date but will be available in the relevant Euroclear or Clearstream cash account as of the business day for Euroclear or Clearstream following the DTC settlement date.</w:t>
      </w:r>
    </w:p>
    <w:p>
      <w:pPr>
        <w:spacing w:after="0" w:line="18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for the performance by DTC, Euroclear or Clearstream or their participants or indirect participants of their obligations under the rules and procedures governing their operations.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CERTIFICATED NOTES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Notes in physical, certificated form will be issued and delivered to each person that DTC identifies as a beneficial owner of the related notes only if:</w:t>
      </w:r>
    </w:p>
    <w:p>
      <w:pPr>
        <w:spacing w:after="0" w:line="208" w:lineRule="exact"/>
        <w:rPr>
          <w:sz w:val="20"/>
          <w:szCs w:val="20"/>
          <w:color w:val="auto"/>
        </w:rPr>
      </w:pPr>
    </w:p>
    <w:p>
      <w:pPr>
        <w:ind w:left="740" w:right="1879" w:firstLine="5"/>
        <w:spacing w:after="0" w:line="236" w:lineRule="auto"/>
        <w:tabs>
          <w:tab w:leader="none" w:pos="951"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DTC notifies us at any time that it is unwilling or unable to continue as depositary for the global notes and a successor depositary is not appointed within 90 days;</w:t>
      </w:r>
    </w:p>
    <w:p>
      <w:pPr>
        <w:spacing w:after="0" w:line="208" w:lineRule="exact"/>
        <w:rPr>
          <w:rFonts w:ascii="Courier New" w:cs="Courier New" w:eastAsia="Courier New" w:hAnsi="Courier New"/>
          <w:sz w:val="18"/>
          <w:szCs w:val="18"/>
          <w:color w:val="auto"/>
        </w:rPr>
      </w:pPr>
    </w:p>
    <w:p>
      <w:pPr>
        <w:jc w:val="both"/>
        <w:ind w:left="740" w:right="1999" w:firstLine="5"/>
        <w:spacing w:after="0" w:line="236" w:lineRule="auto"/>
        <w:tabs>
          <w:tab w:leader="none" w:pos="951"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DTC ceases to be registered as a clearing agency under the Securities Exchange Act of 1934 and a successor depositary is not appointed within 90 days;</w:t>
      </w:r>
    </w:p>
    <w:p>
      <w:pPr>
        <w:spacing w:after="0" w:line="208" w:lineRule="exact"/>
        <w:rPr>
          <w:rFonts w:ascii="Courier New" w:cs="Courier New" w:eastAsia="Courier New" w:hAnsi="Courier New"/>
          <w:sz w:val="18"/>
          <w:szCs w:val="18"/>
          <w:color w:val="auto"/>
        </w:rPr>
      </w:pPr>
    </w:p>
    <w:p>
      <w:pPr>
        <w:ind w:left="740" w:right="2519" w:firstLine="5"/>
        <w:spacing w:after="0" w:line="235" w:lineRule="auto"/>
        <w:tabs>
          <w:tab w:leader="none" w:pos="951"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at our option, notify the Trustee that we elect to cause the issuance of certificated notes; or</w:t>
      </w:r>
    </w:p>
    <w:p>
      <w:pPr>
        <w:spacing w:after="0" w:line="202"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other events provided in the Indenture should occur.</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77</w:t>
      </w:r>
    </w:p>
    <w:p>
      <w:pPr>
        <w:sectPr>
          <w:pgSz w:w="11900" w:h="16838" w:orient="portrait"/>
          <w:cols w:equalWidth="0" w:num="1">
            <w:col w:w="10219"/>
          </w:cols>
          <w:pgMar w:left="240" w:top="723" w:right="1440" w:bottom="1440" w:gutter="0" w:footer="0" w:header="0"/>
        </w:sectPr>
      </w:pPr>
    </w:p>
    <w:bookmarkStart w:id="86" w:name="page87"/>
    <w:bookmarkEnd w:id="86"/>
    <w:p>
      <w:pPr>
        <w:jc w:val="center"/>
        <w:ind w:right="1879"/>
        <w:spacing w:after="0"/>
        <w:rPr>
          <w:sz w:val="20"/>
          <w:szCs w:val="20"/>
          <w:color w:val="auto"/>
        </w:rPr>
      </w:pPr>
      <w:r>
        <w:rPr>
          <w:rFonts w:ascii="Courier New" w:cs="Courier New" w:eastAsia="Courier New" w:hAnsi="Courier New"/>
          <w:sz w:val="18"/>
          <w:szCs w:val="18"/>
          <w:color w:val="auto"/>
        </w:rPr>
        <w:t>CERTAIN U.S. FEDERAL TAX CONSIDERATIONS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following is a general discussion of material U.S. federal income and estate tax considerations relating to the exchange of the original notes for the exchange notes in this exchange offer and relevant to the ownership and disposition of the exchange notes by holders thereof, but does not purport to be a complete analysis of all the potential tax considerations relating thereto. This summary is based on the current provisions of the U.S. Internal Revenue Code of 1986, as amended (the "Code"), applicable Treasury regulations, judicial authority and administrative rulings and practice as of the date hereof. These authorities may be changed, perhaps retroactively, so as to result in U.S. federal income and estate tax consequences different from those set forth below. We have not sought any ruling from the Internal Revenue Service or an opinion of counsel with respect to the statements made and the conclusions reached in the following summary, and there can be no assurance that the IRS will agree with such statements and conclusions.</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When we use the term "United States Holder," we generally mean a holder of notes who (for United States Federal income tax purposes):</w:t>
      </w:r>
    </w:p>
    <w:p>
      <w:pPr>
        <w:spacing w:after="0" w:line="203" w:lineRule="exact"/>
        <w:rPr>
          <w:sz w:val="20"/>
          <w:szCs w:val="20"/>
          <w:color w:val="auto"/>
        </w:rPr>
      </w:pPr>
    </w:p>
    <w:p>
      <w:pPr>
        <w:ind w:left="960" w:hanging="215"/>
        <w:spacing w:after="0"/>
        <w:tabs>
          <w:tab w:leader="none" w:pos="96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citizen or resident of the United States;</w:t>
      </w:r>
    </w:p>
    <w:p>
      <w:pPr>
        <w:spacing w:after="0" w:line="206" w:lineRule="exact"/>
        <w:rPr>
          <w:rFonts w:ascii="Courier New" w:cs="Courier New" w:eastAsia="Courier New" w:hAnsi="Courier New"/>
          <w:sz w:val="18"/>
          <w:szCs w:val="18"/>
          <w:color w:val="auto"/>
        </w:rPr>
      </w:pPr>
    </w:p>
    <w:p>
      <w:pPr>
        <w:ind w:left="740" w:right="1879" w:firstLine="5"/>
        <w:spacing w:after="0" w:line="237" w:lineRule="auto"/>
        <w:tabs>
          <w:tab w:leader="none" w:pos="951"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corporation or partnership (including entities treated as partnerships or corporations for federal income tax purposes) created or organized in or under the laws of the United States or any state thereof or the District of Columbia, unless, in the case of a partnership, Treasury Regulations provide otherwise;</w:t>
      </w:r>
    </w:p>
    <w:p>
      <w:pPr>
        <w:spacing w:after="0" w:line="208" w:lineRule="exact"/>
        <w:rPr>
          <w:rFonts w:ascii="Courier New" w:cs="Courier New" w:eastAsia="Courier New" w:hAnsi="Courier New"/>
          <w:sz w:val="18"/>
          <w:szCs w:val="18"/>
          <w:color w:val="auto"/>
        </w:rPr>
      </w:pPr>
    </w:p>
    <w:p>
      <w:pPr>
        <w:ind w:left="740" w:right="1999" w:firstLine="5"/>
        <w:spacing w:after="0" w:line="235" w:lineRule="auto"/>
        <w:tabs>
          <w:tab w:leader="none" w:pos="951"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an estate, the income of which is subject to United States federal income taxation regardless of its source; or</w:t>
      </w:r>
    </w:p>
    <w:p>
      <w:pPr>
        <w:spacing w:after="0" w:line="208" w:lineRule="exact"/>
        <w:rPr>
          <w:rFonts w:ascii="Courier New" w:cs="Courier New" w:eastAsia="Courier New" w:hAnsi="Courier New"/>
          <w:sz w:val="18"/>
          <w:szCs w:val="18"/>
          <w:color w:val="auto"/>
        </w:rPr>
      </w:pPr>
    </w:p>
    <w:p>
      <w:pPr>
        <w:ind w:left="740" w:right="1779" w:firstLine="5"/>
        <w:spacing w:after="0" w:line="279" w:lineRule="auto"/>
        <w:tabs>
          <w:tab w:leader="none" w:pos="951"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a trust whose administration is subject to the primary supervision of a United States court and which has one or more United States persons who have the authority to control all substantial decisions of the trust.</w:t>
      </w:r>
    </w:p>
    <w:p>
      <w:pPr>
        <w:spacing w:after="0" w:line="17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tax treatment applicable to each holder of the notes may vary depending upon the particular situation of such holder. United States persons acquiring the notes are subject to different rules than those discussed below. In addition, certain other holders (including insurance companies, tax exempt organizations, financial institutions, holders who do not hold the notes as capital assets and broker-dealers) may be subject to special rules not discussed below. If a partnership holds our notes, the tax treatment of a partner will generally depend upon the status of the partner and the activities of the partnership. If you are a partner of a partnership holding notes, you should consult your tax advisors. WE ADVISE YOU TO CONSULT WITH YOUR OWN TAX ADVISOR REGARDING THE TAX CONSEQUENCES TO YOU OF THE ACQUISITION, OWNERSHIP, EXCHANGE AND SALE OF THE NOTES, INCLUDING THE FEDERAL, STATE, LOCAL, FOREIGN, AND OTHER TAX CONSEQUENCES OF SUCH ACQUISITION, OWNERSHIP, EXCHANGE AND SALE AND OF POTENTIAL CHANGES IN APPLICABLE TAX LAWS.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EXCHANGE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exchange of the original notes for the exchange notes pursuant to the exchange offer should not be treated as a taxable transaction for federal income tax purposes, because the exchange notes should not be considered to differ materially in kind or extent from the original notes. As a result, there should be no federal income tax consequences to holders exchanging original notes for exchange notes pursuant to the exchange offer. Moreover, a</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78</w:t>
      </w:r>
    </w:p>
    <w:p>
      <w:pPr>
        <w:sectPr>
          <w:pgSz w:w="11900" w:h="16838" w:orient="portrait"/>
          <w:cols w:equalWidth="0" w:num="1">
            <w:col w:w="10219"/>
          </w:cols>
          <w:pgMar w:left="240" w:top="717" w:right="1440" w:bottom="1440" w:gutter="0" w:footer="0" w:header="0"/>
        </w:sectPr>
      </w:pPr>
    </w:p>
    <w:bookmarkStart w:id="87" w:name="page88"/>
    <w:bookmarkEnd w:id="87"/>
    <w:p>
      <w:pPr>
        <w:ind w:right="1779"/>
        <w:spacing w:after="0" w:line="237" w:lineRule="auto"/>
        <w:rPr>
          <w:sz w:val="20"/>
          <w:szCs w:val="20"/>
          <w:color w:val="auto"/>
        </w:rPr>
      </w:pPr>
      <w:r>
        <w:rPr>
          <w:rFonts w:ascii="Courier New" w:cs="Courier New" w:eastAsia="Courier New" w:hAnsi="Courier New"/>
          <w:sz w:val="18"/>
          <w:szCs w:val="18"/>
          <w:color w:val="auto"/>
        </w:rPr>
        <w:t>holder should have the same adjusted basis and holding period in an exchange note as it had in an original note immediately prior to the exchange. Therefore, references to "notes" should apply equally to the exchange notes and the original notes.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 HOLDERS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AMORTIZABLE BOND PREMIUM</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If you purchased the notes for an amount in excess of the sum of all amounts payable on the note other than qualified stated interest, you will be considered to have purchased the note at a "premium." You generally may elect to amortize the premium over the remaining term of the note on a constant yield method as an offset to interest when includible in income under your regular accounting method. In the case of instruments that provide for alternative payment schedules, bond premium is calculated by assuming that (a) you will exercise or not exercise options in a manner that maximizes your yield, and (b) we will exercise or not exercise options in a manner that minimizes your yield (except that we will be assumed to exercise call options in a manner that maximizes your yield). If you do not elect to amortize bond premium, that premium will decrease the gain or increase the loss you would otherwise recognize on disposition of the note. Your election to amortize premium on a constant yield method will also apply to all debt obligations held or subsequently acquired by you on or after the first day of the first taxable year on which the election applies. You may not revoke the election without the consent of the IRS. You should consult your own tax advisor before making this election.</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NON-UNITED STATES HOLDERS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Interest paid by Scotts to a holder that is not a United States Holder (a "Non-United States Holder" will not be subject to United States federal income or withholding tax if such interest is not effectively connected with the conduct of a trade or business within the United States by such Non-United States Holder and such Non-United States Holder:</w:t>
      </w:r>
    </w:p>
    <w:p>
      <w:pPr>
        <w:spacing w:after="0" w:line="209" w:lineRule="exact"/>
        <w:rPr>
          <w:sz w:val="20"/>
          <w:szCs w:val="20"/>
          <w:color w:val="auto"/>
        </w:rPr>
      </w:pPr>
    </w:p>
    <w:p>
      <w:pPr>
        <w:ind w:left="740" w:right="2419" w:firstLine="5"/>
        <w:spacing w:after="0" w:line="235" w:lineRule="auto"/>
        <w:tabs>
          <w:tab w:leader="none" w:pos="951"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actually or constructively own 10% of the total combined voting power of all classes of stock of Scotts;</w:t>
      </w:r>
    </w:p>
    <w:p>
      <w:pPr>
        <w:spacing w:after="0" w:line="208" w:lineRule="exact"/>
        <w:rPr>
          <w:rFonts w:ascii="Courier New" w:cs="Courier New" w:eastAsia="Courier New" w:hAnsi="Courier New"/>
          <w:sz w:val="18"/>
          <w:szCs w:val="18"/>
          <w:color w:val="auto"/>
        </w:rPr>
      </w:pPr>
    </w:p>
    <w:p>
      <w:pPr>
        <w:ind w:left="740" w:right="2199" w:firstLine="5"/>
        <w:spacing w:after="0" w:line="236" w:lineRule="auto"/>
        <w:tabs>
          <w:tab w:leader="none" w:pos="951"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not a "controlled foreign corporation" within the meaning of the Code, with respect to which Scotts is a "related person" (within the meaning of the Code); and</w:t>
      </w:r>
    </w:p>
    <w:p>
      <w:pPr>
        <w:spacing w:after="0" w:line="208" w:lineRule="exact"/>
        <w:rPr>
          <w:rFonts w:ascii="Courier New" w:cs="Courier New" w:eastAsia="Courier New" w:hAnsi="Courier New"/>
          <w:sz w:val="18"/>
          <w:szCs w:val="18"/>
          <w:color w:val="auto"/>
        </w:rPr>
      </w:pPr>
    </w:p>
    <w:p>
      <w:pPr>
        <w:ind w:left="740" w:right="1779" w:firstLine="5"/>
        <w:spacing w:after="0" w:line="237" w:lineRule="auto"/>
        <w:tabs>
          <w:tab w:leader="none" w:pos="951"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certifies, under penalties of perjury, that it is not a United States person and provides its name and address in an appropriate form (currently IRS Form W-8BEN) to Scotts or an agent appointed by Scotts for such purpose (or, a security clearing organization, bank or other financial institution, which holds the notes on your behalf in the ordinary course of its trade or business, certifies on your behalf that it has received such certification from you and provides a copy to Scotts or its agent of such certificates).</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you are not qualified for exemption under these rules, interest paid to you may be subject to withholding tax at the rate of 30% (or any lower applicable treaty rate, provided that applicable certification requirements are met). The payment of interest effectively connected with your United States trade or business, however, would not be subject to a 30% withholding tax so long a you provide Scotts or its paying agent an adequate certification as to that effect (currently IRS Form W-8ECI).</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79</w:t>
      </w:r>
    </w:p>
    <w:p>
      <w:pPr>
        <w:sectPr>
          <w:pgSz w:w="11900" w:h="16838" w:orient="portrait"/>
          <w:cols w:equalWidth="0" w:num="1">
            <w:col w:w="10219"/>
          </w:cols>
          <w:pgMar w:left="240" w:top="723"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8"/>
          <w:szCs w:val="18"/>
          <w:color w:val="auto"/>
        </w:rPr>
        <w:t>GAIN ON DISPOSITION</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 Non-United States Holder will generally not be subject to United States federal income tax on gain recognized on a sale, redemption or other disposition of a note unless:</w:t>
      </w:r>
    </w:p>
    <w:p>
      <w:pPr>
        <w:spacing w:after="0" w:line="209" w:lineRule="exact"/>
        <w:rPr>
          <w:sz w:val="20"/>
          <w:szCs w:val="20"/>
          <w:color w:val="auto"/>
        </w:rPr>
      </w:pPr>
    </w:p>
    <w:p>
      <w:pPr>
        <w:ind w:left="740" w:right="2419" w:firstLine="5"/>
        <w:spacing w:after="0" w:line="235" w:lineRule="auto"/>
        <w:tabs>
          <w:tab w:leader="none" w:pos="951"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investment gain on the notes is effectively connected with a United States trade or business that is conducted by you;</w:t>
      </w:r>
    </w:p>
    <w:p>
      <w:pPr>
        <w:spacing w:after="0" w:line="208" w:lineRule="exact"/>
        <w:rPr>
          <w:rFonts w:ascii="Courier New" w:cs="Courier New" w:eastAsia="Courier New" w:hAnsi="Courier New"/>
          <w:sz w:val="18"/>
          <w:szCs w:val="18"/>
          <w:color w:val="auto"/>
        </w:rPr>
      </w:pPr>
    </w:p>
    <w:p>
      <w:pPr>
        <w:ind w:left="740" w:right="1879" w:firstLine="5"/>
        <w:spacing w:after="0" w:line="237" w:lineRule="auto"/>
        <w:tabs>
          <w:tab w:leader="none" w:pos="951"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a nonresident alien individual and you are present in the United States for 183 or more days in the taxable year within which such sale, redemption or other disposition takes place and certain other requirements are met; or</w:t>
      </w:r>
    </w:p>
    <w:p>
      <w:pPr>
        <w:spacing w:after="0" w:line="207" w:lineRule="exact"/>
        <w:rPr>
          <w:rFonts w:ascii="Courier New" w:cs="Courier New" w:eastAsia="Courier New" w:hAnsi="Courier New"/>
          <w:sz w:val="18"/>
          <w:szCs w:val="18"/>
          <w:color w:val="auto"/>
        </w:rPr>
      </w:pPr>
    </w:p>
    <w:p>
      <w:pPr>
        <w:ind w:left="740" w:right="2199" w:firstLine="5"/>
        <w:spacing w:after="0" w:line="235" w:lineRule="auto"/>
        <w:tabs>
          <w:tab w:leader="none" w:pos="951"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subject to provisions of United Sates tax law applicable to certain United States expatriates.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you conduct a United States trade or business and the income on the notes is effectively connected with such United States trade or business, the payment of interest or of gain on the sale of the notes will be subject to United States federal income tax on a net basis at the rates applicable to United States persons generally (and, if you are a corporation, may also be subject to a 30% branch profits tax).</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ESTATE TAXES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interest on the notes is exempt from withholding of United States federal income tax under the rules described above, the notes will not be included in the estate of a deceased Non-United States Holder for United States federal estate tax purposes, provided that (1) you do not actively (or constructively) own 10% or more of the total combined voting power of all classes of our voting stock within the meaning of the Code and applicable U.S. Treasury regulations and (2) interest on that note would not have been, if received at the time of your death, effectively connected with the conduct by you of a trade or business in the United States.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REPORTING AND BACKUP WITHHOLDING</w:t>
      </w:r>
    </w:p>
    <w:p>
      <w:pPr>
        <w:spacing w:after="0" w:line="207" w:lineRule="exact"/>
        <w:rPr>
          <w:sz w:val="20"/>
          <w:szCs w:val="20"/>
          <w:color w:val="auto"/>
        </w:rPr>
      </w:pPr>
    </w:p>
    <w:p>
      <w:pPr>
        <w:jc w:val="both"/>
        <w:ind w:right="2099"/>
        <w:spacing w:after="0" w:line="279" w:lineRule="auto"/>
        <w:rPr>
          <w:sz w:val="20"/>
          <w:szCs w:val="20"/>
          <w:color w:val="auto"/>
        </w:rPr>
      </w:pPr>
      <w:r>
        <w:rPr>
          <w:rFonts w:ascii="Courier New" w:cs="Courier New" w:eastAsia="Courier New" w:hAnsi="Courier New"/>
          <w:sz w:val="16"/>
          <w:szCs w:val="16"/>
          <w:color w:val="auto"/>
        </w:rPr>
        <w:t>Scotts will, where required, report to the holders of notes and the Internal Revenue Service the amount of any interest paid on the notes in each calendar year and the amounts of tax withheld, if any, from those payments.</w:t>
      </w:r>
    </w:p>
    <w:p>
      <w:pPr>
        <w:spacing w:after="0" w:line="17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In the case of payments of interest to Non-United States Holders, a backup withholding tax and certain information reporting requirements will not apply to payments for which the requisite certification, as described above, has been received or an exemption has otherwise been established; provided that neither Scotts nor its payment agent has actual knowledge that the holder is a United States person or that the conditions of any other exemption are not in fact satisfied. These information reporting and backup withholding requirements will apply, however, to the gross proceeds paid to a Non-United States Holder on the disposition of the notes by or through a United States office of a United States or foreign broker, unless the holder certifies to the broker under penalties of perjury as to its name, address and status as a foreign person or the holder otherwise establishes an exemption. As a general matter, information reporting and backup withholding will not apply to a payment of the proceeds of a disposition of the notes by or through a foreign office of a foreign broker. Information reporting (but not backup withholding) will apply, however, to a payment of the proceeds of a sale of notes by a foreign office of a broker that:</w:t>
      </w:r>
    </w:p>
    <w:p>
      <w:pPr>
        <w:spacing w:after="0" w:line="39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80</w:t>
      </w:r>
    </w:p>
    <w:p>
      <w:pPr>
        <w:sectPr>
          <w:pgSz w:w="11900" w:h="16838" w:orient="portrait"/>
          <w:cols w:equalWidth="0" w:num="1">
            <w:col w:w="10219"/>
          </w:cols>
          <w:pgMar w:left="240" w:top="717" w:right="1440" w:bottom="1440" w:gutter="0" w:footer="0" w:header="0"/>
        </w:sectPr>
      </w:pPr>
    </w:p>
    <w:bookmarkStart w:id="89" w:name="page90"/>
    <w:bookmarkEnd w:id="89"/>
    <w:p>
      <w:pPr>
        <w:ind w:left="960" w:hanging="215"/>
        <w:spacing w:after="0"/>
        <w:tabs>
          <w:tab w:leader="none" w:pos="96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United States person;</w:t>
      </w:r>
    </w:p>
    <w:p>
      <w:pPr>
        <w:spacing w:after="0" w:line="206" w:lineRule="exact"/>
        <w:rPr>
          <w:rFonts w:ascii="Courier New" w:cs="Courier New" w:eastAsia="Courier New" w:hAnsi="Courier New"/>
          <w:sz w:val="18"/>
          <w:szCs w:val="18"/>
          <w:color w:val="auto"/>
        </w:rPr>
      </w:pPr>
    </w:p>
    <w:p>
      <w:pPr>
        <w:ind w:left="740" w:right="2099" w:firstLine="5"/>
        <w:spacing w:after="0" w:line="235" w:lineRule="auto"/>
        <w:tabs>
          <w:tab w:leader="none" w:pos="951"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derives 50% or more of its gross income for certain periods from the conduct of a trade or business in the United States;</w:t>
      </w:r>
    </w:p>
    <w:p>
      <w:pPr>
        <w:spacing w:after="0" w:line="202" w:lineRule="exact"/>
        <w:rPr>
          <w:rFonts w:ascii="Courier New" w:cs="Courier New" w:eastAsia="Courier New" w:hAnsi="Courier New"/>
          <w:sz w:val="18"/>
          <w:szCs w:val="18"/>
          <w:color w:val="auto"/>
        </w:rPr>
      </w:pPr>
    </w:p>
    <w:p>
      <w:pPr>
        <w:ind w:left="960" w:hanging="215"/>
        <w:spacing w:after="0"/>
        <w:tabs>
          <w:tab w:leader="none" w:pos="96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"controlled foreign corporation" within the meaning of the Code;</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w:t>
      </w:r>
    </w:p>
    <w:p>
      <w:pPr>
        <w:spacing w:after="0" w:line="207" w:lineRule="exact"/>
        <w:rPr>
          <w:rFonts w:ascii="Courier New" w:cs="Courier New" w:eastAsia="Courier New" w:hAnsi="Courier New"/>
          <w:sz w:val="18"/>
          <w:szCs w:val="18"/>
          <w:color w:val="auto"/>
        </w:rPr>
      </w:pPr>
    </w:p>
    <w:p>
      <w:pPr>
        <w:ind w:left="740" w:right="1779" w:firstLine="5"/>
        <w:spacing w:after="0" w:line="237" w:lineRule="auto"/>
        <w:tabs>
          <w:tab w:leader="none" w:pos="951"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foreign partnership in which one or more United States persons, in the aggregate, own more than 50% of the income or capital interests in the partnership or a foreign partnership which is engaged in a trade or business in the United States.</w:t>
      </w:r>
    </w:p>
    <w:p>
      <w:pPr>
        <w:spacing w:after="0" w:line="207"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Even if a broker meets one of these four conditions, information reporting will not apply if the broker has documentary evidence in its records that the holder is not a United States person and certain other conditions are met.</w:t>
      </w:r>
    </w:p>
    <w:p>
      <w:pPr>
        <w:spacing w:after="0" w:line="209"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Backup withholding is not an additional tax. Any amounts withheld under the backup withholding rules may be refunded or credited against the Non-United States Holder's United States federal income tax liability provided that the required information is furnished to the Internal Revenue Service.</w:t>
      </w:r>
    </w:p>
    <w:p>
      <w:pPr>
        <w:spacing w:after="0" w:line="182"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FOREGOING DISCUSSION IS BASED ON THE PROVISIONS OF THE CODE, TREASURY REGULATIONS, RULINGS AND JUDICIAL DECISIONS NOW IN EFFECT, ALL OF WHICH ARE SUBJECT TO CHANGE. ANY CHANGES MAY BE APPLIED RETROACTIVELY IN A MANNER THAT COULD ADVERSELY AFFECT HOLDERS EXCHANGING NOTES. EACH HOLDER OF NOTES SHOULD CONSULT ITS OWN TAX ADVISOR WITH RESPECT TO THE TAX CONSEQUENCES TO IT, INCLUDING THE TAX CONSEQUENCES UNDER STATE, LOCAL, FOREIGN AND OTHER TAX LAWS, OF EXCHANGING ORIGINAL NOTES FOR EXCHANGE NOTES PURSUANT TO THE EXCHANGE OFFER.</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81</w:t>
      </w:r>
    </w:p>
    <w:p>
      <w:pPr>
        <w:sectPr>
          <w:pgSz w:w="11900" w:h="16838" w:orient="portrait"/>
          <w:cols w:equalWidth="0" w:num="1">
            <w:col w:w="10219"/>
          </w:cols>
          <w:pgMar w:left="240" w:top="717" w:right="1440" w:bottom="1440" w:gutter="0" w:footer="0" w:header="0"/>
        </w:sectPr>
      </w:pPr>
    </w:p>
    <w:bookmarkStart w:id="90" w:name="page91"/>
    <w:bookmarkEnd w:id="90"/>
    <w:p>
      <w:pPr>
        <w:ind w:left="3160"/>
        <w:spacing w:after="0"/>
        <w:rPr>
          <w:sz w:val="20"/>
          <w:szCs w:val="20"/>
          <w:color w:val="auto"/>
        </w:rPr>
      </w:pPr>
      <w:r>
        <w:rPr>
          <w:rFonts w:ascii="Courier New" w:cs="Courier New" w:eastAsia="Courier New" w:hAnsi="Courier New"/>
          <w:sz w:val="18"/>
          <w:szCs w:val="18"/>
          <w:color w:val="auto"/>
        </w:rPr>
        <w:t>ERISA CONSIDERATIONS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following is a summary of certain considerations associated with the purchase of the notes and exchange notes by employee benefit plans that are subject to Title I of ERISA, plans, individual retirement accounts and other arrangements that are subject to Section 4975 of the Code or provisions under any federal, state, local, non-U.S. or other laws or regulations that are substantially similar to the provisions of Title I of ERISA or Section 4975 of the Code ("Similar Laws"), and entities whose underlying assets are considered to include "plan assets" of such plans, accounts and arrangements (each, a "Plan").</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FIDUCIARY MATTERS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such an ERISA Plan or the management or disposition of the assets of such an ERISA Plan, or who renders investment advice for a fee or other compensation to such an ERISA Plan, is generally considered to be a fiduciary of the ERISA Plan.</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considering an investment in the notes of a portion of the assets of any Plan, a fiduciary should determine whether the investment is in accordance with the documents and instruments governing the Plan and the applicable provisions of ERISA, the Code or any Similar Law relating to a fiduciary's duties to the Plan, including, without limitation, the prudence, diversification, delegation of control and prohibited transaction provisions of ERISA, the Code and any other applicable Similar Laws.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Any insurance company proposing to invest assets of its general account in the notes should consider the extent that such investment would be subject to the requirements of ERISA in light of the U.S. Supreme Court's decision in John Hancock Mutual Life Insurance Co. v. Harris Trust and Savings Bank and under any subsequent legislation or other guidance that has or may become available relating to that decision, including the enactment of Section 401(c) of ERISA by the Small Business Job Protection Act of 1996 and the regulations promulgated thereunder.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PROHIBITED TRANSACTION ISSUES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Section 406 of ERISA and Section 4975 of the Code prohibit ERISA Plans from engaging in specified transactions involving plan assets with persons or entitles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the ERISA Plan that engages in such a non-exempt prohibited transaction may be subject to penalties and liabilities under ERISA and the Code. The acquisition and/or holding of notes by an ERISA Plan with respect to which we or the initial purchasers are considered a party in interest or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In this regard, the U.S. Department of Labor has issued prohibited transaction class exemptions ("PTCEs") that may apply to the acquisition and holding of the notes. These class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82</w:t>
      </w:r>
    </w:p>
    <w:p>
      <w:pPr>
        <w:sectPr>
          <w:pgSz w:w="11900" w:h="16838" w:orient="portrait"/>
          <w:cols w:equalWidth="0" w:num="1">
            <w:col w:w="10219"/>
          </w:cols>
          <w:pgMar w:left="240" w:top="717" w:right="1440" w:bottom="1440" w:gutter="0" w:footer="0" w:header="0"/>
        </w:sectPr>
      </w:pPr>
    </w:p>
    <w:bookmarkStart w:id="91" w:name="page92"/>
    <w:bookmarkEnd w:id="91"/>
    <w:p>
      <w:pPr>
        <w:ind w:right="1779"/>
        <w:spacing w:after="0" w:line="237" w:lineRule="auto"/>
        <w:rPr>
          <w:sz w:val="20"/>
          <w:szCs w:val="20"/>
          <w:color w:val="auto"/>
        </w:rPr>
      </w:pPr>
      <w:r>
        <w:rPr>
          <w:rFonts w:ascii="Courier New" w:cs="Courier New" w:eastAsia="Courier New" w:hAnsi="Courier New"/>
          <w:sz w:val="18"/>
          <w:szCs w:val="18"/>
          <w:color w:val="auto"/>
        </w:rPr>
        <w:t>exemptions include, without limitation, PTCE 84-14, respecting transactions determined by independent qualified professional asset managers, PTCE 90-1, respecting insurance company pooled separate accounts, PTCE 91-38, respecting bank collective investment funds, PTCE 95-60, respecting life insurance company general accounts and PTCE 96-23, respecting transaction determined by in-house asset managers, although there can be no assurance that all of the conditions of any such exemptions will be satisfied.</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Because of the foregoing, the notes should not be purchased or held by any person investing "plan assets" of any Plan, unless such purchase and holding (and the exchange of the notes for exchange notes) will not constitute a non-exempt prohibited transaction under ERISA and the Code or violation of any applicable Similar Laws.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REPRESENTATION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Accordingly, by acceptance of a note or an exchange note, each purchaser and subsequent transferee will be deemed to have represented and warranted that either (1) no portion of the assets used by such purchaser or transferee to acquire and hold the notes constitutes assets of any Plan or (2) the purchase and holding of the notes (and the exchange of notes for exchange notes) by such purchaser or transferee will not constitute a non-exempt prohibited transaction under Section 406 of ERISA or Section 4975 of the Code or a violation under any applicable Similar Laws.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foregoing discussion is general in nature and is not intended to be all inclusive. Due to the complexity of these rules and the penalties that may be imposed upon persons involved in non-exempt prohibited transactions, it is particularly important that fiduciaries or other persons considering purchasing the notes (or exchanging the notes) on behalf of, or with the assets of, any Plan, consult with their counsel regarding the potential applicability of ERISA, Section 4975 of the Code and any Similar Laws to such transaction and whether an exemption would be applicable.</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83</w:t>
      </w:r>
    </w:p>
    <w:p>
      <w:pPr>
        <w:sectPr>
          <w:pgSz w:w="11900" w:h="16838" w:orient="portrait"/>
          <w:cols w:equalWidth="0" w:num="1">
            <w:col w:w="10219"/>
          </w:cols>
          <w:pgMar w:left="240" w:top="723" w:right="1440" w:bottom="1440" w:gutter="0" w:footer="0" w:header="0"/>
        </w:sectPr>
      </w:pPr>
    </w:p>
    <w:bookmarkStart w:id="92" w:name="page93"/>
    <w:bookmarkEnd w:id="92"/>
    <w:p>
      <w:pPr>
        <w:jc w:val="center"/>
        <w:ind w:right="177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Each broker-dealer that receives exchange notes for its own account pursuant to the exchange offer must acknowledge that it will deliver a prospectus in connection with any resale of the exchange notes. Broker-dealers may use this prospectus, as it may be amended or supplemented from time to time, in connection with the resale of exchange notes received in exchange for original notes where the broker-dealer acquired the original notes as a result of market-making activities or other trading activities. We have agreed that for a period of up to 180 days after the date that this registration statement is declared effective by the SEC, we will make this prospectus, as amended or supplemented, available to any broker-dealer that requests it in the letter of transmittal for use in connection with any such resale.</w:t>
      </w:r>
    </w:p>
    <w:p>
      <w:pPr>
        <w:spacing w:after="0" w:line="392"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We will not receive any proceeds from any sale of exchange notes by broker-dealers or any other persons. Broker-dealers may sell exchange notes received by broker-dealers for their own account pursuant to the exchange offer from time to time in one or more transactions in the over-the-counter market, in negotiated transactions, through the writing of options on the exchange notes or a combination of such methods of resale, at market prices prevailing at the time of resale, at prices related to the prevailing market prices or negotiated prices. Broker-dealers may resell exchange notes directly to purchasers or to or through brokers or dealers who may receive compensation in the form of commissions or concessions from any broker-dealer and/or the purchasers of the exchange notes. Any broker-dealer that resells exchange notes that were received by it for its own account pursuant to the exchange offer and any broker or dealer that participates in a distribution of the exchange notes may be deemed to be "underwriters" within the meaning of the Securities Act and any profit on any resale of exchange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39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have agreed to pay all expenses incident to our performance of, or compliance with, the registration rights agreement and will indemnify you against liabilities under the Securities Act. By its acceptance of the exchange offer, any broker-dealer that receives exchange notes pursuant to the exchange offer agrees to notify us before using the prospectus in connection with the sale or transfer of exchange notes. The broker-dealer further acknowledges and agrees that, upon receipt of notice from us of the happening of any event which makes any statement in the prospectus untrue in any material respect or which requires the making of any changes in the prospectus to make the statements in the prospectus not misleading or which may impose upon us disclosure obligations that my have a material adverse effect on us, which notice we agree to deliver promptly to the broker-dealer, the broker-dealer will suspend use of the prospectus until we have notified the broker-dealer that delivery of the prospectus may resume and have furnished copies of any amendment or supplement to the prospectus to the broker-dealer.</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Certain legal matters in connection with the notes offered hereby will be passed upon for us by Vorys, Sater, Seymour and Pease LLP, Columbus, Ohio.</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84</w:t>
      </w:r>
    </w:p>
    <w:p>
      <w:pPr>
        <w:sectPr>
          <w:pgSz w:w="11900" w:h="16838" w:orient="portrait"/>
          <w:cols w:equalWidth="0" w:num="1">
            <w:col w:w="10219"/>
          </w:cols>
          <w:pgMar w:left="240" w:top="717" w:right="1440" w:bottom="1440" w:gutter="0" w:footer="0" w:header="0"/>
        </w:sectPr>
      </w:pPr>
    </w:p>
    <w:bookmarkStart w:id="93" w:name="page94"/>
    <w:bookmarkEnd w:id="93"/>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financial statements of The Scotts Company incorporated into this prospectus by reference to the Current Report on Form 8-K dated June 24, 2002, have been so incorporated in reliance on the report of PricewaterhouseCoopers LLP, independent accountants, given on the authority of said firm as experts in auditing and accounting.</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Scotts is required to comply with the reporting requirements of the Securities Exchange Act and must file annual quarterly and other reports with the SEC. Scotts is also subject to the proxy solicitation requirements of the Securities Exchange Act and, accordingly, will furnish audited financial statements to our shareholders in connection with our annual meetings of shareholders.</w:t>
      </w:r>
    </w:p>
    <w:p>
      <w:pPr>
        <w:spacing w:after="0" w:line="18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Any statements made in this prospectus concerning the contents of any contract, agreement or other document constitute summaries of the material terms thereof and are not necessarily complete summaries of all of the terms. Some of these documents have been filed as exhibits to our periodic filings with the SEC. Our periodic reports and other information filed with the SEC may be inspected without charge at the Public Reference Section of the Commission at Room 1024, 450 Fifth Street, N.W., Washington, D.C. 20549. You can also obtain copies of filed documents by mail from the public reference section of the SEC at Room 1024, 450 Fifth Avenue, N.W., Washington, D.C. 20549 at prescribed rates. Please call the SEC at 1-800-SEC-0330 for further information on the public reference rooms. Filed documents are also available to the public on the SEC's website at http://www.sec.gov.</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Copies of documents incorporated in this prospectus by reference or other documents referred to in this prospectus may be obtained upon request without charge by contacting The Scotts Company, 14111 Scottslawn Road, Marysville, Ohio 43041, Attention: Treasurer, (614) 644-0011.</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INCORPORATION BY REFERENCE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are "incorporating" the following documents into this prospectus by reference, which means that we are disclosing important information to you by referring to documents that contain such information. The information incorporated by reference is an important part of this prospectus, and information we file later with the SEC will automatically update and supersede the information in this prospectus. We incorporate by reference the documents listed below that we have previously filed with the SEC:</w:t>
      </w:r>
    </w:p>
    <w:p>
      <w:pPr>
        <w:spacing w:after="0" w:line="211" w:lineRule="exact"/>
        <w:rPr>
          <w:sz w:val="20"/>
          <w:szCs w:val="20"/>
          <w:color w:val="auto"/>
        </w:rPr>
      </w:pPr>
    </w:p>
    <w:p>
      <w:pPr>
        <w:ind w:left="740" w:right="1879" w:firstLine="5"/>
        <w:spacing w:after="0" w:line="237" w:lineRule="auto"/>
        <w:tabs>
          <w:tab w:leader="none" w:pos="951"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dated December 14, 2001, for the fiscal year ended September 30, 2001 (including information specifically incorporated by reference into our Form 10-K from our 2001 Annual Report to Shareholders and proxy statement for our 2002 annual meeting of shareholders);</w:t>
      </w:r>
    </w:p>
    <w:p>
      <w:pPr>
        <w:spacing w:after="0" w:line="208" w:lineRule="exact"/>
        <w:rPr>
          <w:rFonts w:ascii="Courier New" w:cs="Courier New" w:eastAsia="Courier New" w:hAnsi="Courier New"/>
          <w:sz w:val="18"/>
          <w:szCs w:val="18"/>
          <w:color w:val="auto"/>
        </w:rPr>
      </w:pPr>
    </w:p>
    <w:p>
      <w:pPr>
        <w:ind w:left="740" w:right="1879" w:firstLine="5"/>
        <w:spacing w:after="0" w:line="235" w:lineRule="auto"/>
        <w:tabs>
          <w:tab w:leader="none" w:pos="951"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 on Form 10-Q/A dated June 5, 2002, for the fiscal quarter ended December 29, 2001;</w:t>
      </w:r>
    </w:p>
    <w:p>
      <w:pPr>
        <w:spacing w:after="0" w:line="208" w:lineRule="exact"/>
        <w:rPr>
          <w:rFonts w:ascii="Courier New" w:cs="Courier New" w:eastAsia="Courier New" w:hAnsi="Courier New"/>
          <w:sz w:val="18"/>
          <w:szCs w:val="18"/>
          <w:color w:val="auto"/>
        </w:rPr>
      </w:pPr>
    </w:p>
    <w:p>
      <w:pPr>
        <w:ind w:left="740" w:right="2099" w:firstLine="5"/>
        <w:spacing w:after="0" w:line="235" w:lineRule="auto"/>
        <w:tabs>
          <w:tab w:leader="none" w:pos="951"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 on Form 10-Q dated May 10, 2002, for the fiscal quarter ended March 30, 2002;</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85</w:t>
      </w:r>
    </w:p>
    <w:p>
      <w:pPr>
        <w:sectPr>
          <w:pgSz w:w="11900" w:h="16838" w:orient="portrait"/>
          <w:cols w:equalWidth="0" w:num="1">
            <w:col w:w="10219"/>
          </w:cols>
          <w:pgMar w:left="240" w:top="717" w:right="1440" w:bottom="1440" w:gutter="0" w:footer="0" w:header="0"/>
        </w:sectPr>
      </w:pPr>
    </w:p>
    <w:bookmarkStart w:id="94" w:name="page95"/>
    <w:bookmarkEnd w:id="94"/>
    <w:p>
      <w:pPr>
        <w:ind w:left="740" w:right="1879" w:firstLine="5"/>
        <w:spacing w:after="0" w:line="237" w:lineRule="auto"/>
        <w:tabs>
          <w:tab w:leader="none" w:pos="951"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Current Report on Form 8-K filed with the SEC on June 24, 2002, which amends certain items in our Form 10-K for the fiscal year ended September 30, 2001, to reflect retroactively the disclosures and presentations required by accounting pronouncements initially adopted by Scotts in our fiscal year beginning October 1, 2001; and</w:t>
      </w:r>
    </w:p>
    <w:p>
      <w:pPr>
        <w:spacing w:after="0" w:line="208" w:lineRule="exact"/>
        <w:rPr>
          <w:rFonts w:ascii="Courier New" w:cs="Courier New" w:eastAsia="Courier New" w:hAnsi="Courier New"/>
          <w:sz w:val="18"/>
          <w:szCs w:val="18"/>
          <w:color w:val="auto"/>
        </w:rPr>
      </w:pPr>
    </w:p>
    <w:p>
      <w:pPr>
        <w:ind w:left="740" w:right="2199" w:firstLine="5"/>
        <w:spacing w:after="0" w:line="235" w:lineRule="auto"/>
        <w:tabs>
          <w:tab w:leader="none" w:pos="951"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proxy statement for our 2002 annual meeting of shareholders, as filed with the Commission on December 20, 2001.</w:t>
      </w:r>
    </w:p>
    <w:p>
      <w:pPr>
        <w:spacing w:after="0" w:line="20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We are also incorporating by reference all other reports that we file with the SEC under Sections 13(a), 13(c), 14 or 15(d) between the date of this prospectus and the date of the consummation of the exchange offer.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86</w:t>
      </w:r>
    </w:p>
    <w:p>
      <w:pPr>
        <w:sectPr>
          <w:pgSz w:w="11900" w:h="16838" w:orient="portrait"/>
          <w:cols w:equalWidth="0" w:num="1">
            <w:col w:w="10219"/>
          </w:cols>
          <w:pgMar w:left="240" w:top="723" w:right="1440" w:bottom="1440" w:gutter="0" w:footer="0" w:header="0"/>
        </w:sectPr>
      </w:pPr>
    </w:p>
    <w:bookmarkStart w:id="95" w:name="page96"/>
    <w:bookmarkEnd w:id="95"/>
    <w:p>
      <w:pPr>
        <w:ind w:left="2280"/>
        <w:spacing w:after="0"/>
        <w:rPr>
          <w:sz w:val="20"/>
          <w:szCs w:val="20"/>
          <w:color w:val="auto"/>
        </w:rPr>
      </w:pPr>
      <w:r>
        <w:rPr>
          <w:rFonts w:ascii="Courier New" w:cs="Courier New" w:eastAsia="Courier New" w:hAnsi="Courier New"/>
          <w:sz w:val="16"/>
          <w:szCs w:val="16"/>
          <w:color w:val="auto"/>
        </w:rPr>
        <w:t>[SCOTTS LOGO]</w:t>
      </w:r>
    </w:p>
    <w:p>
      <w:pPr>
        <w:sectPr>
          <w:pgSz w:w="11900" w:h="16838" w:orient="portrait"/>
          <w:cols w:equalWidth="0" w:num="1">
            <w:col w:w="9019"/>
          </w:cols>
          <w:pgMar w:left="1440" w:top="722" w:right="1440" w:bottom="1440" w:gutter="0" w:footer="0" w:header="0"/>
        </w:sectPr>
      </w:pPr>
    </w:p>
    <w:bookmarkStart w:id="96" w:name="page97"/>
    <w:bookmarkEnd w:id="96"/>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20. INDEMNIFICATION OF DIRECTORS AND OFFICERS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Division (E) of Section 1701.13 of the Ohio Revised Code governs indemnification by a corporation and provides as follows:</w:t>
      </w:r>
    </w:p>
    <w:p>
      <w:pPr>
        <w:spacing w:after="0" w:line="208" w:lineRule="exact"/>
        <w:rPr>
          <w:sz w:val="20"/>
          <w:szCs w:val="20"/>
          <w:color w:val="auto"/>
        </w:rPr>
      </w:pPr>
    </w:p>
    <w:p>
      <w:pPr>
        <w:ind w:left="740" w:right="1879"/>
        <w:spacing w:after="0" w:line="269" w:lineRule="auto"/>
        <w:rPr>
          <w:sz w:val="20"/>
          <w:szCs w:val="20"/>
          <w:color w:val="auto"/>
        </w:rPr>
      </w:pPr>
      <w:r>
        <w:rPr>
          <w:rFonts w:ascii="Courier New" w:cs="Courier New" w:eastAsia="Courier New" w:hAnsi="Courier New"/>
          <w:sz w:val="16"/>
          <w:szCs w:val="16"/>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member, manager, or agent of the corporation, or is or was serving at the request of the corporation as a director, trustee, officer, associate,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200" w:lineRule="exact"/>
        <w:rPr>
          <w:sz w:val="20"/>
          <w:szCs w:val="20"/>
          <w:color w:val="auto"/>
        </w:rPr>
      </w:pPr>
    </w:p>
    <w:p>
      <w:pPr>
        <w:spacing w:after="0" w:line="396" w:lineRule="exact"/>
        <w:rPr>
          <w:sz w:val="20"/>
          <w:szCs w:val="20"/>
          <w:color w:val="auto"/>
        </w:rPr>
      </w:pPr>
    </w:p>
    <w:p>
      <w:pPr>
        <w:ind w:left="740" w:right="1779" w:firstLine="5"/>
        <w:spacing w:after="0" w:line="238" w:lineRule="auto"/>
        <w:tabs>
          <w:tab w:leader="none" w:pos="1161"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member, manager,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208" w:lineRule="exact"/>
        <w:rPr>
          <w:rFonts w:ascii="Courier New" w:cs="Courier New" w:eastAsia="Courier New" w:hAnsi="Courier New"/>
          <w:sz w:val="18"/>
          <w:szCs w:val="18"/>
          <w:color w:val="auto"/>
        </w:rPr>
      </w:pPr>
    </w:p>
    <w:p>
      <w:pPr>
        <w:ind w:left="960" w:right="1779" w:hanging="4"/>
        <w:spacing w:after="0" w:line="271" w:lineRule="auto"/>
        <w:tabs>
          <w:tab w:leader="none" w:pos="1381" w:val="left"/>
        </w:tabs>
        <w:numPr>
          <w:ilvl w:val="1"/>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1440" w:gutter="0" w:footer="0" w:header="0"/>
        </w:sectPr>
      </w:pPr>
    </w:p>
    <w:bookmarkStart w:id="97" w:name="page98"/>
    <w:bookmarkEnd w:id="97"/>
    <w:p>
      <w:pPr>
        <w:ind w:left="220" w:right="1999" w:hanging="4"/>
        <w:spacing w:after="0" w:line="235" w:lineRule="auto"/>
        <w:tabs>
          <w:tab w:leader="none" w:pos="641" w:val="left"/>
        </w:tabs>
        <w:numPr>
          <w:ilvl w:val="1"/>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or suit in which the only liability asserted against a director is pursuant to section 1701.95 of the Revised Code.</w:t>
      </w:r>
    </w:p>
    <w:p>
      <w:pPr>
        <w:spacing w:after="0" w:line="208" w:lineRule="exact"/>
        <w:rPr>
          <w:rFonts w:ascii="Courier New" w:cs="Courier New" w:eastAsia="Courier New" w:hAnsi="Courier New"/>
          <w:sz w:val="18"/>
          <w:szCs w:val="18"/>
          <w:color w:val="auto"/>
        </w:rPr>
      </w:pPr>
    </w:p>
    <w:p>
      <w:pPr>
        <w:ind w:right="1779" w:firstLine="5"/>
        <w:spacing w:after="0" w:line="237" w:lineRule="auto"/>
        <w:tabs>
          <w:tab w:leader="none" w:pos="421"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211" w:lineRule="exact"/>
        <w:rPr>
          <w:rFonts w:ascii="Courier New" w:cs="Courier New" w:eastAsia="Courier New" w:hAnsi="Courier New"/>
          <w:sz w:val="18"/>
          <w:szCs w:val="18"/>
          <w:color w:val="auto"/>
        </w:rPr>
      </w:pPr>
    </w:p>
    <w:p>
      <w:pPr>
        <w:ind w:right="1999" w:firstLine="5"/>
        <w:spacing w:after="0" w:line="237" w:lineRule="auto"/>
        <w:tabs>
          <w:tab w:leader="none" w:pos="421"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indemnification under division (E)(1) or (2) of this section, unless ordered by a court, shall be made by the corporation only as authorized in the specific case, upon a determination that indemnification of the director, trustee, officer, employee, member, manager, or agent is proper in the circumstances because he has met the applicable standard of conduct set forth in division (E)(1) or (2) of this section. Such determination shall be made as follows:</w:t>
      </w:r>
    </w:p>
    <w:p>
      <w:pPr>
        <w:spacing w:after="0" w:line="211" w:lineRule="exact"/>
        <w:rPr>
          <w:rFonts w:ascii="Courier New" w:cs="Courier New" w:eastAsia="Courier New" w:hAnsi="Courier New"/>
          <w:sz w:val="18"/>
          <w:szCs w:val="18"/>
          <w:color w:val="auto"/>
        </w:rPr>
      </w:pPr>
    </w:p>
    <w:p>
      <w:pPr>
        <w:ind w:left="220" w:right="1999" w:hanging="4"/>
        <w:spacing w:after="0" w:line="237" w:lineRule="auto"/>
        <w:tabs>
          <w:tab w:leader="none" w:pos="641" w:val="left"/>
        </w:tabs>
        <w:numPr>
          <w:ilvl w:val="1"/>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 majority vote of a quorum consisting of directors of the indemnifying corporation who were not and are not parties to or threatened by the action, suit, or proceeding referred to in division (E)(1) or (2) of this section;</w:t>
      </w:r>
    </w:p>
    <w:p>
      <w:pPr>
        <w:spacing w:after="0" w:line="207" w:lineRule="exact"/>
        <w:rPr>
          <w:rFonts w:ascii="Courier New" w:cs="Courier New" w:eastAsia="Courier New" w:hAnsi="Courier New"/>
          <w:sz w:val="18"/>
          <w:szCs w:val="18"/>
          <w:color w:val="auto"/>
        </w:rPr>
      </w:pPr>
    </w:p>
    <w:p>
      <w:pPr>
        <w:ind w:left="220" w:right="1779" w:hanging="4"/>
        <w:spacing w:after="0" w:line="237" w:lineRule="auto"/>
        <w:tabs>
          <w:tab w:leader="none" w:pos="641" w:val="left"/>
        </w:tabs>
        <w:numPr>
          <w:ilvl w:val="1"/>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205" w:lineRule="exact"/>
        <w:rPr>
          <w:rFonts w:ascii="Courier New" w:cs="Courier New" w:eastAsia="Courier New" w:hAnsi="Courier New"/>
          <w:sz w:val="18"/>
          <w:szCs w:val="18"/>
          <w:color w:val="auto"/>
        </w:rPr>
      </w:pPr>
    </w:p>
    <w:p>
      <w:pPr>
        <w:ind w:left="640" w:hanging="424"/>
        <w:spacing w:after="0"/>
        <w:tabs>
          <w:tab w:leader="none" w:pos="640" w:val="left"/>
        </w:tabs>
        <w:numPr>
          <w:ilvl w:val="1"/>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shareholders; or</w:t>
      </w:r>
    </w:p>
    <w:p>
      <w:pPr>
        <w:spacing w:after="0" w:line="206" w:lineRule="exact"/>
        <w:rPr>
          <w:rFonts w:ascii="Courier New" w:cs="Courier New" w:eastAsia="Courier New" w:hAnsi="Courier New"/>
          <w:sz w:val="18"/>
          <w:szCs w:val="18"/>
          <w:color w:val="auto"/>
        </w:rPr>
      </w:pPr>
    </w:p>
    <w:p>
      <w:pPr>
        <w:ind w:left="220" w:right="2199" w:hanging="4"/>
        <w:spacing w:after="0" w:line="236" w:lineRule="auto"/>
        <w:tabs>
          <w:tab w:leader="none" w:pos="641" w:val="left"/>
        </w:tabs>
        <w:numPr>
          <w:ilvl w:val="1"/>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court of common pleas or the court in which such action, suit or proceeding referred to in division (E)(1) or (2) of this section was brought.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(E)(2) 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both of the following:</w:t>
      </w:r>
    </w:p>
    <w:p>
      <w:pPr>
        <w:spacing w:after="0" w:line="207" w:lineRule="exact"/>
        <w:rPr>
          <w:sz w:val="20"/>
          <w:szCs w:val="20"/>
          <w:color w:val="auto"/>
        </w:rPr>
      </w:pPr>
    </w:p>
    <w:p>
      <w:pPr>
        <w:ind w:left="420" w:right="2319" w:firstLine="7"/>
        <w:spacing w:after="0" w:line="236" w:lineRule="auto"/>
        <w:tabs>
          <w:tab w:leader="none" w:pos="841"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Repay such amount if it is proved by clear and convincing evidence in a court of competent jurisdiction that his action or failure to act involved an act or</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9479"/>
          </w:cols>
          <w:pgMar w:left="980" w:top="723" w:right="1440" w:bottom="1440" w:gutter="0" w:footer="0" w:header="0"/>
        </w:sectPr>
      </w:pPr>
    </w:p>
    <w:bookmarkStart w:id="98" w:name="page99"/>
    <w:bookmarkEnd w:id="98"/>
    <w:p>
      <w:pPr>
        <w:ind w:left="415" w:right="2199"/>
        <w:spacing w:after="0" w:line="236" w:lineRule="auto"/>
        <w:rPr>
          <w:sz w:val="20"/>
          <w:szCs w:val="20"/>
          <w:color w:val="auto"/>
        </w:rPr>
      </w:pPr>
      <w:r>
        <w:rPr>
          <w:rFonts w:ascii="Courier New" w:cs="Courier New" w:eastAsia="Courier New" w:hAnsi="Courier New"/>
          <w:sz w:val="18"/>
          <w:szCs w:val="18"/>
          <w:color w:val="auto"/>
        </w:rPr>
        <w:t>omission undertaken with deliberate intent to cause injury to the corporation or undertaken with reckless disregard for the best interests of the corporation;</w:t>
      </w:r>
    </w:p>
    <w:p>
      <w:pPr>
        <w:spacing w:after="0" w:line="209" w:lineRule="exact"/>
        <w:rPr>
          <w:sz w:val="20"/>
          <w:szCs w:val="20"/>
          <w:color w:val="auto"/>
        </w:rPr>
      </w:pPr>
    </w:p>
    <w:p>
      <w:pPr>
        <w:ind w:left="415" w:right="1779" w:firstLine="7"/>
        <w:spacing w:after="0" w:line="235" w:lineRule="auto"/>
        <w:tabs>
          <w:tab w:leader="none" w:pos="941" w:val="left"/>
        </w:tabs>
        <w:numPr>
          <w:ilvl w:val="2"/>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Reasonably cooperate with the corporation concerning the action, suit, or proceeding.</w:t>
      </w:r>
    </w:p>
    <w:p>
      <w:pPr>
        <w:spacing w:after="0" w:line="208" w:lineRule="exact"/>
        <w:rPr>
          <w:rFonts w:ascii="Courier New" w:cs="Courier New" w:eastAsia="Courier New" w:hAnsi="Courier New"/>
          <w:sz w:val="18"/>
          <w:szCs w:val="18"/>
          <w:color w:val="auto"/>
        </w:rPr>
      </w:pPr>
    </w:p>
    <w:p>
      <w:pPr>
        <w:ind w:left="215" w:right="1779" w:hanging="4"/>
        <w:spacing w:after="0" w:line="237" w:lineRule="auto"/>
        <w:tabs>
          <w:tab w:leader="none" w:pos="636" w:val="left"/>
        </w:tabs>
        <w:numPr>
          <w:ilvl w:val="1"/>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including attorney's fees, incurred by a director, trustee, officer, employee, member, 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214" w:lineRule="exact"/>
        <w:rPr>
          <w:rFonts w:ascii="Courier New" w:cs="Courier New" w:eastAsia="Courier New" w:hAnsi="Courier New"/>
          <w:sz w:val="18"/>
          <w:szCs w:val="18"/>
          <w:color w:val="auto"/>
        </w:rPr>
      </w:pPr>
    </w:p>
    <w:p>
      <w:pPr>
        <w:ind w:left="-5" w:right="1779" w:firstLine="5"/>
        <w:spacing w:after="0" w:line="271" w:lineRule="auto"/>
        <w:tabs>
          <w:tab w:leader="none" w:pos="416"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183" w:lineRule="exact"/>
        <w:rPr>
          <w:rFonts w:ascii="Courier New" w:cs="Courier New" w:eastAsia="Courier New" w:hAnsi="Courier New"/>
          <w:sz w:val="16"/>
          <w:szCs w:val="16"/>
          <w:color w:val="auto"/>
        </w:rPr>
      </w:pPr>
    </w:p>
    <w:p>
      <w:pPr>
        <w:ind w:left="-5" w:right="1779" w:firstLine="5"/>
        <w:spacing w:after="0" w:line="270" w:lineRule="auto"/>
        <w:tabs>
          <w:tab w:leader="none" w:pos="416"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389" w:lineRule="exact"/>
        <w:rPr>
          <w:rFonts w:ascii="Courier New" w:cs="Courier New" w:eastAsia="Courier New" w:hAnsi="Courier New"/>
          <w:sz w:val="16"/>
          <w:szCs w:val="16"/>
          <w:color w:val="auto"/>
        </w:rPr>
      </w:pPr>
    </w:p>
    <w:p>
      <w:pPr>
        <w:ind w:left="-5" w:right="2099" w:firstLine="5"/>
        <w:spacing w:after="0" w:line="268" w:lineRule="auto"/>
        <w:tabs>
          <w:tab w:leader="none" w:pos="416"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authority of a corporation to indemnify persons pursuant to division (E)(1) or (2) of this section does not limit the payment of expenses as they are incurred, indemnification, insurance, or other protection that may be provided pursuant to divisions (E)(5), (6), and</w:t>
      </w:r>
    </w:p>
    <w:p>
      <w:pPr>
        <w:ind w:left="-5" w:right="1779" w:firstLine="5"/>
        <w:spacing w:after="0" w:line="236" w:lineRule="auto"/>
        <w:tabs>
          <w:tab w:leader="none" w:pos="416"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 Divisions (E)(1) and (2) of this section do not create any obligation to repay or return payments made by the corporation pursuant to division (E)(5), (6), or (7).</w:t>
      </w:r>
    </w:p>
    <w:p>
      <w:pPr>
        <w:spacing w:after="0" w:line="208" w:lineRule="exact"/>
        <w:rPr>
          <w:rFonts w:ascii="Courier New" w:cs="Courier New" w:eastAsia="Courier New" w:hAnsi="Courier New"/>
          <w:sz w:val="18"/>
          <w:szCs w:val="18"/>
          <w:color w:val="auto"/>
        </w:rPr>
      </w:pPr>
    </w:p>
    <w:p>
      <w:pPr>
        <w:ind w:left="-5" w:right="1779" w:firstLine="5"/>
        <w:spacing w:after="0" w:line="238" w:lineRule="auto"/>
        <w:tabs>
          <w:tab w:leader="none" w:pos="416"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division (E) of this section,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 surviving corporation in the same capacity.</w:t>
      </w:r>
    </w:p>
    <w:p>
      <w:pPr>
        <w:ind w:left="3375"/>
        <w:spacing w:after="0" w:line="238" w:lineRule="auto"/>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9474"/>
          </w:cols>
          <w:pgMar w:left="985" w:top="722" w:right="1440"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6"/>
          <w:szCs w:val="16"/>
          <w:color w:val="auto"/>
        </w:rPr>
        <w:t>Section 5.01 of the Registrant's Code of Regulations governs indemnification by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Registrant and provides as follows:</w:t>
      </w:r>
    </w:p>
    <w:p>
      <w:pPr>
        <w:spacing w:after="0" w:line="207" w:lineRule="exact"/>
        <w:rPr>
          <w:sz w:val="20"/>
          <w:szCs w:val="20"/>
          <w:color w:val="auto"/>
        </w:rPr>
      </w:pPr>
    </w:p>
    <w:p>
      <w:pPr>
        <w:ind w:left="740" w:right="1779"/>
        <w:spacing w:after="0" w:line="269" w:lineRule="auto"/>
        <w:rPr>
          <w:sz w:val="20"/>
          <w:szCs w:val="20"/>
          <w:color w:val="auto"/>
        </w:rPr>
      </w:pPr>
      <w:r>
        <w:rPr>
          <w:rFonts w:ascii="Courier New" w:cs="Courier New" w:eastAsia="Courier New" w:hAnsi="Courier New"/>
          <w:sz w:val="16"/>
          <w:szCs w:val="16"/>
          <w:color w:val="auto"/>
        </w:rPr>
        <w:t>SECTION 5.01. Mandatory Indemnification.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200" w:lineRule="exact"/>
        <w:rPr>
          <w:sz w:val="20"/>
          <w:szCs w:val="20"/>
          <w:color w:val="auto"/>
        </w:rPr>
      </w:pPr>
    </w:p>
    <w:p>
      <w:pPr>
        <w:spacing w:after="0" w:line="393"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In addition, the Registrant currently provides insurance coverage to its directors and officers against certain liabilities which might be incurred by them in such capacity.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21. EXHIBITS AND FINANCIAL STATEMENT SCHEDULES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EXHIBITS</w:t>
      </w:r>
    </w:p>
    <w:p>
      <w:pPr>
        <w:spacing w:after="0" w:line="201"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EXHIBIT NO.</w:t>
      </w:r>
    </w:p>
    <w:p>
      <w:pPr>
        <w:ind w:left="60"/>
        <w:spacing w:after="0" w:line="238" w:lineRule="auto"/>
        <w:rPr>
          <w:sz w:val="20"/>
          <w:szCs w:val="20"/>
          <w:color w:val="auto"/>
        </w:rPr>
      </w:pPr>
      <w:r>
        <w:rPr>
          <w:rFonts w:ascii="Courier New" w:cs="Courier New" w:eastAsia="Courier New" w:hAnsi="Courier New"/>
          <w:sz w:val="18"/>
          <w:szCs w:val="18"/>
          <w:color w:val="auto"/>
        </w:rPr>
        <w:t>DESCRIPTION - -------</w:t>
      </w:r>
    </w:p>
    <w:p>
      <w:pPr>
        <w:ind w:left="380"/>
        <w:spacing w:after="0"/>
        <w:rPr>
          <w:sz w:val="20"/>
          <w:szCs w:val="20"/>
          <w:color w:val="auto"/>
        </w:rPr>
      </w:pPr>
      <w:r>
        <w:rPr>
          <w:rFonts w:ascii="Courier New" w:cs="Courier New" w:eastAsia="Courier New" w:hAnsi="Courier New"/>
          <w:sz w:val="18"/>
          <w:szCs w:val="18"/>
          <w:color w:val="auto"/>
        </w:rPr>
        <w:t>----------- 4.1</w:t>
      </w:r>
    </w:p>
    <w:p>
      <w:pPr>
        <w:jc w:val="center"/>
        <w:ind w:right="7899"/>
        <w:spacing w:after="0" w:line="237" w:lineRule="auto"/>
        <w:rPr>
          <w:sz w:val="20"/>
          <w:szCs w:val="20"/>
          <w:color w:val="auto"/>
        </w:rPr>
      </w:pPr>
      <w:r>
        <w:rPr>
          <w:rFonts w:ascii="Courier New" w:cs="Courier New" w:eastAsia="Courier New" w:hAnsi="Courier New"/>
          <w:sz w:val="18"/>
          <w:szCs w:val="18"/>
          <w:color w:val="auto"/>
        </w:rPr>
        <w:t>Indenture dated as of</w:t>
      </w:r>
    </w:p>
    <w:p>
      <w:pPr>
        <w:jc w:val="center"/>
        <w:ind w:right="7899"/>
        <w:spacing w:after="0" w:line="238" w:lineRule="auto"/>
        <w:rPr>
          <w:sz w:val="20"/>
          <w:szCs w:val="20"/>
          <w:color w:val="auto"/>
        </w:rPr>
      </w:pPr>
      <w:r>
        <w:rPr>
          <w:rFonts w:ascii="Courier New" w:cs="Courier New" w:eastAsia="Courier New" w:hAnsi="Courier New"/>
          <w:sz w:val="18"/>
          <w:szCs w:val="18"/>
          <w:color w:val="auto"/>
        </w:rPr>
        <w:t>January 20, 1999</w:t>
      </w:r>
    </w:p>
    <w:p>
      <w:pPr>
        <w:jc w:val="center"/>
        <w:ind w:right="7899"/>
        <w:spacing w:after="0"/>
        <w:rPr>
          <w:sz w:val="20"/>
          <w:szCs w:val="20"/>
          <w:color w:val="auto"/>
        </w:rPr>
      </w:pPr>
      <w:r>
        <w:rPr>
          <w:rFonts w:ascii="Courier New" w:cs="Courier New" w:eastAsia="Courier New" w:hAnsi="Courier New"/>
          <w:sz w:val="18"/>
          <w:szCs w:val="18"/>
          <w:color w:val="auto"/>
        </w:rPr>
        <w:t>among The Scotts</w:t>
      </w:r>
    </w:p>
    <w:p>
      <w:pPr>
        <w:jc w:val="center"/>
        <w:ind w:right="7899"/>
        <w:spacing w:after="0" w:line="237" w:lineRule="auto"/>
        <w:rPr>
          <w:sz w:val="20"/>
          <w:szCs w:val="20"/>
          <w:color w:val="auto"/>
        </w:rPr>
      </w:pPr>
      <w:r>
        <w:rPr>
          <w:rFonts w:ascii="Courier New" w:cs="Courier New" w:eastAsia="Courier New" w:hAnsi="Courier New"/>
          <w:sz w:val="18"/>
          <w:szCs w:val="18"/>
          <w:color w:val="auto"/>
        </w:rPr>
        <w:t>Company, the</w:t>
      </w:r>
    </w:p>
    <w:p>
      <w:pPr>
        <w:jc w:val="center"/>
        <w:ind w:right="7899"/>
        <w:spacing w:after="0"/>
        <w:rPr>
          <w:sz w:val="20"/>
          <w:szCs w:val="20"/>
          <w:color w:val="auto"/>
        </w:rPr>
      </w:pPr>
      <w:r>
        <w:rPr>
          <w:rFonts w:ascii="Courier New" w:cs="Courier New" w:eastAsia="Courier New" w:hAnsi="Courier New"/>
          <w:sz w:val="18"/>
          <w:szCs w:val="18"/>
          <w:color w:val="auto"/>
        </w:rPr>
        <w:t>subsidiary guarantors</w:t>
      </w:r>
    </w:p>
    <w:p>
      <w:pPr>
        <w:jc w:val="center"/>
        <w:ind w:right="7899"/>
        <w:spacing w:after="0" w:line="237" w:lineRule="auto"/>
        <w:rPr>
          <w:sz w:val="20"/>
          <w:szCs w:val="20"/>
          <w:color w:val="auto"/>
        </w:rPr>
      </w:pPr>
      <w:r>
        <w:rPr>
          <w:rFonts w:ascii="Courier New" w:cs="Courier New" w:eastAsia="Courier New" w:hAnsi="Courier New"/>
          <w:sz w:val="18"/>
          <w:szCs w:val="18"/>
          <w:color w:val="auto"/>
        </w:rPr>
        <w:t>listed on the</w:t>
      </w:r>
    </w:p>
    <w:p>
      <w:pPr>
        <w:jc w:val="center"/>
        <w:ind w:right="7899"/>
        <w:spacing w:after="0"/>
        <w:rPr>
          <w:sz w:val="20"/>
          <w:szCs w:val="20"/>
          <w:color w:val="auto"/>
        </w:rPr>
      </w:pPr>
      <w:r>
        <w:rPr>
          <w:rFonts w:ascii="Courier New" w:cs="Courier New" w:eastAsia="Courier New" w:hAnsi="Courier New"/>
          <w:sz w:val="18"/>
          <w:szCs w:val="18"/>
          <w:color w:val="auto"/>
        </w:rPr>
        <w:t>signature pages</w:t>
      </w:r>
    </w:p>
    <w:p>
      <w:pPr>
        <w:jc w:val="center"/>
        <w:ind w:right="7899"/>
        <w:spacing w:after="0" w:line="237" w:lineRule="auto"/>
        <w:rPr>
          <w:sz w:val="20"/>
          <w:szCs w:val="20"/>
          <w:color w:val="auto"/>
        </w:rPr>
      </w:pPr>
      <w:r>
        <w:rPr>
          <w:rFonts w:ascii="Courier New" w:cs="Courier New" w:eastAsia="Courier New" w:hAnsi="Courier New"/>
          <w:sz w:val="18"/>
          <w:szCs w:val="18"/>
          <w:color w:val="auto"/>
        </w:rPr>
        <w:t>thereof and State</w:t>
      </w:r>
    </w:p>
    <w:p>
      <w:pPr>
        <w:jc w:val="center"/>
        <w:ind w:right="7899"/>
        <w:spacing w:after="0" w:line="238" w:lineRule="auto"/>
        <w:rPr>
          <w:sz w:val="20"/>
          <w:szCs w:val="20"/>
          <w:color w:val="auto"/>
        </w:rPr>
      </w:pPr>
      <w:r>
        <w:rPr>
          <w:rFonts w:ascii="Courier New" w:cs="Courier New" w:eastAsia="Courier New" w:hAnsi="Courier New"/>
          <w:sz w:val="18"/>
          <w:szCs w:val="18"/>
          <w:color w:val="auto"/>
        </w:rPr>
        <w:t>Street Bank and Trust</w:t>
      </w:r>
    </w:p>
    <w:p>
      <w:pPr>
        <w:jc w:val="center"/>
        <w:ind w:right="7899"/>
        <w:spacing w:after="0"/>
        <w:rPr>
          <w:sz w:val="20"/>
          <w:szCs w:val="20"/>
          <w:color w:val="auto"/>
        </w:rPr>
      </w:pPr>
      <w:r>
        <w:rPr>
          <w:rFonts w:ascii="Courier New" w:cs="Courier New" w:eastAsia="Courier New" w:hAnsi="Courier New"/>
          <w:sz w:val="18"/>
          <w:szCs w:val="18"/>
          <w:color w:val="auto"/>
        </w:rPr>
        <w:t>Company, as trustee</w:t>
      </w:r>
    </w:p>
    <w:p>
      <w:pPr>
        <w:jc w:val="center"/>
        <w:ind w:right="7899"/>
        <w:spacing w:after="0" w:line="237" w:lineRule="auto"/>
        <w:rPr>
          <w:sz w:val="20"/>
          <w:szCs w:val="20"/>
          <w:color w:val="auto"/>
        </w:rPr>
      </w:pPr>
      <w:r>
        <w:rPr>
          <w:rFonts w:ascii="Courier New" w:cs="Courier New" w:eastAsia="Courier New" w:hAnsi="Courier New"/>
          <w:sz w:val="18"/>
          <w:szCs w:val="18"/>
          <w:color w:val="auto"/>
        </w:rPr>
        <w:t>(filed as Exhibit 4</w:t>
      </w:r>
    </w:p>
    <w:p>
      <w:pPr>
        <w:jc w:val="center"/>
        <w:ind w:right="7899"/>
        <w:spacing w:after="0"/>
        <w:rPr>
          <w:sz w:val="20"/>
          <w:szCs w:val="20"/>
          <w:color w:val="auto"/>
        </w:rPr>
      </w:pPr>
      <w:r>
        <w:rPr>
          <w:rFonts w:ascii="Courier New" w:cs="Courier New" w:eastAsia="Courier New" w:hAnsi="Courier New"/>
          <w:sz w:val="18"/>
          <w:szCs w:val="18"/>
          <w:color w:val="auto"/>
        </w:rPr>
        <w:t>to the Registration</w:t>
      </w:r>
    </w:p>
    <w:p>
      <w:pPr>
        <w:jc w:val="center"/>
        <w:ind w:right="7899"/>
        <w:spacing w:after="0" w:line="237" w:lineRule="auto"/>
        <w:rPr>
          <w:sz w:val="20"/>
          <w:szCs w:val="20"/>
          <w:color w:val="auto"/>
        </w:rPr>
      </w:pPr>
      <w:r>
        <w:rPr>
          <w:rFonts w:ascii="Courier New" w:cs="Courier New" w:eastAsia="Courier New" w:hAnsi="Courier New"/>
          <w:sz w:val="18"/>
          <w:szCs w:val="18"/>
          <w:color w:val="auto"/>
        </w:rPr>
        <w:t>Statement on Form S-4</w:t>
      </w:r>
    </w:p>
    <w:p>
      <w:pPr>
        <w:jc w:val="center"/>
        <w:ind w:right="7899"/>
        <w:spacing w:after="0"/>
        <w:rPr>
          <w:sz w:val="20"/>
          <w:szCs w:val="20"/>
          <w:color w:val="auto"/>
        </w:rPr>
      </w:pPr>
      <w:r>
        <w:rPr>
          <w:rFonts w:ascii="Courier New" w:cs="Courier New" w:eastAsia="Courier New" w:hAnsi="Courier New"/>
          <w:sz w:val="18"/>
          <w:szCs w:val="18"/>
          <w:color w:val="auto"/>
        </w:rPr>
        <w:t>(File no. 333-76739)</w:t>
      </w:r>
    </w:p>
    <w:p>
      <w:pPr>
        <w:jc w:val="center"/>
        <w:ind w:right="7899"/>
        <w:spacing w:after="0" w:line="237" w:lineRule="auto"/>
        <w:rPr>
          <w:sz w:val="20"/>
          <w:szCs w:val="20"/>
          <w:color w:val="auto"/>
        </w:rPr>
      </w:pPr>
      <w:r>
        <w:rPr>
          <w:rFonts w:ascii="Courier New" w:cs="Courier New" w:eastAsia="Courier New" w:hAnsi="Courier New"/>
          <w:sz w:val="18"/>
          <w:szCs w:val="18"/>
          <w:color w:val="auto"/>
        </w:rPr>
        <w:t>and incorporated by</w:t>
      </w:r>
    </w:p>
    <w:p>
      <w:pPr>
        <w:jc w:val="center"/>
        <w:ind w:right="7899"/>
        <w:spacing w:after="0" w:line="238" w:lineRule="auto"/>
        <w:rPr>
          <w:sz w:val="20"/>
          <w:szCs w:val="20"/>
          <w:color w:val="auto"/>
        </w:rPr>
      </w:pPr>
      <w:r>
        <w:rPr>
          <w:rFonts w:ascii="Courier New" w:cs="Courier New" w:eastAsia="Courier New" w:hAnsi="Courier New"/>
          <w:sz w:val="18"/>
          <w:szCs w:val="18"/>
          <w:color w:val="auto"/>
        </w:rPr>
        <w:t>reference herein).</w:t>
      </w:r>
    </w:p>
    <w:p>
      <w:pPr>
        <w:jc w:val="center"/>
        <w:ind w:right="7899"/>
        <w:spacing w:after="0"/>
        <w:rPr>
          <w:sz w:val="20"/>
          <w:szCs w:val="20"/>
          <w:color w:val="auto"/>
        </w:rPr>
      </w:pPr>
      <w:r>
        <w:rPr>
          <w:rFonts w:ascii="Courier New" w:cs="Courier New" w:eastAsia="Courier New" w:hAnsi="Courier New"/>
          <w:sz w:val="18"/>
          <w:szCs w:val="18"/>
          <w:color w:val="auto"/>
        </w:rPr>
        <w:t>4.2 Supplemental</w:t>
      </w:r>
    </w:p>
    <w:p>
      <w:pPr>
        <w:jc w:val="center"/>
        <w:ind w:right="7899"/>
        <w:spacing w:after="0" w:line="237" w:lineRule="auto"/>
        <w:rPr>
          <w:sz w:val="20"/>
          <w:szCs w:val="20"/>
          <w:color w:val="auto"/>
        </w:rPr>
      </w:pPr>
      <w:r>
        <w:rPr>
          <w:rFonts w:ascii="Courier New" w:cs="Courier New" w:eastAsia="Courier New" w:hAnsi="Courier New"/>
          <w:sz w:val="18"/>
          <w:szCs w:val="18"/>
          <w:color w:val="auto"/>
        </w:rPr>
        <w:t>Indenture dated as of</w:t>
      </w:r>
    </w:p>
    <w:p>
      <w:pPr>
        <w:jc w:val="center"/>
        <w:ind w:right="7899"/>
        <w:spacing w:after="0"/>
        <w:rPr>
          <w:sz w:val="20"/>
          <w:szCs w:val="20"/>
          <w:color w:val="auto"/>
        </w:rPr>
      </w:pPr>
      <w:r>
        <w:rPr>
          <w:rFonts w:ascii="Courier New" w:cs="Courier New" w:eastAsia="Courier New" w:hAnsi="Courier New"/>
          <w:sz w:val="18"/>
          <w:szCs w:val="18"/>
          <w:color w:val="auto"/>
        </w:rPr>
        <w:t>February 6, 2002</w:t>
      </w:r>
    </w:p>
    <w:p>
      <w:pPr>
        <w:jc w:val="center"/>
        <w:ind w:right="7899"/>
        <w:spacing w:after="0" w:line="237" w:lineRule="auto"/>
        <w:rPr>
          <w:sz w:val="20"/>
          <w:szCs w:val="20"/>
          <w:color w:val="auto"/>
        </w:rPr>
      </w:pPr>
      <w:r>
        <w:rPr>
          <w:rFonts w:ascii="Courier New" w:cs="Courier New" w:eastAsia="Courier New" w:hAnsi="Courier New"/>
          <w:sz w:val="18"/>
          <w:szCs w:val="18"/>
          <w:color w:val="auto"/>
        </w:rPr>
        <w:t>among The Scotts</w:t>
      </w:r>
    </w:p>
    <w:p>
      <w:pPr>
        <w:jc w:val="center"/>
        <w:ind w:right="7899"/>
        <w:spacing w:after="0"/>
        <w:rPr>
          <w:sz w:val="20"/>
          <w:szCs w:val="20"/>
          <w:color w:val="auto"/>
        </w:rPr>
      </w:pPr>
      <w:r>
        <w:rPr>
          <w:rFonts w:ascii="Courier New" w:cs="Courier New" w:eastAsia="Courier New" w:hAnsi="Courier New"/>
          <w:sz w:val="18"/>
          <w:szCs w:val="18"/>
          <w:color w:val="auto"/>
        </w:rPr>
        <w:t>Company, the</w:t>
      </w:r>
    </w:p>
    <w:p>
      <w:pPr>
        <w:jc w:val="center"/>
        <w:ind w:right="7899"/>
        <w:spacing w:after="0" w:line="237" w:lineRule="auto"/>
        <w:rPr>
          <w:sz w:val="20"/>
          <w:szCs w:val="20"/>
          <w:color w:val="auto"/>
        </w:rPr>
      </w:pPr>
      <w:r>
        <w:rPr>
          <w:rFonts w:ascii="Courier New" w:cs="Courier New" w:eastAsia="Courier New" w:hAnsi="Courier New"/>
          <w:sz w:val="18"/>
          <w:szCs w:val="18"/>
          <w:color w:val="auto"/>
        </w:rPr>
        <w:t>subsidiary guarantors</w:t>
      </w:r>
    </w:p>
    <w:p>
      <w:pPr>
        <w:jc w:val="center"/>
        <w:ind w:right="7899"/>
        <w:spacing w:after="0"/>
        <w:rPr>
          <w:sz w:val="20"/>
          <w:szCs w:val="20"/>
          <w:color w:val="auto"/>
        </w:rPr>
      </w:pPr>
      <w:r>
        <w:rPr>
          <w:rFonts w:ascii="Courier New" w:cs="Courier New" w:eastAsia="Courier New" w:hAnsi="Courier New"/>
          <w:sz w:val="18"/>
          <w:szCs w:val="18"/>
          <w:color w:val="auto"/>
        </w:rPr>
        <w:t>listed on the</w:t>
      </w:r>
    </w:p>
    <w:p>
      <w:pPr>
        <w:jc w:val="center"/>
        <w:ind w:right="7899"/>
        <w:spacing w:after="0" w:line="237" w:lineRule="auto"/>
        <w:rPr>
          <w:sz w:val="20"/>
          <w:szCs w:val="20"/>
          <w:color w:val="auto"/>
        </w:rPr>
      </w:pPr>
      <w:r>
        <w:rPr>
          <w:rFonts w:ascii="Courier New" w:cs="Courier New" w:eastAsia="Courier New" w:hAnsi="Courier New"/>
          <w:sz w:val="18"/>
          <w:szCs w:val="18"/>
          <w:color w:val="auto"/>
        </w:rPr>
        <w:t>signature pages</w:t>
      </w:r>
    </w:p>
    <w:p>
      <w:pPr>
        <w:jc w:val="center"/>
        <w:ind w:right="7899"/>
        <w:spacing w:after="0" w:line="238" w:lineRule="auto"/>
        <w:rPr>
          <w:sz w:val="20"/>
          <w:szCs w:val="20"/>
          <w:color w:val="auto"/>
        </w:rPr>
      </w:pPr>
      <w:r>
        <w:rPr>
          <w:rFonts w:ascii="Courier New" w:cs="Courier New" w:eastAsia="Courier New" w:hAnsi="Courier New"/>
          <w:sz w:val="18"/>
          <w:szCs w:val="18"/>
          <w:color w:val="auto"/>
        </w:rPr>
        <w:t>thereof and State</w:t>
      </w:r>
    </w:p>
    <w:p>
      <w:pPr>
        <w:jc w:val="center"/>
        <w:ind w:right="7899"/>
        <w:spacing w:after="0"/>
        <w:rPr>
          <w:sz w:val="20"/>
          <w:szCs w:val="20"/>
          <w:color w:val="auto"/>
        </w:rPr>
      </w:pPr>
      <w:r>
        <w:rPr>
          <w:rFonts w:ascii="Courier New" w:cs="Courier New" w:eastAsia="Courier New" w:hAnsi="Courier New"/>
          <w:sz w:val="18"/>
          <w:szCs w:val="18"/>
          <w:color w:val="auto"/>
        </w:rPr>
        <w:t>Street Bank and Trust</w:t>
      </w:r>
    </w:p>
    <w:p>
      <w:pPr>
        <w:jc w:val="center"/>
        <w:ind w:right="7899"/>
        <w:spacing w:after="0" w:line="237" w:lineRule="auto"/>
        <w:rPr>
          <w:sz w:val="20"/>
          <w:szCs w:val="20"/>
          <w:color w:val="auto"/>
        </w:rPr>
      </w:pPr>
      <w:r>
        <w:rPr>
          <w:rFonts w:ascii="Courier New" w:cs="Courier New" w:eastAsia="Courier New" w:hAnsi="Courier New"/>
          <w:sz w:val="18"/>
          <w:szCs w:val="18"/>
          <w:color w:val="auto"/>
        </w:rPr>
        <w:t>Company, as trustee.</w:t>
      </w:r>
    </w:p>
    <w:p>
      <w:pPr>
        <w:jc w:val="center"/>
        <w:ind w:right="7899"/>
        <w:spacing w:after="0"/>
        <w:rPr>
          <w:sz w:val="20"/>
          <w:szCs w:val="20"/>
          <w:color w:val="auto"/>
        </w:rPr>
      </w:pPr>
      <w:r>
        <w:rPr>
          <w:rFonts w:ascii="Courier New" w:cs="Courier New" w:eastAsia="Courier New" w:hAnsi="Courier New"/>
          <w:sz w:val="18"/>
          <w:szCs w:val="18"/>
          <w:color w:val="auto"/>
        </w:rPr>
        <w:t>4.3 Registration</w:t>
      </w:r>
    </w:p>
    <w:p>
      <w:pPr>
        <w:jc w:val="center"/>
        <w:ind w:right="7899"/>
        <w:spacing w:after="0" w:line="237" w:lineRule="auto"/>
        <w:rPr>
          <w:sz w:val="20"/>
          <w:szCs w:val="20"/>
          <w:color w:val="auto"/>
        </w:rPr>
      </w:pPr>
      <w:r>
        <w:rPr>
          <w:rFonts w:ascii="Courier New" w:cs="Courier New" w:eastAsia="Courier New" w:hAnsi="Courier New"/>
          <w:sz w:val="18"/>
          <w:szCs w:val="18"/>
          <w:color w:val="auto"/>
        </w:rPr>
        <w:t>Rights Agreement,</w:t>
      </w:r>
    </w:p>
    <w:p>
      <w:pPr>
        <w:jc w:val="center"/>
        <w:ind w:right="7899"/>
        <w:spacing w:after="0"/>
        <w:rPr>
          <w:sz w:val="20"/>
          <w:szCs w:val="20"/>
          <w:color w:val="auto"/>
        </w:rPr>
      </w:pPr>
      <w:r>
        <w:rPr>
          <w:rFonts w:ascii="Courier New" w:cs="Courier New" w:eastAsia="Courier New" w:hAnsi="Courier New"/>
          <w:sz w:val="18"/>
          <w:szCs w:val="18"/>
          <w:color w:val="auto"/>
        </w:rPr>
        <w:t>dated as February 6,</w:t>
      </w:r>
    </w:p>
    <w:p>
      <w:pPr>
        <w:jc w:val="center"/>
        <w:ind w:right="7899"/>
        <w:spacing w:after="0" w:line="237" w:lineRule="auto"/>
        <w:rPr>
          <w:sz w:val="20"/>
          <w:szCs w:val="20"/>
          <w:color w:val="auto"/>
        </w:rPr>
      </w:pPr>
      <w:r>
        <w:rPr>
          <w:rFonts w:ascii="Courier New" w:cs="Courier New" w:eastAsia="Courier New" w:hAnsi="Courier New"/>
          <w:sz w:val="18"/>
          <w:szCs w:val="18"/>
          <w:color w:val="auto"/>
        </w:rPr>
        <w:t>2002, among The</w:t>
      </w:r>
    </w:p>
    <w:p>
      <w:pPr>
        <w:jc w:val="center"/>
        <w:ind w:right="7899"/>
        <w:spacing w:after="0" w:line="238" w:lineRule="auto"/>
        <w:rPr>
          <w:sz w:val="20"/>
          <w:szCs w:val="20"/>
          <w:color w:val="auto"/>
        </w:rPr>
      </w:pPr>
      <w:r>
        <w:rPr>
          <w:rFonts w:ascii="Courier New" w:cs="Courier New" w:eastAsia="Courier New" w:hAnsi="Courier New"/>
          <w:sz w:val="18"/>
          <w:szCs w:val="18"/>
          <w:color w:val="auto"/>
        </w:rPr>
        <w:t>Scotts Company, the</w:t>
      </w:r>
    </w:p>
    <w:p>
      <w:pPr>
        <w:jc w:val="center"/>
        <w:ind w:right="7899"/>
        <w:spacing w:after="0"/>
        <w:rPr>
          <w:sz w:val="20"/>
          <w:szCs w:val="20"/>
          <w:color w:val="auto"/>
        </w:rPr>
      </w:pPr>
      <w:r>
        <w:rPr>
          <w:rFonts w:ascii="Courier New" w:cs="Courier New" w:eastAsia="Courier New" w:hAnsi="Courier New"/>
          <w:sz w:val="18"/>
          <w:szCs w:val="18"/>
          <w:color w:val="auto"/>
        </w:rPr>
        <w:t>subsidiary guarantors</w:t>
      </w:r>
    </w:p>
    <w:p>
      <w:pPr>
        <w:jc w:val="center"/>
        <w:ind w:right="7899"/>
        <w:spacing w:after="0" w:line="237" w:lineRule="auto"/>
        <w:rPr>
          <w:sz w:val="20"/>
          <w:szCs w:val="20"/>
          <w:color w:val="auto"/>
        </w:rPr>
      </w:pPr>
      <w:r>
        <w:rPr>
          <w:rFonts w:ascii="Courier New" w:cs="Courier New" w:eastAsia="Courier New" w:hAnsi="Courier New"/>
          <w:sz w:val="18"/>
          <w:szCs w:val="18"/>
          <w:color w:val="auto"/>
        </w:rPr>
        <w:t>listed on the</w:t>
      </w:r>
    </w:p>
    <w:p>
      <w:pPr>
        <w:jc w:val="center"/>
        <w:ind w:right="7899"/>
        <w:spacing w:after="0"/>
        <w:rPr>
          <w:sz w:val="20"/>
          <w:szCs w:val="20"/>
          <w:color w:val="auto"/>
        </w:rPr>
      </w:pPr>
      <w:r>
        <w:rPr>
          <w:rFonts w:ascii="Courier New" w:cs="Courier New" w:eastAsia="Courier New" w:hAnsi="Courier New"/>
          <w:sz w:val="18"/>
          <w:szCs w:val="18"/>
          <w:color w:val="auto"/>
        </w:rPr>
        <w:t>signature pages</w:t>
      </w:r>
    </w:p>
    <w:p>
      <w:pPr>
        <w:jc w:val="center"/>
        <w:ind w:right="7899"/>
        <w:spacing w:after="0" w:line="237" w:lineRule="auto"/>
        <w:rPr>
          <w:sz w:val="20"/>
          <w:szCs w:val="20"/>
          <w:color w:val="auto"/>
        </w:rPr>
      </w:pPr>
      <w:r>
        <w:rPr>
          <w:rFonts w:ascii="Courier New" w:cs="Courier New" w:eastAsia="Courier New" w:hAnsi="Courier New"/>
          <w:sz w:val="18"/>
          <w:szCs w:val="18"/>
          <w:color w:val="auto"/>
        </w:rPr>
        <w:t>thereof and the</w:t>
      </w:r>
    </w:p>
    <w:p>
      <w:pPr>
        <w:sectPr>
          <w:pgSz w:w="11900" w:h="16838" w:orient="portrait"/>
          <w:cols w:equalWidth="0" w:num="1">
            <w:col w:w="10219"/>
          </w:cols>
          <w:pgMar w:left="240" w:top="723" w:right="1440" w:bottom="0" w:gutter="0" w:footer="0" w:header="0"/>
        </w:sectPr>
      </w:pPr>
    </w:p>
    <w:bookmarkStart w:id="100" w:name="page101"/>
    <w:bookmarkEnd w:id="100"/>
    <w:p>
      <w:pPr>
        <w:jc w:val="center"/>
        <w:ind w:right="7899"/>
        <w:spacing w:after="0"/>
        <w:rPr>
          <w:sz w:val="20"/>
          <w:szCs w:val="20"/>
          <w:color w:val="auto"/>
        </w:rPr>
      </w:pPr>
      <w:r>
        <w:rPr>
          <w:rFonts w:ascii="Courier New" w:cs="Courier New" w:eastAsia="Courier New" w:hAnsi="Courier New"/>
          <w:sz w:val="18"/>
          <w:szCs w:val="18"/>
          <w:color w:val="auto"/>
        </w:rPr>
        <w:t>Initial Purchasers</w:t>
      </w:r>
    </w:p>
    <w:p>
      <w:pPr>
        <w:jc w:val="center"/>
        <w:ind w:right="7899"/>
        <w:spacing w:after="0" w:line="238" w:lineRule="auto"/>
        <w:rPr>
          <w:sz w:val="20"/>
          <w:szCs w:val="20"/>
          <w:color w:val="auto"/>
        </w:rPr>
      </w:pPr>
      <w:r>
        <w:rPr>
          <w:rFonts w:ascii="Courier New" w:cs="Courier New" w:eastAsia="Courier New" w:hAnsi="Courier New"/>
          <w:sz w:val="18"/>
          <w:szCs w:val="18"/>
          <w:color w:val="auto"/>
        </w:rPr>
        <w:t>named therein. 5.1</w:t>
      </w:r>
    </w:p>
    <w:p>
      <w:pPr>
        <w:jc w:val="center"/>
        <w:ind w:right="7899"/>
        <w:spacing w:after="0"/>
        <w:rPr>
          <w:sz w:val="20"/>
          <w:szCs w:val="20"/>
          <w:color w:val="auto"/>
        </w:rPr>
      </w:pPr>
      <w:r>
        <w:rPr>
          <w:rFonts w:ascii="Courier New" w:cs="Courier New" w:eastAsia="Courier New" w:hAnsi="Courier New"/>
          <w:sz w:val="18"/>
          <w:szCs w:val="18"/>
          <w:color w:val="auto"/>
        </w:rPr>
        <w:t>Opinion of Vorys,</w:t>
      </w:r>
    </w:p>
    <w:p>
      <w:pPr>
        <w:jc w:val="center"/>
        <w:ind w:right="7899"/>
        <w:spacing w:after="0" w:line="237" w:lineRule="auto"/>
        <w:rPr>
          <w:sz w:val="20"/>
          <w:szCs w:val="20"/>
          <w:color w:val="auto"/>
        </w:rPr>
      </w:pPr>
      <w:r>
        <w:rPr>
          <w:rFonts w:ascii="Courier New" w:cs="Courier New" w:eastAsia="Courier New" w:hAnsi="Courier New"/>
          <w:sz w:val="18"/>
          <w:szCs w:val="18"/>
          <w:color w:val="auto"/>
        </w:rPr>
        <w:t>Sater, Seymour and</w:t>
      </w:r>
    </w:p>
    <w:p>
      <w:pPr>
        <w:jc w:val="center"/>
        <w:ind w:right="7899"/>
        <w:spacing w:after="0" w:line="238" w:lineRule="auto"/>
        <w:rPr>
          <w:sz w:val="20"/>
          <w:szCs w:val="20"/>
          <w:color w:val="auto"/>
        </w:rPr>
      </w:pPr>
      <w:r>
        <w:rPr>
          <w:rFonts w:ascii="Courier New" w:cs="Courier New" w:eastAsia="Courier New" w:hAnsi="Courier New"/>
          <w:sz w:val="18"/>
          <w:szCs w:val="18"/>
          <w:color w:val="auto"/>
        </w:rPr>
        <w:t>Pease LLP 12.1</w:t>
      </w:r>
    </w:p>
    <w:p>
      <w:pPr>
        <w:jc w:val="center"/>
        <w:ind w:right="7899"/>
        <w:spacing w:after="0"/>
        <w:rPr>
          <w:sz w:val="20"/>
          <w:szCs w:val="20"/>
          <w:color w:val="auto"/>
        </w:rPr>
      </w:pPr>
      <w:r>
        <w:rPr>
          <w:rFonts w:ascii="Courier New" w:cs="Courier New" w:eastAsia="Courier New" w:hAnsi="Courier New"/>
          <w:sz w:val="18"/>
          <w:szCs w:val="18"/>
          <w:color w:val="auto"/>
        </w:rPr>
        <w:t>Statement of</w:t>
      </w:r>
    </w:p>
    <w:p>
      <w:pPr>
        <w:jc w:val="center"/>
        <w:ind w:right="7899"/>
        <w:spacing w:after="0" w:line="237" w:lineRule="auto"/>
        <w:rPr>
          <w:sz w:val="20"/>
          <w:szCs w:val="20"/>
          <w:color w:val="auto"/>
        </w:rPr>
      </w:pPr>
      <w:r>
        <w:rPr>
          <w:rFonts w:ascii="Courier New" w:cs="Courier New" w:eastAsia="Courier New" w:hAnsi="Courier New"/>
          <w:sz w:val="18"/>
          <w:szCs w:val="18"/>
          <w:color w:val="auto"/>
        </w:rPr>
        <w:t>Computation of Ratios</w:t>
      </w:r>
    </w:p>
    <w:p>
      <w:pPr>
        <w:jc w:val="center"/>
        <w:ind w:right="7899"/>
        <w:spacing w:after="0"/>
        <w:rPr>
          <w:sz w:val="20"/>
          <w:szCs w:val="20"/>
          <w:color w:val="auto"/>
        </w:rPr>
      </w:pPr>
      <w:r>
        <w:rPr>
          <w:rFonts w:ascii="Courier New" w:cs="Courier New" w:eastAsia="Courier New" w:hAnsi="Courier New"/>
          <w:sz w:val="18"/>
          <w:szCs w:val="18"/>
          <w:color w:val="auto"/>
        </w:rPr>
        <w:t>23.1 Consent of</w:t>
      </w:r>
    </w:p>
    <w:p>
      <w:pPr>
        <w:spacing w:after="0" w:line="4"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6"/>
          <w:szCs w:val="16"/>
          <w:color w:val="auto"/>
        </w:rPr>
        <w:t>PricewaterhouseCoopers</w:t>
      </w:r>
    </w:p>
    <w:p>
      <w:pPr>
        <w:spacing w:after="0" w:line="16"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LLP, independent</w:t>
      </w:r>
    </w:p>
    <w:p>
      <w:pPr>
        <w:jc w:val="center"/>
        <w:ind w:right="7899"/>
        <w:spacing w:after="0" w:line="238" w:lineRule="auto"/>
        <w:rPr>
          <w:sz w:val="20"/>
          <w:szCs w:val="20"/>
          <w:color w:val="auto"/>
        </w:rPr>
      </w:pPr>
      <w:r>
        <w:rPr>
          <w:rFonts w:ascii="Courier New" w:cs="Courier New" w:eastAsia="Courier New" w:hAnsi="Courier New"/>
          <w:sz w:val="18"/>
          <w:szCs w:val="18"/>
          <w:color w:val="auto"/>
        </w:rPr>
        <w:t>accountants 23.2</w:t>
      </w:r>
    </w:p>
    <w:p>
      <w:pPr>
        <w:jc w:val="center"/>
        <w:ind w:right="7899"/>
        <w:spacing w:after="0"/>
        <w:rPr>
          <w:sz w:val="20"/>
          <w:szCs w:val="20"/>
          <w:color w:val="auto"/>
        </w:rPr>
      </w:pPr>
      <w:r>
        <w:rPr>
          <w:rFonts w:ascii="Courier New" w:cs="Courier New" w:eastAsia="Courier New" w:hAnsi="Courier New"/>
          <w:sz w:val="18"/>
          <w:szCs w:val="18"/>
          <w:color w:val="auto"/>
        </w:rPr>
        <w:t>Consent of Vorys,</w:t>
      </w:r>
    </w:p>
    <w:p>
      <w:pPr>
        <w:jc w:val="center"/>
        <w:ind w:right="7899"/>
        <w:spacing w:after="0" w:line="237" w:lineRule="auto"/>
        <w:rPr>
          <w:sz w:val="20"/>
          <w:szCs w:val="20"/>
          <w:color w:val="auto"/>
        </w:rPr>
      </w:pPr>
      <w:r>
        <w:rPr>
          <w:rFonts w:ascii="Courier New" w:cs="Courier New" w:eastAsia="Courier New" w:hAnsi="Courier New"/>
          <w:sz w:val="18"/>
          <w:szCs w:val="18"/>
          <w:color w:val="auto"/>
        </w:rPr>
        <w:t>Sater, Seymour and</w:t>
      </w:r>
    </w:p>
    <w:p>
      <w:pPr>
        <w:jc w:val="center"/>
        <w:ind w:right="7899"/>
        <w:spacing w:after="0" w:line="238" w:lineRule="auto"/>
        <w:rPr>
          <w:sz w:val="20"/>
          <w:szCs w:val="20"/>
          <w:color w:val="auto"/>
        </w:rPr>
      </w:pPr>
      <w:r>
        <w:rPr>
          <w:rFonts w:ascii="Courier New" w:cs="Courier New" w:eastAsia="Courier New" w:hAnsi="Courier New"/>
          <w:sz w:val="18"/>
          <w:szCs w:val="18"/>
          <w:color w:val="auto"/>
        </w:rPr>
        <w:t>Pease LLP (included</w:t>
      </w:r>
    </w:p>
    <w:p>
      <w:pPr>
        <w:jc w:val="center"/>
        <w:ind w:right="7899"/>
        <w:spacing w:after="0"/>
        <w:rPr>
          <w:sz w:val="20"/>
          <w:szCs w:val="20"/>
          <w:color w:val="auto"/>
        </w:rPr>
      </w:pPr>
      <w:r>
        <w:rPr>
          <w:rFonts w:ascii="Courier New" w:cs="Courier New" w:eastAsia="Courier New" w:hAnsi="Courier New"/>
          <w:sz w:val="18"/>
          <w:szCs w:val="18"/>
          <w:color w:val="auto"/>
        </w:rPr>
        <w:t>in Exhibit 5.1) 24.1</w:t>
      </w:r>
    </w:p>
    <w:p>
      <w:pPr>
        <w:jc w:val="center"/>
        <w:ind w:right="7899"/>
        <w:spacing w:after="0" w:line="237" w:lineRule="auto"/>
        <w:rPr>
          <w:sz w:val="20"/>
          <w:szCs w:val="20"/>
          <w:color w:val="auto"/>
        </w:rPr>
      </w:pPr>
      <w:r>
        <w:rPr>
          <w:rFonts w:ascii="Courier New" w:cs="Courier New" w:eastAsia="Courier New" w:hAnsi="Courier New"/>
          <w:sz w:val="18"/>
          <w:szCs w:val="18"/>
          <w:color w:val="auto"/>
        </w:rPr>
        <w:t>Powers of Attorney</w:t>
      </w:r>
    </w:p>
    <w:p>
      <w:pPr>
        <w:jc w:val="center"/>
        <w:ind w:right="7899"/>
        <w:spacing w:after="0"/>
        <w:rPr>
          <w:sz w:val="20"/>
          <w:szCs w:val="20"/>
          <w:color w:val="auto"/>
        </w:rPr>
      </w:pPr>
      <w:r>
        <w:rPr>
          <w:rFonts w:ascii="Courier New" w:cs="Courier New" w:eastAsia="Courier New" w:hAnsi="Courier New"/>
          <w:sz w:val="18"/>
          <w:szCs w:val="18"/>
          <w:color w:val="auto"/>
        </w:rPr>
        <w:t>(included on</w:t>
      </w:r>
    </w:p>
    <w:p>
      <w:pPr>
        <w:jc w:val="center"/>
        <w:ind w:right="7899"/>
        <w:spacing w:after="0" w:line="237" w:lineRule="auto"/>
        <w:rPr>
          <w:sz w:val="20"/>
          <w:szCs w:val="20"/>
          <w:color w:val="auto"/>
        </w:rPr>
      </w:pPr>
      <w:r>
        <w:rPr>
          <w:rFonts w:ascii="Courier New" w:cs="Courier New" w:eastAsia="Courier New" w:hAnsi="Courier New"/>
          <w:sz w:val="18"/>
          <w:szCs w:val="18"/>
          <w:color w:val="auto"/>
        </w:rPr>
        <w:t>signature pages)</w:t>
      </w:r>
    </w:p>
    <w:p>
      <w:pPr>
        <w:spacing w:after="0" w:line="200" w:lineRule="exact"/>
        <w:rPr>
          <w:sz w:val="20"/>
          <w:szCs w:val="20"/>
          <w:color w:val="auto"/>
        </w:rPr>
      </w:pPr>
    </w:p>
    <w:p>
      <w:pPr>
        <w:spacing w:after="0" w:line="20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136" w:right="1440" w:bottom="1440" w:gutter="0" w:footer="0" w:header="0"/>
        </w:sectPr>
      </w:pPr>
    </w:p>
    <w:bookmarkStart w:id="101" w:name="page102"/>
    <w:bookmarkEnd w:id="101"/>
    <w:p>
      <w:pPr>
        <w:jc w:val="center"/>
        <w:ind w:right="8739"/>
        <w:spacing w:after="0"/>
        <w:rPr>
          <w:sz w:val="20"/>
          <w:szCs w:val="20"/>
          <w:color w:val="auto"/>
        </w:rPr>
      </w:pPr>
      <w:r>
        <w:rPr>
          <w:rFonts w:ascii="Courier New" w:cs="Courier New" w:eastAsia="Courier New" w:hAnsi="Courier New"/>
          <w:sz w:val="18"/>
          <w:szCs w:val="18"/>
          <w:color w:val="auto"/>
        </w:rPr>
        <w:t>EXHIBIT NO.</w:t>
      </w:r>
    </w:p>
    <w:p>
      <w:pPr>
        <w:jc w:val="center"/>
        <w:ind w:right="8739"/>
        <w:spacing w:after="0" w:line="238" w:lineRule="auto"/>
        <w:rPr>
          <w:sz w:val="20"/>
          <w:szCs w:val="20"/>
          <w:color w:val="auto"/>
        </w:rPr>
      </w:pPr>
      <w:r>
        <w:rPr>
          <w:rFonts w:ascii="Courier New" w:cs="Courier New" w:eastAsia="Courier New" w:hAnsi="Courier New"/>
          <w:sz w:val="18"/>
          <w:szCs w:val="18"/>
          <w:color w:val="auto"/>
        </w:rPr>
        <w:t>DESCRIPTION -</w:t>
      </w:r>
    </w:p>
    <w:p>
      <w:pPr>
        <w:ind w:left="60"/>
        <w:spacing w:after="0"/>
        <w:rPr>
          <w:sz w:val="20"/>
          <w:szCs w:val="20"/>
          <w:color w:val="auto"/>
        </w:rPr>
      </w:pPr>
      <w:r>
        <w:rPr>
          <w:rFonts w:ascii="Courier New" w:cs="Courier New" w:eastAsia="Courier New" w:hAnsi="Courier New"/>
          <w:sz w:val="18"/>
          <w:szCs w:val="18"/>
          <w:color w:val="auto"/>
        </w:rPr>
        <w:t>------- -----</w:t>
      </w:r>
    </w:p>
    <w:p>
      <w:pPr>
        <w:ind w:left="160"/>
        <w:spacing w:after="0" w:line="237" w:lineRule="auto"/>
        <w:rPr>
          <w:sz w:val="20"/>
          <w:szCs w:val="20"/>
          <w:color w:val="auto"/>
        </w:rPr>
      </w:pPr>
      <w:r>
        <w:rPr>
          <w:rFonts w:ascii="Courier New" w:cs="Courier New" w:eastAsia="Courier New" w:hAnsi="Courier New"/>
          <w:sz w:val="18"/>
          <w:szCs w:val="18"/>
          <w:color w:val="auto"/>
        </w:rPr>
        <w:t>------ 25.1</w:t>
      </w:r>
    </w:p>
    <w:p>
      <w:pPr>
        <w:jc w:val="center"/>
        <w:ind w:right="8739"/>
        <w:spacing w:after="0" w:line="238" w:lineRule="auto"/>
        <w:rPr>
          <w:sz w:val="20"/>
          <w:szCs w:val="20"/>
          <w:color w:val="auto"/>
        </w:rPr>
      </w:pPr>
      <w:r>
        <w:rPr>
          <w:rFonts w:ascii="Courier New" w:cs="Courier New" w:eastAsia="Courier New" w:hAnsi="Courier New"/>
          <w:sz w:val="18"/>
          <w:szCs w:val="18"/>
          <w:color w:val="auto"/>
        </w:rPr>
        <w:t>Statement of</w:t>
      </w:r>
    </w:p>
    <w:p>
      <w:pPr>
        <w:jc w:val="center"/>
        <w:ind w:right="8739"/>
        <w:spacing w:after="0"/>
        <w:rPr>
          <w:sz w:val="20"/>
          <w:szCs w:val="20"/>
          <w:color w:val="auto"/>
        </w:rPr>
      </w:pPr>
      <w:r>
        <w:rPr>
          <w:rFonts w:ascii="Courier New" w:cs="Courier New" w:eastAsia="Courier New" w:hAnsi="Courier New"/>
          <w:sz w:val="18"/>
          <w:szCs w:val="18"/>
          <w:color w:val="auto"/>
        </w:rPr>
        <w:t>Eligibility</w:t>
      </w:r>
    </w:p>
    <w:p>
      <w:pPr>
        <w:jc w:val="center"/>
        <w:ind w:right="8739"/>
        <w:spacing w:after="0" w:line="237" w:lineRule="auto"/>
        <w:rPr>
          <w:sz w:val="20"/>
          <w:szCs w:val="20"/>
          <w:color w:val="auto"/>
        </w:rPr>
      </w:pPr>
      <w:r>
        <w:rPr>
          <w:rFonts w:ascii="Courier New" w:cs="Courier New" w:eastAsia="Courier New" w:hAnsi="Courier New"/>
          <w:sz w:val="18"/>
          <w:szCs w:val="18"/>
          <w:color w:val="auto"/>
        </w:rPr>
        <w:t>under the</w:t>
      </w:r>
    </w:p>
    <w:p>
      <w:pPr>
        <w:jc w:val="center"/>
        <w:ind w:right="8739"/>
        <w:spacing w:after="0"/>
        <w:rPr>
          <w:sz w:val="20"/>
          <w:szCs w:val="20"/>
          <w:color w:val="auto"/>
        </w:rPr>
      </w:pPr>
      <w:r>
        <w:rPr>
          <w:rFonts w:ascii="Courier New" w:cs="Courier New" w:eastAsia="Courier New" w:hAnsi="Courier New"/>
          <w:sz w:val="18"/>
          <w:szCs w:val="18"/>
          <w:color w:val="auto"/>
        </w:rPr>
        <w:t>Trust</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Indenture Act</w:t>
      </w:r>
    </w:p>
    <w:p>
      <w:pPr>
        <w:jc w:val="center"/>
        <w:ind w:right="8739"/>
        <w:spacing w:after="0"/>
        <w:rPr>
          <w:sz w:val="20"/>
          <w:szCs w:val="20"/>
          <w:color w:val="auto"/>
        </w:rPr>
      </w:pPr>
      <w:r>
        <w:rPr>
          <w:rFonts w:ascii="Courier New" w:cs="Courier New" w:eastAsia="Courier New" w:hAnsi="Courier New"/>
          <w:sz w:val="18"/>
          <w:szCs w:val="18"/>
          <w:color w:val="auto"/>
        </w:rPr>
        <w:t>of 1939 of a</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Corporation</w:t>
      </w:r>
    </w:p>
    <w:p>
      <w:pPr>
        <w:jc w:val="center"/>
        <w:ind w:right="8739"/>
        <w:spacing w:after="0" w:line="238" w:lineRule="auto"/>
        <w:rPr>
          <w:sz w:val="20"/>
          <w:szCs w:val="20"/>
          <w:color w:val="auto"/>
        </w:rPr>
      </w:pPr>
      <w:r>
        <w:rPr>
          <w:rFonts w:ascii="Courier New" w:cs="Courier New" w:eastAsia="Courier New" w:hAnsi="Courier New"/>
          <w:sz w:val="18"/>
          <w:szCs w:val="18"/>
          <w:color w:val="auto"/>
        </w:rPr>
        <w:t>Designated to</w:t>
      </w:r>
    </w:p>
    <w:p>
      <w:pPr>
        <w:jc w:val="center"/>
        <w:ind w:right="8739"/>
        <w:spacing w:after="0"/>
        <w:rPr>
          <w:sz w:val="20"/>
          <w:szCs w:val="20"/>
          <w:color w:val="auto"/>
        </w:rPr>
      </w:pPr>
      <w:r>
        <w:rPr>
          <w:rFonts w:ascii="Courier New" w:cs="Courier New" w:eastAsia="Courier New" w:hAnsi="Courier New"/>
          <w:sz w:val="18"/>
          <w:szCs w:val="18"/>
          <w:color w:val="auto"/>
        </w:rPr>
        <w:t>Act as</w:t>
      </w:r>
    </w:p>
    <w:p>
      <w:pPr>
        <w:jc w:val="center"/>
        <w:ind w:right="8739"/>
        <w:spacing w:after="0" w:line="237" w:lineRule="auto"/>
        <w:rPr>
          <w:sz w:val="20"/>
          <w:szCs w:val="20"/>
          <w:color w:val="auto"/>
        </w:rPr>
      </w:pPr>
      <w:r>
        <w:rPr>
          <w:rFonts w:ascii="Courier New" w:cs="Courier New" w:eastAsia="Courier New" w:hAnsi="Courier New"/>
          <w:sz w:val="18"/>
          <w:szCs w:val="18"/>
          <w:color w:val="auto"/>
        </w:rPr>
        <w:t>Trustee of</w:t>
      </w:r>
    </w:p>
    <w:p>
      <w:pPr>
        <w:jc w:val="center"/>
        <w:ind w:right="8739"/>
        <w:spacing w:after="0"/>
        <w:rPr>
          <w:sz w:val="20"/>
          <w:szCs w:val="20"/>
          <w:color w:val="auto"/>
        </w:rPr>
      </w:pPr>
      <w:r>
        <w:rPr>
          <w:rFonts w:ascii="Courier New" w:cs="Courier New" w:eastAsia="Courier New" w:hAnsi="Courier New"/>
          <w:sz w:val="18"/>
          <w:szCs w:val="18"/>
          <w:color w:val="auto"/>
        </w:rPr>
        <w:t>Manufacturers</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Traders</w:t>
      </w:r>
    </w:p>
    <w:p>
      <w:pPr>
        <w:jc w:val="center"/>
        <w:ind w:right="8739"/>
        <w:spacing w:after="0"/>
        <w:rPr>
          <w:sz w:val="20"/>
          <w:szCs w:val="20"/>
          <w:color w:val="auto"/>
        </w:rPr>
      </w:pPr>
      <w:r>
        <w:rPr>
          <w:rFonts w:ascii="Courier New" w:cs="Courier New" w:eastAsia="Courier New" w:hAnsi="Courier New"/>
          <w:sz w:val="18"/>
          <w:szCs w:val="18"/>
          <w:color w:val="auto"/>
        </w:rPr>
        <w:t>Trust Company</w:t>
      </w:r>
    </w:p>
    <w:p>
      <w:pPr>
        <w:jc w:val="center"/>
        <w:ind w:right="8739"/>
        <w:spacing w:after="0" w:line="237" w:lineRule="auto"/>
        <w:rPr>
          <w:sz w:val="20"/>
          <w:szCs w:val="20"/>
          <w:color w:val="auto"/>
        </w:rPr>
      </w:pPr>
      <w:r>
        <w:rPr>
          <w:rFonts w:ascii="Courier New" w:cs="Courier New" w:eastAsia="Courier New" w:hAnsi="Courier New"/>
          <w:sz w:val="18"/>
          <w:szCs w:val="18"/>
          <w:color w:val="auto"/>
        </w:rPr>
        <w:t>(Form T-1)</w:t>
      </w:r>
    </w:p>
    <w:p>
      <w:pPr>
        <w:jc w:val="center"/>
        <w:ind w:right="873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739"/>
        <w:spacing w:after="0"/>
        <w:rPr>
          <w:sz w:val="20"/>
          <w:szCs w:val="20"/>
          <w:color w:val="auto"/>
        </w:rPr>
      </w:pPr>
      <w:r>
        <w:rPr>
          <w:rFonts w:ascii="Courier New" w:cs="Courier New" w:eastAsia="Courier New" w:hAnsi="Courier New"/>
          <w:sz w:val="18"/>
          <w:szCs w:val="18"/>
          <w:color w:val="auto"/>
        </w:rPr>
        <w:t>Exhibit 25 to</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739"/>
        <w:spacing w:after="0"/>
        <w:rPr>
          <w:sz w:val="20"/>
          <w:szCs w:val="20"/>
          <w:color w:val="auto"/>
        </w:rPr>
      </w:pPr>
      <w:r>
        <w:rPr>
          <w:rFonts w:ascii="Courier New" w:cs="Courier New" w:eastAsia="Courier New" w:hAnsi="Courier New"/>
          <w:sz w:val="18"/>
          <w:szCs w:val="18"/>
          <w:color w:val="auto"/>
        </w:rPr>
        <w:t>Registration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Statement on</w:t>
      </w:r>
    </w:p>
    <w:p>
      <w:pPr>
        <w:jc w:val="center"/>
        <w:ind w:right="8739"/>
        <w:spacing w:after="0"/>
        <w:rPr>
          <w:sz w:val="20"/>
          <w:szCs w:val="20"/>
          <w:color w:val="auto"/>
        </w:rPr>
      </w:pPr>
      <w:r>
        <w:rPr>
          <w:rFonts w:ascii="Courier New" w:cs="Courier New" w:eastAsia="Courier New" w:hAnsi="Courier New"/>
          <w:sz w:val="18"/>
          <w:szCs w:val="18"/>
          <w:color w:val="auto"/>
        </w:rPr>
        <w:t>Form S-4</w:t>
      </w:r>
    </w:p>
    <w:p>
      <w:pPr>
        <w:jc w:val="center"/>
        <w:ind w:right="8739"/>
        <w:spacing w:after="0" w:line="237" w:lineRule="auto"/>
        <w:rPr>
          <w:sz w:val="20"/>
          <w:szCs w:val="20"/>
          <w:color w:val="auto"/>
        </w:rPr>
      </w:pPr>
      <w:r>
        <w:rPr>
          <w:rFonts w:ascii="Courier New" w:cs="Courier New" w:eastAsia="Courier New" w:hAnsi="Courier New"/>
          <w:sz w:val="18"/>
          <w:szCs w:val="18"/>
          <w:color w:val="auto"/>
        </w:rPr>
        <w:t>(File no.</w:t>
      </w:r>
    </w:p>
    <w:p>
      <w:pPr>
        <w:jc w:val="center"/>
        <w:ind w:right="8739"/>
        <w:spacing w:after="0"/>
        <w:rPr>
          <w:sz w:val="20"/>
          <w:szCs w:val="20"/>
          <w:color w:val="auto"/>
        </w:rPr>
      </w:pPr>
      <w:r>
        <w:rPr>
          <w:rFonts w:ascii="Courier New" w:cs="Courier New" w:eastAsia="Courier New" w:hAnsi="Courier New"/>
          <w:sz w:val="18"/>
          <w:szCs w:val="18"/>
          <w:color w:val="auto"/>
        </w:rPr>
        <w:t>333-76739)</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incorporated</w:t>
      </w:r>
    </w:p>
    <w:p>
      <w:pPr>
        <w:jc w:val="center"/>
        <w:ind w:right="8739"/>
        <w:spacing w:after="0"/>
        <w:rPr>
          <w:sz w:val="20"/>
          <w:szCs w:val="20"/>
          <w:color w:val="auto"/>
        </w:rPr>
      </w:pPr>
      <w:r>
        <w:rPr>
          <w:rFonts w:ascii="Courier New" w:cs="Courier New" w:eastAsia="Courier New" w:hAnsi="Courier New"/>
          <w:sz w:val="18"/>
          <w:szCs w:val="18"/>
          <w:color w:val="auto"/>
        </w:rPr>
        <w:t>by reference</w:t>
      </w:r>
    </w:p>
    <w:p>
      <w:pPr>
        <w:jc w:val="center"/>
        <w:ind w:right="8739"/>
        <w:spacing w:after="0" w:line="237" w:lineRule="auto"/>
        <w:rPr>
          <w:sz w:val="20"/>
          <w:szCs w:val="20"/>
          <w:color w:val="auto"/>
        </w:rPr>
      </w:pPr>
      <w:r>
        <w:rPr>
          <w:rFonts w:ascii="Courier New" w:cs="Courier New" w:eastAsia="Courier New" w:hAnsi="Courier New"/>
          <w:sz w:val="18"/>
          <w:szCs w:val="18"/>
          <w:color w:val="auto"/>
        </w:rPr>
        <w:t>herein). 99.1</w:t>
      </w:r>
    </w:p>
    <w:p>
      <w:pPr>
        <w:jc w:val="center"/>
        <w:ind w:right="8739"/>
        <w:spacing w:after="0"/>
        <w:rPr>
          <w:sz w:val="20"/>
          <w:szCs w:val="20"/>
          <w:color w:val="auto"/>
        </w:rPr>
      </w:pPr>
      <w:r>
        <w:rPr>
          <w:rFonts w:ascii="Courier New" w:cs="Courier New" w:eastAsia="Courier New" w:hAnsi="Courier New"/>
          <w:sz w:val="18"/>
          <w:szCs w:val="18"/>
          <w:color w:val="auto"/>
        </w:rPr>
        <w:t>Letter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Transmittal</w:t>
      </w:r>
    </w:p>
    <w:p>
      <w:pPr>
        <w:jc w:val="center"/>
        <w:ind w:right="8739"/>
        <w:spacing w:after="0"/>
        <w:rPr>
          <w:sz w:val="20"/>
          <w:szCs w:val="20"/>
          <w:color w:val="auto"/>
        </w:rPr>
      </w:pPr>
      <w:r>
        <w:rPr>
          <w:rFonts w:ascii="Courier New" w:cs="Courier New" w:eastAsia="Courier New" w:hAnsi="Courier New"/>
          <w:sz w:val="18"/>
          <w:szCs w:val="18"/>
          <w:color w:val="auto"/>
        </w:rPr>
        <w:t>99.2 Notice</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Guaranteed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Delivery 99.3</w:t>
      </w:r>
    </w:p>
    <w:p>
      <w:pPr>
        <w:jc w:val="center"/>
        <w:ind w:right="8739"/>
        <w:spacing w:after="0"/>
        <w:rPr>
          <w:sz w:val="20"/>
          <w:szCs w:val="20"/>
          <w:color w:val="auto"/>
        </w:rPr>
      </w:pPr>
      <w:r>
        <w:rPr>
          <w:rFonts w:ascii="Courier New" w:cs="Courier New" w:eastAsia="Courier New" w:hAnsi="Courier New"/>
          <w:sz w:val="18"/>
          <w:szCs w:val="18"/>
          <w:color w:val="auto"/>
        </w:rPr>
        <w:t>Letter to DTC</w:t>
      </w:r>
    </w:p>
    <w:p>
      <w:pPr>
        <w:jc w:val="center"/>
        <w:ind w:right="8739"/>
        <w:spacing w:after="0" w:line="237" w:lineRule="auto"/>
        <w:rPr>
          <w:sz w:val="20"/>
          <w:szCs w:val="20"/>
          <w:color w:val="auto"/>
        </w:rPr>
      </w:pPr>
      <w:r>
        <w:rPr>
          <w:rFonts w:ascii="Courier New" w:cs="Courier New" w:eastAsia="Courier New" w:hAnsi="Courier New"/>
          <w:sz w:val="18"/>
          <w:szCs w:val="18"/>
          <w:color w:val="auto"/>
        </w:rPr>
        <w:t>Participants</w:t>
      </w:r>
    </w:p>
    <w:p>
      <w:pPr>
        <w:jc w:val="center"/>
        <w:ind w:right="8739"/>
        <w:spacing w:after="0"/>
        <w:rPr>
          <w:sz w:val="20"/>
          <w:szCs w:val="20"/>
          <w:color w:val="auto"/>
        </w:rPr>
      </w:pPr>
      <w:r>
        <w:rPr>
          <w:rFonts w:ascii="Courier New" w:cs="Courier New" w:eastAsia="Courier New" w:hAnsi="Courier New"/>
          <w:sz w:val="18"/>
          <w:szCs w:val="18"/>
          <w:color w:val="auto"/>
        </w:rPr>
        <w:t>99.4 Letter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to Beneficial</w:t>
      </w:r>
    </w:p>
    <w:p>
      <w:pPr>
        <w:jc w:val="center"/>
        <w:ind w:right="8739"/>
        <w:spacing w:after="0"/>
        <w:rPr>
          <w:sz w:val="20"/>
          <w:szCs w:val="20"/>
          <w:color w:val="auto"/>
        </w:rPr>
      </w:pPr>
      <w:r>
        <w:rPr>
          <w:rFonts w:ascii="Courier New" w:cs="Courier New" w:eastAsia="Courier New" w:hAnsi="Courier New"/>
          <w:sz w:val="18"/>
          <w:szCs w:val="18"/>
          <w:color w:val="auto"/>
        </w:rPr>
        <w:t>Holders 99.5</w:t>
      </w:r>
    </w:p>
    <w:p>
      <w:pPr>
        <w:jc w:val="center"/>
        <w:ind w:right="8739"/>
        <w:spacing w:after="0" w:line="237" w:lineRule="auto"/>
        <w:rPr>
          <w:sz w:val="20"/>
          <w:szCs w:val="20"/>
          <w:color w:val="auto"/>
        </w:rPr>
      </w:pPr>
      <w:r>
        <w:rPr>
          <w:rFonts w:ascii="Courier New" w:cs="Courier New" w:eastAsia="Courier New" w:hAnsi="Courier New"/>
          <w:sz w:val="18"/>
          <w:szCs w:val="18"/>
          <w:color w:val="auto"/>
        </w:rPr>
        <w:t>Guidelines</w:t>
      </w:r>
    </w:p>
    <w:p>
      <w:pPr>
        <w:jc w:val="center"/>
        <w:ind w:right="8739"/>
        <w:spacing w:after="0" w:line="238" w:lineRule="auto"/>
        <w:rPr>
          <w:sz w:val="20"/>
          <w:szCs w:val="20"/>
          <w:color w:val="auto"/>
        </w:rPr>
      </w:pPr>
      <w:r>
        <w:rPr>
          <w:rFonts w:ascii="Courier New" w:cs="Courier New" w:eastAsia="Courier New" w:hAnsi="Courier New"/>
          <w:sz w:val="18"/>
          <w:szCs w:val="18"/>
          <w:color w:val="auto"/>
        </w:rPr>
        <w:t>for</w:t>
      </w:r>
    </w:p>
    <w:p>
      <w:pPr>
        <w:jc w:val="center"/>
        <w:ind w:right="8739"/>
        <w:spacing w:after="0"/>
        <w:rPr>
          <w:sz w:val="20"/>
          <w:szCs w:val="20"/>
          <w:color w:val="auto"/>
        </w:rPr>
      </w:pPr>
      <w:r>
        <w:rPr>
          <w:rFonts w:ascii="Courier New" w:cs="Courier New" w:eastAsia="Courier New" w:hAnsi="Courier New"/>
          <w:sz w:val="18"/>
          <w:szCs w:val="18"/>
          <w:color w:val="auto"/>
        </w:rPr>
        <w:t>Certification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Taxpayer</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Identification</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Number on</w:t>
      </w:r>
    </w:p>
    <w:p>
      <w:pPr>
        <w:jc w:val="center"/>
        <w:ind w:right="8739"/>
        <w:spacing w:after="0" w:line="238" w:lineRule="auto"/>
        <w:rPr>
          <w:sz w:val="20"/>
          <w:szCs w:val="20"/>
          <w:color w:val="auto"/>
        </w:rPr>
      </w:pPr>
      <w:r>
        <w:rPr>
          <w:rFonts w:ascii="Courier New" w:cs="Courier New" w:eastAsia="Courier New" w:hAnsi="Courier New"/>
          <w:sz w:val="18"/>
          <w:szCs w:val="18"/>
          <w:color w:val="auto"/>
        </w:rPr>
        <w:t>Substitute</w:t>
      </w:r>
    </w:p>
    <w:p>
      <w:pPr>
        <w:jc w:val="center"/>
        <w:ind w:right="8739"/>
        <w:spacing w:after="0"/>
        <w:rPr>
          <w:sz w:val="20"/>
          <w:szCs w:val="20"/>
          <w:color w:val="auto"/>
        </w:rPr>
      </w:pPr>
      <w:r>
        <w:rPr>
          <w:rFonts w:ascii="Courier New" w:cs="Courier New" w:eastAsia="Courier New" w:hAnsi="Courier New"/>
          <w:sz w:val="18"/>
          <w:szCs w:val="18"/>
          <w:color w:val="auto"/>
        </w:rPr>
        <w:t>Form W-9.</w:t>
      </w:r>
    </w:p>
    <w:p>
      <w:pPr>
        <w:spacing w:after="0" w:line="200" w:lineRule="exact"/>
        <w:rPr>
          <w:sz w:val="20"/>
          <w:szCs w:val="20"/>
          <w:color w:val="auto"/>
        </w:rPr>
      </w:pPr>
    </w:p>
    <w:p>
      <w:pPr>
        <w:spacing w:after="0" w:line="203" w:lineRule="exact"/>
        <w:rPr>
          <w:sz w:val="20"/>
          <w:szCs w:val="20"/>
          <w:color w:val="auto"/>
        </w:rPr>
      </w:pPr>
    </w:p>
    <w:p>
      <w:pPr>
        <w:ind w:left="420" w:hanging="412"/>
        <w:spacing w:after="0"/>
        <w:tabs>
          <w:tab w:leader="none" w:pos="42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 SCHEDULES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22. UNDERTAKINGS.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740" w:right="1779" w:firstLine="5"/>
        <w:spacing w:after="0" w:line="235" w:lineRule="auto"/>
        <w:tabs>
          <w:tab w:leader="none" w:pos="1161" w:val="left"/>
        </w:tabs>
        <w:numPr>
          <w:ilvl w:val="1"/>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960" w:right="2419" w:hanging="4"/>
        <w:spacing w:after="0" w:line="235" w:lineRule="auto"/>
        <w:tabs>
          <w:tab w:leader="none" w:pos="1381" w:val="left"/>
        </w:tabs>
        <w:numPr>
          <w:ilvl w:val="2"/>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960" w:right="1779" w:hanging="4"/>
        <w:spacing w:after="0" w:line="268" w:lineRule="auto"/>
        <w:tabs>
          <w:tab w:leader="none" w:pos="1487" w:val="left"/>
        </w:tabs>
        <w:numPr>
          <w:ilvl w:val="2"/>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ind w:left="1580" w:hanging="624"/>
        <w:spacing w:after="0" w:line="238" w:lineRule="auto"/>
        <w:tabs>
          <w:tab w:leader="none" w:pos="1580" w:val="left"/>
        </w:tabs>
        <w:numPr>
          <w:ilvl w:val="2"/>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w:t>
      </w:r>
    </w:p>
    <w:p>
      <w:pPr>
        <w:sectPr>
          <w:pgSz w:w="11900" w:h="16838" w:orient="portrait"/>
          <w:cols w:equalWidth="0" w:num="1">
            <w:col w:w="10219"/>
          </w:cols>
          <w:pgMar w:left="240" w:top="717" w:right="1440" w:bottom="0" w:gutter="0" w:footer="0" w:header="0"/>
        </w:sectPr>
      </w:pPr>
    </w:p>
    <w:bookmarkStart w:id="102" w:name="page103"/>
    <w:bookmarkEnd w:id="102"/>
    <w:p>
      <w:pPr>
        <w:ind w:left="215" w:right="1779"/>
        <w:spacing w:after="0" w:line="237" w:lineRule="auto"/>
        <w:rPr>
          <w:sz w:val="20"/>
          <w:szCs w:val="20"/>
          <w:color w:val="auto"/>
        </w:rPr>
      </w:pPr>
      <w:r>
        <w:rPr>
          <w:rFonts w:ascii="Courier New" w:cs="Courier New" w:eastAsia="Courier New" w:hAnsi="Courier New"/>
          <w:sz w:val="18"/>
          <w:szCs w:val="18"/>
          <w:color w:val="auto"/>
        </w:rPr>
        <w:t>distribution not previously disclosed in the registration statement or any material change to such information in the registration statement; provided, however, that paragraphs (a)(l)(i) and (a)(l)(ii) of this section do not apply if the registration statement is on Form S-3, Form S-8 or Form F-3 and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215" w:lineRule="exact"/>
        <w:rPr>
          <w:sz w:val="20"/>
          <w:szCs w:val="20"/>
          <w:color w:val="auto"/>
        </w:rPr>
      </w:pPr>
    </w:p>
    <w:p>
      <w:pPr>
        <w:ind w:left="-5" w:right="1999" w:firstLine="5"/>
        <w:spacing w:after="0" w:line="237" w:lineRule="auto"/>
        <w:tabs>
          <w:tab w:leader="none" w:pos="416"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3" w:lineRule="exact"/>
        <w:rPr>
          <w:sz w:val="20"/>
          <w:szCs w:val="20"/>
          <w:color w:val="auto"/>
        </w:rPr>
      </w:pPr>
    </w:p>
    <w:p>
      <w:pPr>
        <w:ind w:left="3375"/>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9474"/>
          </w:cols>
          <w:pgMar w:left="985" w:top="142" w:right="1440" w:bottom="1440" w:gutter="0" w:footer="0" w:header="0"/>
        </w:sectPr>
      </w:pPr>
    </w:p>
    <w:bookmarkStart w:id="103" w:name="page104"/>
    <w:bookmarkEnd w:id="103"/>
    <w:p>
      <w:pPr>
        <w:ind w:left="740" w:right="2099" w:firstLine="5"/>
        <w:spacing w:after="0" w:line="236" w:lineRule="auto"/>
        <w:tabs>
          <w:tab w:leader="none" w:pos="1161" w:val="left"/>
        </w:tabs>
        <w:numPr>
          <w:ilvl w:val="1"/>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bona fide offering thereof.</w:t>
      </w:r>
    </w:p>
    <w:p>
      <w:pPr>
        <w:spacing w:after="0" w:line="213" w:lineRule="exact"/>
        <w:rPr>
          <w:rFonts w:ascii="Courier New" w:cs="Courier New" w:eastAsia="Courier New" w:hAnsi="Courier New"/>
          <w:sz w:val="18"/>
          <w:szCs w:val="18"/>
          <w:color w:val="auto"/>
        </w:rPr>
      </w:pPr>
    </w:p>
    <w:p>
      <w:pPr>
        <w:ind w:right="1779" w:firstLine="8"/>
        <w:spacing w:after="0" w:line="238" w:lineRule="auto"/>
        <w:tabs>
          <w:tab w:leader="none" w:pos="421"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a controlling precedent, submit to a court of appropriate jurisdiction the question whether such indemnification by it is against public policy as expressed in the Act and will be governed by the final adjudication of such issue.</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to respond to requests for information that is incorporated by reference into this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20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to supply by means of a</w:t>
      </w:r>
    </w:p>
    <w:p>
      <w:pPr>
        <w:spacing w:after="0" w:line="4"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post-effective amendment all information concerning a transaction, and the company being acquired involved therein, that was not the subject of and included in the registration statement when it became effective.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219"/>
          </w:cols>
          <w:pgMar w:left="240" w:top="722" w:right="1440" w:bottom="1440" w:gutter="0" w:footer="0" w:header="0"/>
        </w:sectPr>
      </w:pPr>
    </w:p>
    <w:bookmarkStart w:id="104" w:name="page105"/>
    <w:bookmarkEnd w:id="104"/>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the Registrant has duly caused this Registration Statement on Form S-4 to be signed on its behalf by the undersigned, thereunto duly authorized, in the City of Marysville, State of Ohio, on July 9, 2002.</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4440"/>
        <w:spacing w:after="0"/>
        <w:tabs>
          <w:tab w:leader="none" w:pos="55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JAMES HAGEDORN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James Hagedorn</w:t>
      </w:r>
    </w:p>
    <w:p>
      <w:pPr>
        <w:ind w:left="4960"/>
        <w:spacing w:after="0" w:line="238" w:lineRule="auto"/>
        <w:rPr>
          <w:sz w:val="20"/>
          <w:szCs w:val="20"/>
          <w:color w:val="auto"/>
        </w:rPr>
      </w:pPr>
      <w:r>
        <w:rPr>
          <w:rFonts w:ascii="Courier New" w:cs="Courier New" w:eastAsia="Courier New" w:hAnsi="Courier New"/>
          <w:sz w:val="18"/>
          <w:szCs w:val="18"/>
          <w:color w:val="auto"/>
        </w:rPr>
        <w:t>President and Chief Executive</w:t>
      </w:r>
    </w:p>
    <w:p>
      <w:pPr>
        <w:ind w:left="622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We, the undersigned directors and officers of The Scotts Company. (the "Company"), and each of us, do hereby constitute and appoint Patrick J. Norton and David M. Aronowitz, or either of them, our true and lawful attorneys and agents, each with full power of substitution, to do any and all acts and things in our name and on our behalf in our capacities as directors and officers of the Company and to execute any and all instruments for us and in our names in the capacities indicated below, which said attorneys or agents, or any of them, may deem necessary or advisable to enable the Company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us or any of us in our names in the capacities indicated below for the Company, any and all amendments (including post-effective amendments) to such Registration Statement; and we do hereby ratify and confirm all that said attorneys and agents, or their substitute or substitutes, or any of them, shall do or cause to be done by virtue hereof.</w:t>
      </w:r>
    </w:p>
    <w:p>
      <w:pPr>
        <w:spacing w:after="0" w:line="397"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as amended, this Registration Statement has been signed below by the following persons in the capacities and on the dates indicated.</w:t>
      </w: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SIGNATURE</w:t>
      </w:r>
    </w:p>
    <w:p>
      <w:pPr>
        <w:ind w:left="60"/>
        <w:spacing w:after="0" w:line="238" w:lineRule="auto"/>
        <w:rPr>
          <w:sz w:val="20"/>
          <w:szCs w:val="20"/>
          <w:color w:val="auto"/>
        </w:rPr>
      </w:pPr>
      <w:r>
        <w:rPr>
          <w:rFonts w:ascii="Courier New" w:cs="Courier New" w:eastAsia="Courier New" w:hAnsi="Courier New"/>
          <w:sz w:val="18"/>
          <w:szCs w:val="18"/>
          <w:color w:val="auto"/>
        </w:rPr>
        <w:t>TITLE DATE</w:t>
      </w:r>
    </w:p>
    <w:p>
      <w:pPr>
        <w:ind w:left="100"/>
        <w:spacing w:after="0"/>
        <w:rPr>
          <w:sz w:val="20"/>
          <w:szCs w:val="20"/>
          <w:color w:val="auto"/>
        </w:rPr>
      </w:pPr>
      <w:r>
        <w:rPr>
          <w:rFonts w:ascii="Courier New" w:cs="Courier New" w:eastAsia="Courier New" w:hAnsi="Courier New"/>
          <w:sz w:val="18"/>
          <w:szCs w:val="18"/>
          <w:color w:val="auto"/>
        </w:rPr>
        <w:t>---------</w:t>
      </w:r>
    </w:p>
    <w:p>
      <w:pPr>
        <w:ind w:left="680" w:hanging="625"/>
        <w:spacing w:after="0" w:line="237" w:lineRule="auto"/>
        <w:tabs>
          <w:tab w:leader="none" w:pos="68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 JAMES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HAGEDORN</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Chief</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w:t>
      </w:r>
    </w:p>
    <w:p>
      <w:pPr>
        <w:spacing w:after="0" w:line="4" w:lineRule="exact"/>
        <w:rPr>
          <w:rFonts w:ascii="Courier New" w:cs="Courier New" w:eastAsia="Courier New" w:hAnsi="Courier New"/>
          <w:sz w:val="18"/>
          <w:szCs w:val="18"/>
          <w:color w:val="auto"/>
        </w:rPr>
      </w:pPr>
    </w:p>
    <w:p>
      <w:pPr>
        <w:jc w:val="center"/>
        <w:ind w:left="60" w:right="9119" w:firstLine="158"/>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Officer July 9, 2002 -----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and</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Hagedorn</w:t>
      </w:r>
    </w:p>
    <w:p>
      <w:pPr>
        <w:spacing w:after="0" w:line="4" w:lineRule="exact"/>
        <w:rPr>
          <w:rFonts w:ascii="Courier New" w:cs="Courier New" w:eastAsia="Courier New" w:hAnsi="Courier New"/>
          <w:sz w:val="18"/>
          <w:szCs w:val="18"/>
          <w:color w:val="auto"/>
        </w:rPr>
      </w:pPr>
    </w:p>
    <w:p>
      <w:pPr>
        <w:jc w:val="both"/>
        <w:ind w:left="100" w:right="9119" w:hanging="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(Principal Executive Officer)</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PATRICK J.</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NORTON</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w:t>
      </w:r>
    </w:p>
    <w:p>
      <w:pPr>
        <w:spacing w:after="0" w:line="4" w:lineRule="exact"/>
        <w:rPr>
          <w:rFonts w:ascii="Courier New" w:cs="Courier New" w:eastAsia="Courier New" w:hAnsi="Courier New"/>
          <w:sz w:val="18"/>
          <w:szCs w:val="18"/>
          <w:color w:val="auto"/>
        </w:rPr>
      </w:pPr>
    </w:p>
    <w:p>
      <w:pPr>
        <w:jc w:val="center"/>
        <w:ind w:left="60" w:right="9119" w:firstLine="158"/>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CFO and July 9, 2002 -----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spacing w:after="0" w:line="4" w:lineRule="exact"/>
        <w:rPr>
          <w:rFonts w:ascii="Courier New" w:cs="Courier New" w:eastAsia="Courier New" w:hAnsi="Courier New"/>
          <w:sz w:val="18"/>
          <w:szCs w:val="18"/>
          <w:color w:val="auto"/>
        </w:rPr>
      </w:pPr>
    </w:p>
    <w:p>
      <w:pPr>
        <w:jc w:val="both"/>
        <w:ind w:left="100" w:right="9119" w:hanging="52"/>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(Principal Financial</w:t>
      </w:r>
    </w:p>
    <w:p>
      <w:pPr>
        <w:sectPr>
          <w:pgSz w:w="11900" w:h="16838" w:orient="portrait"/>
          <w:cols w:equalWidth="0" w:num="1">
            <w:col w:w="10219"/>
          </w:cols>
          <w:pgMar w:left="240" w:top="717" w:right="1440" w:bottom="0" w:gutter="0" w:footer="0" w:header="0"/>
        </w:sectPr>
      </w:pPr>
    </w:p>
    <w:bookmarkStart w:id="105" w:name="page106"/>
    <w:bookmarkEnd w:id="105"/>
    <w:p>
      <w:pPr>
        <w:jc w:val="center"/>
        <w:ind w:right="9059"/>
        <w:spacing w:after="0"/>
        <w:rPr>
          <w:sz w:val="20"/>
          <w:szCs w:val="20"/>
          <w:color w:val="auto"/>
        </w:rPr>
      </w:pPr>
      <w:r>
        <w:rPr>
          <w:rFonts w:ascii="Courier New" w:cs="Courier New" w:eastAsia="Courier New" w:hAnsi="Courier New"/>
          <w:sz w:val="18"/>
          <w:szCs w:val="18"/>
          <w:color w:val="auto"/>
        </w:rPr>
        <w:t>Patrick J.</w:t>
      </w:r>
    </w:p>
    <w:p>
      <w:pPr>
        <w:jc w:val="center"/>
        <w:ind w:right="9059"/>
        <w:spacing w:after="0" w:line="238" w:lineRule="auto"/>
        <w:rPr>
          <w:sz w:val="20"/>
          <w:szCs w:val="20"/>
          <w:color w:val="auto"/>
        </w:rPr>
      </w:pPr>
      <w:r>
        <w:rPr>
          <w:rFonts w:ascii="Courier New" w:cs="Courier New" w:eastAsia="Courier New" w:hAnsi="Courier New"/>
          <w:sz w:val="18"/>
          <w:szCs w:val="18"/>
          <w:color w:val="auto"/>
        </w:rPr>
        <w:t>Norton</w:t>
      </w:r>
    </w:p>
    <w:p>
      <w:pPr>
        <w:jc w:val="center"/>
        <w:ind w:right="9059"/>
        <w:spacing w:after="0"/>
        <w:rPr>
          <w:sz w:val="20"/>
          <w:szCs w:val="20"/>
          <w:color w:val="auto"/>
        </w:rPr>
      </w:pPr>
      <w:r>
        <w:rPr>
          <w:rFonts w:ascii="Courier New" w:cs="Courier New" w:eastAsia="Courier New" w:hAnsi="Courier New"/>
          <w:sz w:val="18"/>
          <w:szCs w:val="18"/>
          <w:color w:val="auto"/>
        </w:rPr>
        <w:t>Officer)</w:t>
      </w:r>
    </w:p>
    <w:p>
      <w:pPr>
        <w:jc w:val="center"/>
        <w:ind w:right="9059"/>
        <w:spacing w:after="0" w:line="237" w:lineRule="auto"/>
        <w:rPr>
          <w:sz w:val="20"/>
          <w:szCs w:val="20"/>
          <w:color w:val="auto"/>
        </w:rPr>
      </w:pPr>
      <w:r>
        <w:rPr>
          <w:rFonts w:ascii="Courier New" w:cs="Courier New" w:eastAsia="Courier New" w:hAnsi="Courier New"/>
          <w:sz w:val="18"/>
          <w:szCs w:val="18"/>
          <w:color w:val="auto"/>
        </w:rPr>
        <w:t>/s/</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CHRISTOPHER</w:t>
      </w:r>
    </w:p>
    <w:p>
      <w:pPr>
        <w:spacing w:after="0" w:line="21" w:lineRule="exact"/>
        <w:rPr>
          <w:sz w:val="20"/>
          <w:szCs w:val="20"/>
          <w:color w:val="auto"/>
        </w:rPr>
      </w:pPr>
    </w:p>
    <w:p>
      <w:pPr>
        <w:ind w:left="260" w:right="9219" w:hanging="99"/>
        <w:spacing w:after="0" w:line="268" w:lineRule="auto"/>
        <w:tabs>
          <w:tab w:leader="none" w:pos="471"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NAGEL Senior Vice</w:t>
      </w:r>
    </w:p>
    <w:p>
      <w:pPr>
        <w:jc w:val="center"/>
        <w:ind w:right="9059"/>
        <w:spacing w:after="0" w:line="233" w:lineRule="auto"/>
        <w:rPr>
          <w:sz w:val="20"/>
          <w:szCs w:val="20"/>
          <w:color w:val="auto"/>
        </w:rPr>
      </w:pPr>
      <w:r>
        <w:rPr>
          <w:rFonts w:ascii="Courier New" w:cs="Courier New" w:eastAsia="Courier New" w:hAnsi="Courier New"/>
          <w:sz w:val="18"/>
          <w:szCs w:val="18"/>
          <w:color w:val="auto"/>
        </w:rPr>
        <w:t>President</w:t>
      </w:r>
    </w:p>
    <w:p>
      <w:pPr>
        <w:jc w:val="center"/>
        <w:ind w:right="9059"/>
        <w:spacing w:after="0"/>
        <w:rPr>
          <w:sz w:val="20"/>
          <w:szCs w:val="20"/>
          <w:color w:val="auto"/>
        </w:rPr>
      </w:pPr>
      <w:r>
        <w:rPr>
          <w:rFonts w:ascii="Courier New" w:cs="Courier New" w:eastAsia="Courier New" w:hAnsi="Courier New"/>
          <w:sz w:val="18"/>
          <w:szCs w:val="18"/>
          <w:color w:val="auto"/>
        </w:rPr>
        <w:t>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Finance,</w:t>
      </w:r>
    </w:p>
    <w:p>
      <w:pPr>
        <w:jc w:val="center"/>
        <w:ind w:right="9059"/>
        <w:spacing w:after="0"/>
        <w:rPr>
          <w:sz w:val="20"/>
          <w:szCs w:val="20"/>
          <w:color w:val="auto"/>
        </w:rPr>
      </w:pPr>
      <w:r>
        <w:rPr>
          <w:rFonts w:ascii="Courier New" w:cs="Courier New" w:eastAsia="Courier New" w:hAnsi="Courier New"/>
          <w:sz w:val="18"/>
          <w:szCs w:val="18"/>
          <w:color w:val="auto"/>
        </w:rPr>
        <w:t>July 9,</w:t>
      </w:r>
    </w:p>
    <w:p>
      <w:pPr>
        <w:ind w:left="60"/>
        <w:spacing w:after="0" w:line="237" w:lineRule="auto"/>
        <w:rPr>
          <w:sz w:val="20"/>
          <w:szCs w:val="20"/>
          <w:color w:val="auto"/>
        </w:rPr>
      </w:pPr>
      <w:r>
        <w:rPr>
          <w:rFonts w:ascii="Courier New" w:cs="Courier New" w:eastAsia="Courier New" w:hAnsi="Courier New"/>
          <w:sz w:val="18"/>
          <w:szCs w:val="18"/>
          <w:color w:val="auto"/>
        </w:rPr>
        <w:t>2002 -----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9059"/>
        <w:spacing w:after="0"/>
        <w:rPr>
          <w:sz w:val="20"/>
          <w:szCs w:val="20"/>
          <w:color w:val="auto"/>
        </w:rPr>
      </w:pPr>
      <w:r>
        <w:rPr>
          <w:rFonts w:ascii="Courier New" w:cs="Courier New" w:eastAsia="Courier New" w:hAnsi="Courier New"/>
          <w:sz w:val="18"/>
          <w:szCs w:val="18"/>
          <w:color w:val="auto"/>
        </w:rPr>
        <w:t>---</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Corporate</w:t>
      </w:r>
    </w:p>
    <w:p>
      <w:pPr>
        <w:jc w:val="center"/>
        <w:ind w:right="9059"/>
        <w:spacing w:after="0" w:line="238" w:lineRule="auto"/>
        <w:rPr>
          <w:sz w:val="20"/>
          <w:szCs w:val="20"/>
          <w:color w:val="auto"/>
        </w:rPr>
      </w:pPr>
      <w:r>
        <w:rPr>
          <w:rFonts w:ascii="Courier New" w:cs="Courier New" w:eastAsia="Courier New" w:hAnsi="Courier New"/>
          <w:sz w:val="18"/>
          <w:szCs w:val="18"/>
          <w:color w:val="auto"/>
        </w:rPr>
        <w:t>North</w:t>
      </w:r>
    </w:p>
    <w:p>
      <w:pPr>
        <w:jc w:val="center"/>
        <w:ind w:right="9059"/>
        <w:spacing w:after="0"/>
        <w:rPr>
          <w:sz w:val="20"/>
          <w:szCs w:val="20"/>
          <w:color w:val="auto"/>
        </w:rPr>
      </w:pPr>
      <w:r>
        <w:rPr>
          <w:rFonts w:ascii="Courier New" w:cs="Courier New" w:eastAsia="Courier New" w:hAnsi="Courier New"/>
          <w:sz w:val="18"/>
          <w:szCs w:val="18"/>
          <w:color w:val="auto"/>
        </w:rPr>
        <w:t>America</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Christopher</w:t>
      </w:r>
    </w:p>
    <w:p>
      <w:pPr>
        <w:spacing w:after="0" w:line="16" w:lineRule="exact"/>
        <w:rPr>
          <w:sz w:val="20"/>
          <w:szCs w:val="20"/>
          <w:color w:val="auto"/>
        </w:rPr>
      </w:pPr>
    </w:p>
    <w:p>
      <w:pPr>
        <w:ind w:left="480" w:hanging="319"/>
        <w:spacing w:after="0"/>
        <w:tabs>
          <w:tab w:leader="none" w:pos="480"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Nagel</w:t>
      </w:r>
    </w:p>
    <w:p>
      <w:pPr>
        <w:spacing w:after="0" w:line="4" w:lineRule="exact"/>
        <w:rPr>
          <w:rFonts w:ascii="Courier New" w:cs="Courier New" w:eastAsia="Courier New" w:hAnsi="Courier New"/>
          <w:sz w:val="18"/>
          <w:szCs w:val="18"/>
          <w:color w:val="auto"/>
        </w:rPr>
      </w:pPr>
    </w:p>
    <w:p>
      <w:pPr>
        <w:jc w:val="center"/>
        <w:ind w:left="60" w:right="91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(Principal Accounting Officer)</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CHARLES M.</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BERGER</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w:t>
      </w:r>
    </w:p>
    <w:p>
      <w:pPr>
        <w:spacing w:after="0" w:line="4" w:lineRule="exact"/>
        <w:rPr>
          <w:rFonts w:ascii="Courier New" w:cs="Courier New" w:eastAsia="Courier New" w:hAnsi="Courier New"/>
          <w:sz w:val="18"/>
          <w:szCs w:val="18"/>
          <w:color w:val="auto"/>
        </w:rPr>
      </w:pPr>
    </w:p>
    <w:p>
      <w:pPr>
        <w:jc w:val="both"/>
        <w:ind w:left="60" w:right="91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Board July 9, 2002 --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Charles M.</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Berger</w:t>
      </w:r>
    </w:p>
    <w:p>
      <w:pPr>
        <w:spacing w:after="0" w:line="200" w:lineRule="exact"/>
        <w:rPr>
          <w:sz w:val="20"/>
          <w:szCs w:val="20"/>
          <w:color w:val="auto"/>
        </w:rPr>
      </w:pPr>
    </w:p>
    <w:p>
      <w:pPr>
        <w:spacing w:after="0" w:line="20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II-7</w:t>
      </w:r>
    </w:p>
    <w:p>
      <w:pPr>
        <w:sectPr>
          <w:pgSz w:w="11900" w:h="16838" w:orient="portrait"/>
          <w:cols w:equalWidth="0" w:num="1">
            <w:col w:w="10219"/>
          </w:cols>
          <w:pgMar w:left="240" w:top="136" w:right="1440" w:bottom="1440" w:gutter="0" w:footer="0" w:header="0"/>
        </w:sectPr>
      </w:pPr>
    </w:p>
    <w:bookmarkStart w:id="106" w:name="page107"/>
    <w:bookmarkEnd w:id="106"/>
    <w:p>
      <w:pPr>
        <w:ind w:left="100"/>
        <w:spacing w:after="0"/>
        <w:rPr>
          <w:sz w:val="20"/>
          <w:szCs w:val="20"/>
          <w:color w:val="auto"/>
        </w:rPr>
      </w:pPr>
      <w:r>
        <w:rPr>
          <w:rFonts w:ascii="Courier New" w:cs="Courier New" w:eastAsia="Courier New" w:hAnsi="Courier New"/>
          <w:sz w:val="18"/>
          <w:szCs w:val="18"/>
          <w:color w:val="auto"/>
        </w:rPr>
        <w:t>SIGNATURE</w:t>
      </w:r>
    </w:p>
    <w:p>
      <w:pPr>
        <w:ind w:left="60"/>
        <w:spacing w:after="0" w:line="238" w:lineRule="auto"/>
        <w:rPr>
          <w:sz w:val="20"/>
          <w:szCs w:val="20"/>
          <w:color w:val="auto"/>
        </w:rPr>
      </w:pPr>
      <w:r>
        <w:rPr>
          <w:rFonts w:ascii="Courier New" w:cs="Courier New" w:eastAsia="Courier New" w:hAnsi="Courier New"/>
          <w:sz w:val="18"/>
          <w:szCs w:val="18"/>
          <w:color w:val="auto"/>
        </w:rPr>
        <w:t>TITLE DATE</w:t>
      </w:r>
    </w:p>
    <w:p>
      <w:pPr>
        <w:ind w:left="100"/>
        <w:spacing w:after="0"/>
        <w:rPr>
          <w:sz w:val="20"/>
          <w:szCs w:val="20"/>
          <w:color w:val="auto"/>
        </w:rPr>
      </w:pPr>
      <w:r>
        <w:rPr>
          <w:rFonts w:ascii="Courier New" w:cs="Courier New" w:eastAsia="Courier New" w:hAnsi="Courier New"/>
          <w:sz w:val="18"/>
          <w:szCs w:val="18"/>
          <w:color w:val="auto"/>
        </w:rPr>
        <w:t>---------</w:t>
      </w:r>
    </w:p>
    <w:p>
      <w:pPr>
        <w:ind w:left="680" w:hanging="625"/>
        <w:spacing w:after="0" w:line="237" w:lineRule="auto"/>
        <w:tabs>
          <w:tab w:leader="none" w:pos="680"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w:t>
      </w:r>
    </w:p>
    <w:p>
      <w:pPr>
        <w:jc w:val="center"/>
        <w:ind w:right="9059"/>
        <w:spacing w:after="0"/>
        <w:rPr>
          <w:sz w:val="20"/>
          <w:szCs w:val="20"/>
          <w:color w:val="auto"/>
        </w:rPr>
      </w:pPr>
      <w:r>
        <w:rPr>
          <w:rFonts w:ascii="Courier New" w:cs="Courier New" w:eastAsia="Courier New" w:hAnsi="Courier New"/>
          <w:sz w:val="18"/>
          <w:szCs w:val="18"/>
          <w:color w:val="auto"/>
        </w:rPr>
        <w:t>MICHAEL P.</w:t>
      </w:r>
    </w:p>
    <w:p>
      <w:pPr>
        <w:jc w:val="center"/>
        <w:ind w:right="9059"/>
        <w:spacing w:after="0" w:line="237" w:lineRule="auto"/>
        <w:rPr>
          <w:sz w:val="20"/>
          <w:szCs w:val="20"/>
          <w:color w:val="auto"/>
        </w:rPr>
      </w:pPr>
      <w:r>
        <w:rPr>
          <w:rFonts w:ascii="Courier New" w:cs="Courier New" w:eastAsia="Courier New" w:hAnsi="Courier New"/>
          <w:sz w:val="18"/>
          <w:szCs w:val="18"/>
          <w:color w:val="auto"/>
        </w:rPr>
        <w:t>KELTY,</w:t>
      </w:r>
    </w:p>
    <w:p>
      <w:pPr>
        <w:jc w:val="center"/>
        <w:ind w:right="9059"/>
        <w:spacing w:after="0" w:line="238" w:lineRule="auto"/>
        <w:rPr>
          <w:sz w:val="20"/>
          <w:szCs w:val="20"/>
          <w:color w:val="auto"/>
        </w:rPr>
      </w:pPr>
      <w:r>
        <w:rPr>
          <w:rFonts w:ascii="Courier New" w:cs="Courier New" w:eastAsia="Courier New" w:hAnsi="Courier New"/>
          <w:sz w:val="18"/>
          <w:szCs w:val="18"/>
          <w:color w:val="auto"/>
        </w:rPr>
        <w:t>PH.D. Vice</w:t>
      </w:r>
    </w:p>
    <w:p>
      <w:pPr>
        <w:jc w:val="center"/>
        <w:ind w:right="9059"/>
        <w:spacing w:after="0"/>
        <w:rPr>
          <w:sz w:val="20"/>
          <w:szCs w:val="20"/>
          <w:color w:val="auto"/>
        </w:rPr>
      </w:pPr>
      <w:r>
        <w:rPr>
          <w:rFonts w:ascii="Courier New" w:cs="Courier New" w:eastAsia="Courier New" w:hAnsi="Courier New"/>
          <w:sz w:val="18"/>
          <w:szCs w:val="18"/>
          <w:color w:val="auto"/>
        </w:rPr>
        <w:t>Chairman</w:t>
      </w:r>
    </w:p>
    <w:p>
      <w:pPr>
        <w:jc w:val="center"/>
        <w:ind w:right="905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9059"/>
        <w:spacing w:after="0"/>
        <w:rPr>
          <w:sz w:val="20"/>
          <w:szCs w:val="20"/>
          <w:color w:val="auto"/>
        </w:rPr>
      </w:pPr>
      <w:r>
        <w:rPr>
          <w:rFonts w:ascii="Courier New" w:cs="Courier New" w:eastAsia="Courier New" w:hAnsi="Courier New"/>
          <w:sz w:val="18"/>
          <w:szCs w:val="18"/>
          <w:color w:val="auto"/>
        </w:rPr>
        <w:t>Board and</w:t>
      </w:r>
    </w:p>
    <w:p>
      <w:pPr>
        <w:jc w:val="center"/>
        <w:ind w:right="9059"/>
        <w:spacing w:after="0" w:line="237" w:lineRule="auto"/>
        <w:rPr>
          <w:sz w:val="20"/>
          <w:szCs w:val="20"/>
          <w:color w:val="auto"/>
        </w:rPr>
      </w:pPr>
      <w:r>
        <w:rPr>
          <w:rFonts w:ascii="Courier New" w:cs="Courier New" w:eastAsia="Courier New" w:hAnsi="Courier New"/>
          <w:sz w:val="18"/>
          <w:szCs w:val="18"/>
          <w:color w:val="auto"/>
        </w:rPr>
        <w:t>July 9,</w:t>
      </w:r>
    </w:p>
    <w:p>
      <w:pPr>
        <w:ind w:left="60"/>
        <w:spacing w:after="0"/>
        <w:rPr>
          <w:sz w:val="20"/>
          <w:szCs w:val="20"/>
          <w:color w:val="auto"/>
        </w:rPr>
      </w:pPr>
      <w:r>
        <w:rPr>
          <w:rFonts w:ascii="Courier New" w:cs="Courier New" w:eastAsia="Courier New" w:hAnsi="Courier New"/>
          <w:sz w:val="18"/>
          <w:szCs w:val="18"/>
          <w:color w:val="auto"/>
        </w:rPr>
        <w:t>2002 -----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9059"/>
        <w:spacing w:after="0"/>
        <w:rPr>
          <w:sz w:val="20"/>
          <w:szCs w:val="20"/>
          <w:color w:val="auto"/>
        </w:rPr>
      </w:pPr>
      <w:r>
        <w:rPr>
          <w:rFonts w:ascii="Courier New" w:cs="Courier New" w:eastAsia="Courier New" w:hAnsi="Courier New"/>
          <w:sz w:val="18"/>
          <w:szCs w:val="18"/>
          <w:color w:val="auto"/>
        </w:rPr>
        <w:t>---</w:t>
      </w:r>
    </w:p>
    <w:p>
      <w:pPr>
        <w:jc w:val="center"/>
        <w:ind w:right="9059"/>
        <w:spacing w:after="0" w:line="237" w:lineRule="auto"/>
        <w:rPr>
          <w:sz w:val="20"/>
          <w:szCs w:val="20"/>
          <w:color w:val="auto"/>
        </w:rPr>
      </w:pPr>
      <w:r>
        <w:rPr>
          <w:rFonts w:ascii="Courier New" w:cs="Courier New" w:eastAsia="Courier New" w:hAnsi="Courier New"/>
          <w:sz w:val="18"/>
          <w:szCs w:val="18"/>
          <w:color w:val="auto"/>
        </w:rPr>
        <w:t>Executive</w:t>
      </w:r>
    </w:p>
    <w:p>
      <w:pPr>
        <w:jc w:val="center"/>
        <w:ind w:right="9059"/>
        <w:spacing w:after="0"/>
        <w:rPr>
          <w:sz w:val="20"/>
          <w:szCs w:val="20"/>
          <w:color w:val="auto"/>
        </w:rPr>
      </w:pPr>
      <w:r>
        <w:rPr>
          <w:rFonts w:ascii="Courier New" w:cs="Courier New" w:eastAsia="Courier New" w:hAnsi="Courier New"/>
          <w:sz w:val="18"/>
          <w:szCs w:val="18"/>
          <w:color w:val="auto"/>
        </w:rPr>
        <w:t>Vice</w:t>
      </w:r>
    </w:p>
    <w:p>
      <w:pPr>
        <w:ind w:left="100"/>
        <w:spacing w:after="0" w:line="237" w:lineRule="auto"/>
        <w:rPr>
          <w:sz w:val="20"/>
          <w:szCs w:val="20"/>
          <w:color w:val="auto"/>
        </w:rPr>
      </w:pPr>
      <w:r>
        <w:rPr>
          <w:rFonts w:ascii="Courier New" w:cs="Courier New" w:eastAsia="Courier New" w:hAnsi="Courier New"/>
          <w:sz w:val="18"/>
          <w:szCs w:val="18"/>
          <w:color w:val="auto"/>
        </w:rPr>
        <w:t>President</w:t>
      </w:r>
    </w:p>
    <w:p>
      <w:pPr>
        <w:ind w:left="60"/>
        <w:spacing w:after="0" w:line="238" w:lineRule="auto"/>
        <w:rPr>
          <w:sz w:val="20"/>
          <w:szCs w:val="20"/>
          <w:color w:val="auto"/>
        </w:rPr>
      </w:pPr>
      <w:r>
        <w:rPr>
          <w:rFonts w:ascii="Courier New" w:cs="Courier New" w:eastAsia="Courier New" w:hAnsi="Courier New"/>
          <w:sz w:val="18"/>
          <w:szCs w:val="18"/>
          <w:color w:val="auto"/>
        </w:rPr>
        <w:t>Michael P.</w:t>
      </w:r>
    </w:p>
    <w:p>
      <w:pPr>
        <w:jc w:val="center"/>
        <w:ind w:right="9059"/>
        <w:spacing w:after="0"/>
        <w:rPr>
          <w:sz w:val="20"/>
          <w:szCs w:val="20"/>
          <w:color w:val="auto"/>
        </w:rPr>
      </w:pPr>
      <w:r>
        <w:rPr>
          <w:rFonts w:ascii="Courier New" w:cs="Courier New" w:eastAsia="Courier New" w:hAnsi="Courier New"/>
          <w:sz w:val="18"/>
          <w:szCs w:val="18"/>
          <w:color w:val="auto"/>
        </w:rPr>
        <w:t>Kelty,</w:t>
      </w:r>
    </w:p>
    <w:p>
      <w:pPr>
        <w:jc w:val="center"/>
        <w:ind w:right="9059"/>
        <w:spacing w:after="0" w:line="237" w:lineRule="auto"/>
        <w:rPr>
          <w:sz w:val="20"/>
          <w:szCs w:val="20"/>
          <w:color w:val="auto"/>
        </w:rPr>
      </w:pPr>
      <w:r>
        <w:rPr>
          <w:rFonts w:ascii="Courier New" w:cs="Courier New" w:eastAsia="Courier New" w:hAnsi="Courier New"/>
          <w:sz w:val="18"/>
          <w:szCs w:val="18"/>
          <w:color w:val="auto"/>
        </w:rPr>
        <w:t>Ph.D. /s/</w:t>
      </w:r>
    </w:p>
    <w:p>
      <w:pPr>
        <w:jc w:val="center"/>
        <w:ind w:right="9059"/>
        <w:spacing w:after="0"/>
        <w:rPr>
          <w:sz w:val="20"/>
          <w:szCs w:val="20"/>
          <w:color w:val="auto"/>
        </w:rPr>
      </w:pPr>
      <w:r>
        <w:rPr>
          <w:rFonts w:ascii="Courier New" w:cs="Courier New" w:eastAsia="Courier New" w:hAnsi="Courier New"/>
          <w:sz w:val="18"/>
          <w:szCs w:val="18"/>
          <w:color w:val="auto"/>
        </w:rPr>
        <w:t>ARNOLD W.</w:t>
      </w:r>
    </w:p>
    <w:p>
      <w:pPr>
        <w:jc w:val="center"/>
        <w:ind w:right="9059"/>
        <w:spacing w:after="0" w:line="237" w:lineRule="auto"/>
        <w:rPr>
          <w:sz w:val="20"/>
          <w:szCs w:val="20"/>
          <w:color w:val="auto"/>
        </w:rPr>
      </w:pPr>
      <w:r>
        <w:rPr>
          <w:rFonts w:ascii="Courier New" w:cs="Courier New" w:eastAsia="Courier New" w:hAnsi="Courier New"/>
          <w:sz w:val="18"/>
          <w:szCs w:val="18"/>
          <w:color w:val="auto"/>
        </w:rPr>
        <w:t>DONALD</w:t>
      </w:r>
    </w:p>
    <w:p>
      <w:pPr>
        <w:jc w:val="center"/>
        <w:ind w:right="9059"/>
        <w:spacing w:after="0"/>
        <w:rPr>
          <w:sz w:val="20"/>
          <w:szCs w:val="20"/>
          <w:color w:val="auto"/>
        </w:rPr>
      </w:pPr>
      <w:r>
        <w:rPr>
          <w:rFonts w:ascii="Courier New" w:cs="Courier New" w:eastAsia="Courier New" w:hAnsi="Courier New"/>
          <w:sz w:val="18"/>
          <w:szCs w:val="18"/>
          <w:color w:val="auto"/>
        </w:rPr>
        <w:t>Director</w:t>
      </w:r>
    </w:p>
    <w:p>
      <w:pPr>
        <w:jc w:val="center"/>
        <w:ind w:right="9059"/>
        <w:spacing w:after="0" w:line="237" w:lineRule="auto"/>
        <w:rPr>
          <w:sz w:val="20"/>
          <w:szCs w:val="20"/>
          <w:color w:val="auto"/>
        </w:rPr>
      </w:pPr>
      <w:r>
        <w:rPr>
          <w:rFonts w:ascii="Courier New" w:cs="Courier New" w:eastAsia="Courier New" w:hAnsi="Courier New"/>
          <w:sz w:val="18"/>
          <w:szCs w:val="18"/>
          <w:color w:val="auto"/>
        </w:rPr>
        <w:t>July 9,</w:t>
      </w:r>
    </w:p>
    <w:p>
      <w:pPr>
        <w:ind w:left="60"/>
        <w:spacing w:after="0"/>
        <w:rPr>
          <w:sz w:val="20"/>
          <w:szCs w:val="20"/>
          <w:color w:val="auto"/>
        </w:rPr>
      </w:pPr>
      <w:r>
        <w:rPr>
          <w:rFonts w:ascii="Courier New" w:cs="Courier New" w:eastAsia="Courier New" w:hAnsi="Courier New"/>
          <w:sz w:val="18"/>
          <w:szCs w:val="18"/>
          <w:color w:val="auto"/>
        </w:rPr>
        <w:t>2002 -----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60" w:right="9119" w:hanging="5"/>
        <w:spacing w:after="0" w:line="268" w:lineRule="auto"/>
        <w:tabs>
          <w:tab w:leader="none" w:pos="481"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Arnold W. Donald /s/ JOSEPH</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w:t>
      </w:r>
    </w:p>
    <w:p>
      <w:pPr>
        <w:spacing w:after="0" w:line="4" w:lineRule="exact"/>
        <w:rPr>
          <w:rFonts w:ascii="Courier New" w:cs="Courier New" w:eastAsia="Courier New" w:hAnsi="Courier New"/>
          <w:sz w:val="16"/>
          <w:szCs w:val="16"/>
          <w:color w:val="auto"/>
        </w:rPr>
      </w:pPr>
    </w:p>
    <w:p>
      <w:pPr>
        <w:jc w:val="center"/>
        <w:ind w:left="60" w:right="911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FLANNERY Director July 9, 2002 -----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480" w:right="9119" w:hanging="425"/>
        <w:spacing w:after="0" w:line="268" w:lineRule="auto"/>
        <w:tabs>
          <w:tab w:leader="none" w:pos="48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Joseph P.</w:t>
      </w:r>
    </w:p>
    <w:p>
      <w:pPr>
        <w:jc w:val="center"/>
        <w:ind w:right="9059"/>
        <w:spacing w:after="0" w:line="233" w:lineRule="auto"/>
        <w:rPr>
          <w:sz w:val="20"/>
          <w:szCs w:val="20"/>
          <w:color w:val="auto"/>
        </w:rPr>
      </w:pPr>
      <w:r>
        <w:rPr>
          <w:rFonts w:ascii="Courier New" w:cs="Courier New" w:eastAsia="Courier New" w:hAnsi="Courier New"/>
          <w:sz w:val="18"/>
          <w:szCs w:val="18"/>
          <w:color w:val="auto"/>
        </w:rPr>
        <w:t>Flannery</w:t>
      </w:r>
    </w:p>
    <w:p>
      <w:pPr>
        <w:jc w:val="center"/>
        <w:ind w:right="9059"/>
        <w:spacing w:after="0"/>
        <w:rPr>
          <w:sz w:val="20"/>
          <w:szCs w:val="20"/>
          <w:color w:val="auto"/>
        </w:rPr>
      </w:pPr>
      <w:r>
        <w:rPr>
          <w:rFonts w:ascii="Courier New" w:cs="Courier New" w:eastAsia="Courier New" w:hAnsi="Courier New"/>
          <w:sz w:val="18"/>
          <w:szCs w:val="18"/>
          <w:color w:val="auto"/>
        </w:rPr>
        <w:t>/s/ ALBERT</w:t>
      </w:r>
    </w:p>
    <w:p>
      <w:pPr>
        <w:spacing w:after="0" w:line="4" w:lineRule="exact"/>
        <w:rPr>
          <w:sz w:val="20"/>
          <w:szCs w:val="20"/>
          <w:color w:val="auto"/>
        </w:rPr>
      </w:pPr>
    </w:p>
    <w:p>
      <w:pPr>
        <w:jc w:val="both"/>
        <w:ind w:left="160" w:right="9159" w:hanging="52"/>
        <w:spacing w:after="0" w:line="268" w:lineRule="auto"/>
        <w:tabs>
          <w:tab w:leader="none" w:pos="423"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HARRIS Director July 9,</w:t>
      </w:r>
    </w:p>
    <w:p>
      <w:pPr>
        <w:ind w:left="60"/>
        <w:spacing w:after="0" w:line="233" w:lineRule="auto"/>
        <w:rPr>
          <w:sz w:val="20"/>
          <w:szCs w:val="20"/>
          <w:color w:val="auto"/>
        </w:rPr>
      </w:pPr>
      <w:r>
        <w:rPr>
          <w:rFonts w:ascii="Courier New" w:cs="Courier New" w:eastAsia="Courier New" w:hAnsi="Courier New"/>
          <w:sz w:val="18"/>
          <w:szCs w:val="18"/>
          <w:color w:val="auto"/>
        </w:rPr>
        <w:t>2002 -----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100" w:right="9119" w:hanging="45"/>
        <w:spacing w:after="0" w:line="268" w:lineRule="auto"/>
        <w:tabs>
          <w:tab w:leader="none" w:pos="469"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Albert E. Harris /s/ JOHN</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KENLON</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July 9,</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2002 -----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60" w:right="9119" w:firstLine="101"/>
        <w:spacing w:after="0" w:line="268" w:lineRule="auto"/>
        <w:tabs>
          <w:tab w:leader="none" w:pos="587" w:val="left"/>
        </w:tabs>
        <w:numPr>
          <w:ilvl w:val="1"/>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John Kenlon /s/</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KATHERINE</w:t>
      </w:r>
    </w:p>
    <w:p>
      <w:pPr>
        <w:spacing w:after="0" w:line="4" w:lineRule="exact"/>
        <w:rPr>
          <w:rFonts w:ascii="Courier New" w:cs="Courier New" w:eastAsia="Courier New" w:hAnsi="Courier New"/>
          <w:sz w:val="16"/>
          <w:szCs w:val="16"/>
          <w:color w:val="auto"/>
        </w:rPr>
      </w:pPr>
    </w:p>
    <w:p>
      <w:pPr>
        <w:jc w:val="center"/>
        <w:ind w:right="9059" w:firstLine="1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HAGEDORN LITTLEFIELD Director July 9, 2002 -----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0" w:gutter="0" w:footer="0" w:header="0"/>
        </w:sectPr>
      </w:pPr>
    </w:p>
    <w:bookmarkStart w:id="107" w:name="page108"/>
    <w:bookmarkEnd w:id="107"/>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jc w:val="center"/>
        <w:ind w:right="9059"/>
        <w:spacing w:after="0"/>
        <w:rPr>
          <w:sz w:val="20"/>
          <w:szCs w:val="20"/>
          <w:color w:val="auto"/>
        </w:rPr>
      </w:pPr>
      <w:r>
        <w:rPr>
          <w:rFonts w:ascii="Courier New" w:cs="Courier New" w:eastAsia="Courier New" w:hAnsi="Courier New"/>
          <w:sz w:val="18"/>
          <w:szCs w:val="18"/>
          <w:color w:val="auto"/>
        </w:rPr>
        <w:t>---</w:t>
      </w:r>
    </w:p>
    <w:p>
      <w:pPr>
        <w:jc w:val="center"/>
        <w:ind w:right="9059"/>
        <w:spacing w:after="0" w:line="237" w:lineRule="auto"/>
        <w:rPr>
          <w:sz w:val="20"/>
          <w:szCs w:val="20"/>
          <w:color w:val="auto"/>
        </w:rPr>
      </w:pPr>
      <w:r>
        <w:rPr>
          <w:rFonts w:ascii="Courier New" w:cs="Courier New" w:eastAsia="Courier New" w:hAnsi="Courier New"/>
          <w:sz w:val="18"/>
          <w:szCs w:val="18"/>
          <w:color w:val="auto"/>
        </w:rPr>
        <w:t>Katherine</w:t>
      </w:r>
    </w:p>
    <w:p>
      <w:pPr>
        <w:jc w:val="center"/>
        <w:ind w:right="9059"/>
        <w:spacing w:after="0" w:line="238" w:lineRule="auto"/>
        <w:rPr>
          <w:sz w:val="20"/>
          <w:szCs w:val="20"/>
          <w:color w:val="auto"/>
        </w:rPr>
      </w:pPr>
      <w:r>
        <w:rPr>
          <w:rFonts w:ascii="Courier New" w:cs="Courier New" w:eastAsia="Courier New" w:hAnsi="Courier New"/>
          <w:sz w:val="18"/>
          <w:szCs w:val="18"/>
          <w:color w:val="auto"/>
        </w:rPr>
        <w:t>Hagedorn</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Littlefield</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/s/ KAREN</w:t>
      </w:r>
    </w:p>
    <w:p>
      <w:pPr>
        <w:spacing w:after="0" w:line="4" w:lineRule="exact"/>
        <w:rPr>
          <w:sz w:val="20"/>
          <w:szCs w:val="20"/>
          <w:color w:val="auto"/>
        </w:rPr>
      </w:pPr>
    </w:p>
    <w:p>
      <w:pPr>
        <w:jc w:val="both"/>
        <w:ind w:left="160" w:right="9219" w:firstLine="1"/>
        <w:spacing w:after="0" w:line="268" w:lineRule="auto"/>
        <w:tabs>
          <w:tab w:leader="none" w:pos="476"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MILLS Director July 9,</w:t>
      </w:r>
    </w:p>
    <w:p>
      <w:pPr>
        <w:ind w:left="60"/>
        <w:spacing w:after="0" w:line="233" w:lineRule="auto"/>
        <w:rPr>
          <w:sz w:val="20"/>
          <w:szCs w:val="20"/>
          <w:color w:val="auto"/>
        </w:rPr>
      </w:pPr>
      <w:r>
        <w:rPr>
          <w:rFonts w:ascii="Courier New" w:cs="Courier New" w:eastAsia="Courier New" w:hAnsi="Courier New"/>
          <w:sz w:val="18"/>
          <w:szCs w:val="18"/>
          <w:color w:val="auto"/>
        </w:rPr>
        <w:t>2002 -----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160" w:right="9159" w:hanging="52"/>
        <w:spacing w:after="0" w:line="268" w:lineRule="auto"/>
        <w:tabs>
          <w:tab w:leader="none" w:pos="529"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Karen G. Mills /s/ JOHN</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w:t>
      </w:r>
    </w:p>
    <w:p>
      <w:pPr>
        <w:spacing w:after="0" w:line="4" w:lineRule="exact"/>
        <w:rPr>
          <w:rFonts w:ascii="Courier New" w:cs="Courier New" w:eastAsia="Courier New" w:hAnsi="Courier New"/>
          <w:sz w:val="16"/>
          <w:szCs w:val="16"/>
          <w:color w:val="auto"/>
        </w:rPr>
      </w:pPr>
    </w:p>
    <w:p>
      <w:pPr>
        <w:jc w:val="both"/>
        <w:ind w:left="160" w:right="92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SULLIVAN Director July 9,</w:t>
      </w:r>
    </w:p>
    <w:p>
      <w:pPr>
        <w:ind w:left="60"/>
        <w:spacing w:after="0" w:line="233" w:lineRule="auto"/>
        <w:rPr>
          <w:sz w:val="20"/>
          <w:szCs w:val="20"/>
          <w:color w:val="auto"/>
        </w:rPr>
      </w:pPr>
      <w:r>
        <w:rPr>
          <w:rFonts w:ascii="Courier New" w:cs="Courier New" w:eastAsia="Courier New" w:hAnsi="Courier New"/>
          <w:sz w:val="18"/>
          <w:szCs w:val="18"/>
          <w:color w:val="auto"/>
        </w:rPr>
        <w:t>2002 -----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9059"/>
        <w:spacing w:after="0"/>
        <w:rPr>
          <w:sz w:val="20"/>
          <w:szCs w:val="20"/>
          <w:color w:val="auto"/>
        </w:rPr>
      </w:pPr>
      <w:r>
        <w:rPr>
          <w:rFonts w:ascii="Courier New" w:cs="Courier New" w:eastAsia="Courier New" w:hAnsi="Courier New"/>
          <w:sz w:val="18"/>
          <w:szCs w:val="18"/>
          <w:color w:val="auto"/>
        </w:rPr>
        <w:t>--- John</w:t>
      </w:r>
    </w:p>
    <w:p>
      <w:pPr>
        <w:jc w:val="center"/>
        <w:ind w:right="9059"/>
        <w:spacing w:after="0" w:line="237" w:lineRule="auto"/>
        <w:rPr>
          <w:sz w:val="20"/>
          <w:szCs w:val="20"/>
          <w:color w:val="auto"/>
        </w:rPr>
      </w:pPr>
      <w:r>
        <w:rPr>
          <w:rFonts w:ascii="Courier New" w:cs="Courier New" w:eastAsia="Courier New" w:hAnsi="Courier New"/>
          <w:sz w:val="18"/>
          <w:szCs w:val="18"/>
          <w:color w:val="auto"/>
        </w:rPr>
        <w:t>M.</w:t>
      </w:r>
    </w:p>
    <w:p>
      <w:pPr>
        <w:jc w:val="center"/>
        <w:ind w:right="9059"/>
        <w:spacing w:after="0"/>
        <w:rPr>
          <w:sz w:val="20"/>
          <w:szCs w:val="20"/>
          <w:color w:val="auto"/>
        </w:rPr>
      </w:pPr>
      <w:r>
        <w:rPr>
          <w:rFonts w:ascii="Courier New" w:cs="Courier New" w:eastAsia="Courier New" w:hAnsi="Courier New"/>
          <w:sz w:val="18"/>
          <w:szCs w:val="18"/>
          <w:color w:val="auto"/>
        </w:rPr>
        <w:t>Sullivan</w:t>
      </w:r>
    </w:p>
    <w:p>
      <w:pPr>
        <w:jc w:val="center"/>
        <w:ind w:right="9059"/>
        <w:spacing w:after="0" w:line="237" w:lineRule="auto"/>
        <w:rPr>
          <w:sz w:val="20"/>
          <w:szCs w:val="20"/>
          <w:color w:val="auto"/>
        </w:rPr>
      </w:pPr>
      <w:r>
        <w:rPr>
          <w:rFonts w:ascii="Courier New" w:cs="Courier New" w:eastAsia="Courier New" w:hAnsi="Courier New"/>
          <w:sz w:val="18"/>
          <w:szCs w:val="18"/>
          <w:color w:val="auto"/>
        </w:rPr>
        <w:t>/s/ L.</w:t>
      </w:r>
    </w:p>
    <w:p>
      <w:pPr>
        <w:jc w:val="center"/>
        <w:ind w:right="9059"/>
        <w:spacing w:after="0"/>
        <w:rPr>
          <w:sz w:val="20"/>
          <w:szCs w:val="20"/>
          <w:color w:val="auto"/>
        </w:rPr>
      </w:pPr>
      <w:r>
        <w:rPr>
          <w:rFonts w:ascii="Courier New" w:cs="Courier New" w:eastAsia="Courier New" w:hAnsi="Courier New"/>
          <w:sz w:val="18"/>
          <w:szCs w:val="18"/>
          <w:color w:val="auto"/>
        </w:rPr>
        <w:t>JACK VAN</w:t>
      </w:r>
    </w:p>
    <w:p>
      <w:pPr>
        <w:jc w:val="center"/>
        <w:ind w:right="9059"/>
        <w:spacing w:after="0" w:line="237" w:lineRule="auto"/>
        <w:rPr>
          <w:sz w:val="20"/>
          <w:szCs w:val="20"/>
          <w:color w:val="auto"/>
        </w:rPr>
      </w:pPr>
      <w:r>
        <w:rPr>
          <w:rFonts w:ascii="Courier New" w:cs="Courier New" w:eastAsia="Courier New" w:hAnsi="Courier New"/>
          <w:sz w:val="18"/>
          <w:szCs w:val="18"/>
          <w:color w:val="auto"/>
        </w:rPr>
        <w:t>FOSSEN</w:t>
      </w:r>
    </w:p>
    <w:p>
      <w:pPr>
        <w:jc w:val="center"/>
        <w:ind w:right="9059"/>
        <w:spacing w:after="0" w:line="238" w:lineRule="auto"/>
        <w:rPr>
          <w:sz w:val="20"/>
          <w:szCs w:val="20"/>
          <w:color w:val="auto"/>
        </w:rPr>
      </w:pPr>
      <w:r>
        <w:rPr>
          <w:rFonts w:ascii="Courier New" w:cs="Courier New" w:eastAsia="Courier New" w:hAnsi="Courier New"/>
          <w:sz w:val="18"/>
          <w:szCs w:val="18"/>
          <w:color w:val="auto"/>
        </w:rPr>
        <w:t>Director</w:t>
      </w:r>
    </w:p>
    <w:p>
      <w:pPr>
        <w:jc w:val="center"/>
        <w:ind w:right="9059"/>
        <w:spacing w:after="0"/>
        <w:rPr>
          <w:sz w:val="20"/>
          <w:szCs w:val="20"/>
          <w:color w:val="auto"/>
        </w:rPr>
      </w:pPr>
      <w:r>
        <w:rPr>
          <w:rFonts w:ascii="Courier New" w:cs="Courier New" w:eastAsia="Courier New" w:hAnsi="Courier New"/>
          <w:sz w:val="18"/>
          <w:szCs w:val="18"/>
          <w:color w:val="auto"/>
        </w:rPr>
        <w:t>July 9,</w:t>
      </w:r>
    </w:p>
    <w:p>
      <w:pPr>
        <w:ind w:left="60"/>
        <w:spacing w:after="0" w:line="237" w:lineRule="auto"/>
        <w:rPr>
          <w:sz w:val="20"/>
          <w:szCs w:val="20"/>
          <w:color w:val="auto"/>
        </w:rPr>
      </w:pPr>
      <w:r>
        <w:rPr>
          <w:rFonts w:ascii="Courier New" w:cs="Courier New" w:eastAsia="Courier New" w:hAnsi="Courier New"/>
          <w:sz w:val="18"/>
          <w:szCs w:val="18"/>
          <w:color w:val="auto"/>
        </w:rPr>
        <w:t>2002 -----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80" w:hanging="414"/>
        <w:spacing w:after="0" w:line="238" w:lineRule="auto"/>
        <w:tabs>
          <w:tab w:leader="none" w:pos="68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Jack Van</w:t>
      </w:r>
    </w:p>
    <w:p>
      <w:pPr>
        <w:jc w:val="center"/>
        <w:ind w:right="9059"/>
        <w:spacing w:after="0"/>
        <w:rPr>
          <w:sz w:val="20"/>
          <w:szCs w:val="20"/>
          <w:color w:val="auto"/>
        </w:rPr>
      </w:pPr>
      <w:r>
        <w:rPr>
          <w:rFonts w:ascii="Courier New" w:cs="Courier New" w:eastAsia="Courier New" w:hAnsi="Courier New"/>
          <w:sz w:val="18"/>
          <w:szCs w:val="18"/>
          <w:color w:val="auto"/>
        </w:rPr>
        <w:t>Fossen /s/</w:t>
      </w:r>
    </w:p>
    <w:p>
      <w:pPr>
        <w:jc w:val="center"/>
        <w:ind w:right="9059"/>
        <w:spacing w:after="0" w:line="237" w:lineRule="auto"/>
        <w:rPr>
          <w:sz w:val="20"/>
          <w:szCs w:val="20"/>
          <w:color w:val="auto"/>
        </w:rPr>
      </w:pPr>
      <w:r>
        <w:rPr>
          <w:rFonts w:ascii="Courier New" w:cs="Courier New" w:eastAsia="Courier New" w:hAnsi="Courier New"/>
          <w:sz w:val="18"/>
          <w:szCs w:val="18"/>
          <w:color w:val="auto"/>
        </w:rPr>
        <w:t>JOHN</w:t>
      </w:r>
    </w:p>
    <w:p>
      <w:pPr>
        <w:jc w:val="center"/>
        <w:ind w:right="9059"/>
        <w:spacing w:after="0" w:line="238" w:lineRule="auto"/>
        <w:rPr>
          <w:sz w:val="20"/>
          <w:szCs w:val="20"/>
          <w:color w:val="auto"/>
        </w:rPr>
      </w:pPr>
      <w:r>
        <w:rPr>
          <w:rFonts w:ascii="Courier New" w:cs="Courier New" w:eastAsia="Courier New" w:hAnsi="Courier New"/>
          <w:sz w:val="18"/>
          <w:szCs w:val="18"/>
          <w:color w:val="auto"/>
        </w:rPr>
        <w:t>WALKER,</w:t>
      </w:r>
    </w:p>
    <w:p>
      <w:pPr>
        <w:jc w:val="center"/>
        <w:ind w:right="9059"/>
        <w:spacing w:after="0"/>
        <w:rPr>
          <w:sz w:val="20"/>
          <w:szCs w:val="20"/>
          <w:color w:val="auto"/>
        </w:rPr>
      </w:pPr>
      <w:r>
        <w:rPr>
          <w:rFonts w:ascii="Courier New" w:cs="Courier New" w:eastAsia="Courier New" w:hAnsi="Courier New"/>
          <w:sz w:val="18"/>
          <w:szCs w:val="18"/>
          <w:color w:val="auto"/>
        </w:rPr>
        <w:t>PH.D.</w:t>
      </w:r>
    </w:p>
    <w:p>
      <w:pPr>
        <w:jc w:val="center"/>
        <w:ind w:right="9059"/>
        <w:spacing w:after="0" w:line="237" w:lineRule="auto"/>
        <w:rPr>
          <w:sz w:val="20"/>
          <w:szCs w:val="20"/>
          <w:color w:val="auto"/>
        </w:rPr>
      </w:pPr>
      <w:r>
        <w:rPr>
          <w:rFonts w:ascii="Courier New" w:cs="Courier New" w:eastAsia="Courier New" w:hAnsi="Courier New"/>
          <w:sz w:val="18"/>
          <w:szCs w:val="18"/>
          <w:color w:val="auto"/>
        </w:rPr>
        <w:t>Director</w:t>
      </w:r>
    </w:p>
    <w:p>
      <w:pPr>
        <w:jc w:val="center"/>
        <w:ind w:right="9059"/>
        <w:spacing w:after="0"/>
        <w:rPr>
          <w:sz w:val="20"/>
          <w:szCs w:val="20"/>
          <w:color w:val="auto"/>
        </w:rPr>
      </w:pPr>
      <w:r>
        <w:rPr>
          <w:rFonts w:ascii="Courier New" w:cs="Courier New" w:eastAsia="Courier New" w:hAnsi="Courier New"/>
          <w:sz w:val="18"/>
          <w:szCs w:val="18"/>
          <w:color w:val="auto"/>
        </w:rPr>
        <w:t>July 9,</w:t>
      </w:r>
    </w:p>
    <w:p>
      <w:pPr>
        <w:ind w:left="60"/>
        <w:spacing w:after="0" w:line="237" w:lineRule="auto"/>
        <w:rPr>
          <w:sz w:val="20"/>
          <w:szCs w:val="20"/>
          <w:color w:val="auto"/>
        </w:rPr>
      </w:pPr>
      <w:r>
        <w:rPr>
          <w:rFonts w:ascii="Courier New" w:cs="Courier New" w:eastAsia="Courier New" w:hAnsi="Courier New"/>
          <w:sz w:val="18"/>
          <w:szCs w:val="18"/>
          <w:color w:val="auto"/>
        </w:rPr>
        <w:t>2002 -----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right="9219" w:hanging="59"/>
        <w:spacing w:after="0" w:line="279" w:lineRule="auto"/>
        <w:tabs>
          <w:tab w:leader="none" w:pos="589"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John Walker, Ph.D.</w:t>
      </w:r>
    </w:p>
    <w:p>
      <w:pPr>
        <w:spacing w:after="0" w:line="375"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II-8</w:t>
      </w:r>
    </w:p>
    <w:p>
      <w:pPr>
        <w:sectPr>
          <w:pgSz w:w="11900" w:h="16838" w:orient="portrait"/>
          <w:cols w:equalWidth="0" w:num="1">
            <w:col w:w="10219"/>
          </w:cols>
          <w:pgMar w:left="240" w:top="136" w:right="1440" w:bottom="1440" w:gutter="0" w:footer="0" w:header="0"/>
        </w:sectPr>
      </w:pPr>
    </w:p>
    <w:bookmarkStart w:id="108" w:name="page109"/>
    <w:bookmarkEnd w:id="108"/>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each of the Registrants has duly caused this Registration Statement on Form S-4 to be signed on its behalf by the undersigned, thereunto duly authorized, in the City of Marysville, State of Ohio, on July 9, 2002.</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SCOTTS MANUFACTURING COMPANY (as</w:t>
      </w:r>
    </w:p>
    <w:p>
      <w:pPr>
        <w:ind w:left="4440"/>
        <w:spacing w:after="0" w:line="238" w:lineRule="auto"/>
        <w:rPr>
          <w:sz w:val="20"/>
          <w:szCs w:val="20"/>
          <w:color w:val="auto"/>
        </w:rPr>
      </w:pPr>
      <w:r>
        <w:rPr>
          <w:rFonts w:ascii="Courier New" w:cs="Courier New" w:eastAsia="Courier New" w:hAnsi="Courier New"/>
          <w:sz w:val="18"/>
          <w:szCs w:val="18"/>
          <w:color w:val="auto"/>
        </w:rPr>
        <w:t>successor by merger to SCOTTS</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MIRACLE-GRO PRODUCTS INC.), a Delaware</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corporation</w:t>
      </w: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MIRACLE-GRO LAWN PRODUCTS, INC., a New</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York corporation</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OMS INVESTMENTS, INC., a Delaware</w:t>
      </w:r>
    </w:p>
    <w:p>
      <w:pPr>
        <w:ind w:left="4440"/>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HYPONEX CORPORATION, a Delaware</w:t>
      </w:r>
    </w:p>
    <w:p>
      <w:pPr>
        <w:ind w:left="4440"/>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EARTHGRO, INC., a Connecticut</w:t>
      </w:r>
    </w:p>
    <w:p>
      <w:pPr>
        <w:ind w:left="4440"/>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SCOTTS PRODUCTS, INC., an Ohio</w:t>
      </w:r>
    </w:p>
    <w:p>
      <w:pPr>
        <w:ind w:left="4440"/>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SCOTTS PROFESSIONAL PRODUCTS CO., an</w:t>
      </w:r>
    </w:p>
    <w:p>
      <w:pPr>
        <w:ind w:left="4440"/>
        <w:spacing w:after="0" w:line="238" w:lineRule="auto"/>
        <w:rPr>
          <w:sz w:val="20"/>
          <w:szCs w:val="20"/>
          <w:color w:val="auto"/>
        </w:rPr>
      </w:pPr>
      <w:r>
        <w:rPr>
          <w:rFonts w:ascii="Courier New" w:cs="Courier New" w:eastAsia="Courier New" w:hAnsi="Courier New"/>
          <w:sz w:val="18"/>
          <w:szCs w:val="18"/>
          <w:color w:val="auto"/>
        </w:rPr>
        <w:t>Ohio corporation</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SCOTTS-SIERRA HORTICULTURAL PRODUCTS</w:t>
      </w:r>
    </w:p>
    <w:p>
      <w:pPr>
        <w:ind w:left="4440"/>
        <w:spacing w:after="0" w:line="238" w:lineRule="auto"/>
        <w:rPr>
          <w:sz w:val="20"/>
          <w:szCs w:val="20"/>
          <w:color w:val="auto"/>
        </w:rPr>
      </w:pPr>
      <w:r>
        <w:rPr>
          <w:rFonts w:ascii="Courier New" w:cs="Courier New" w:eastAsia="Courier New" w:hAnsi="Courier New"/>
          <w:sz w:val="18"/>
          <w:szCs w:val="18"/>
          <w:color w:val="auto"/>
        </w:rPr>
        <w:t>COMPANY, a California corporation</w:t>
      </w: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SCOTTS-SIERRA CROP PROTECTION COMPANY,</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 California corporation</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SCOTTS-SIERRA INVESTMENTS, INC., a</w:t>
      </w:r>
    </w:p>
    <w:p>
      <w:pPr>
        <w:ind w:left="4440"/>
        <w:spacing w:after="0" w:line="238" w:lineRule="auto"/>
        <w:rPr>
          <w:sz w:val="20"/>
          <w:szCs w:val="20"/>
          <w:color w:val="auto"/>
        </w:rPr>
      </w:pPr>
      <w:r>
        <w:rPr>
          <w:rFonts w:ascii="Courier New" w:cs="Courier New" w:eastAsia="Courier New" w:hAnsi="Courier New"/>
          <w:sz w:val="18"/>
          <w:szCs w:val="18"/>
          <w:color w:val="auto"/>
        </w:rPr>
        <w:t>Delaware corporation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II-9</w:t>
      </w:r>
    </w:p>
    <w:p>
      <w:pPr>
        <w:sectPr>
          <w:pgSz w:w="11900" w:h="16838" w:orient="portrait"/>
          <w:cols w:equalWidth="0" w:num="1">
            <w:col w:w="10219"/>
          </w:cols>
          <w:pgMar w:left="240" w:top="717" w:right="1440" w:bottom="1440" w:gutter="0" w:footer="0" w:header="0"/>
        </w:sectPr>
      </w:pPr>
    </w:p>
    <w:bookmarkStart w:id="109" w:name="page110"/>
    <w:bookmarkEnd w:id="109"/>
    <w:p>
      <w:pPr>
        <w:ind w:left="3240"/>
        <w:spacing w:after="0"/>
        <w:rPr>
          <w:sz w:val="20"/>
          <w:szCs w:val="20"/>
          <w:color w:val="auto"/>
        </w:rPr>
      </w:pPr>
      <w:r>
        <w:rPr>
          <w:rFonts w:ascii="Courier New" w:cs="Courier New" w:eastAsia="Courier New" w:hAnsi="Courier New"/>
          <w:sz w:val="16"/>
          <w:szCs w:val="16"/>
          <w:color w:val="auto"/>
        </w:rPr>
        <w:t>SWISS FARMS PRODUCTS, INC., a Delaware</w:t>
      </w:r>
    </w:p>
    <w:p>
      <w:pPr>
        <w:spacing w:after="0" w:line="16"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corporation</w:t>
      </w:r>
    </w:p>
    <w:p>
      <w:pPr>
        <w:spacing w:after="0" w:line="201" w:lineRule="exact"/>
        <w:rPr>
          <w:sz w:val="20"/>
          <w:szCs w:val="20"/>
          <w:color w:val="auto"/>
        </w:rPr>
      </w:pPr>
    </w:p>
    <w:p>
      <w:pPr>
        <w:ind w:left="3240"/>
        <w:spacing w:after="0"/>
        <w:tabs>
          <w:tab w:leader="none" w:pos="41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M. ARONOWITZ</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00"/>
        <w:spacing w:after="0"/>
        <w:rPr>
          <w:sz w:val="20"/>
          <w:szCs w:val="20"/>
          <w:color w:val="auto"/>
        </w:rPr>
      </w:pPr>
      <w:r>
        <w:rPr>
          <w:rFonts w:ascii="Courier New" w:cs="Courier New" w:eastAsia="Courier New" w:hAnsi="Courier New"/>
          <w:sz w:val="18"/>
          <w:szCs w:val="18"/>
          <w:color w:val="auto"/>
        </w:rPr>
        <w:t>David M. Aronowitz</w:t>
      </w:r>
    </w:p>
    <w:p>
      <w:pPr>
        <w:ind w:left="482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SCOTTS TEMECULA OPERATIONS, LLC, a</w:t>
      </w:r>
    </w:p>
    <w:p>
      <w:pPr>
        <w:spacing w:after="0" w:line="4"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Delaware limited liability company (as</w:t>
      </w:r>
    </w:p>
    <w:p>
      <w:pPr>
        <w:spacing w:after="0" w:line="21"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successor by merger to REPUBLIC TOOL &amp;</w:t>
      </w:r>
    </w:p>
    <w:p>
      <w:pPr>
        <w:spacing w:after="0" w:line="16"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MANUFACTURING CORP.)</w:t>
      </w:r>
    </w:p>
    <w:p>
      <w:pPr>
        <w:spacing w:after="0" w:line="201"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By: The Scotts Company, sole member</w:t>
      </w:r>
    </w:p>
    <w:p>
      <w:pPr>
        <w:spacing w:after="0" w:line="201" w:lineRule="exact"/>
        <w:rPr>
          <w:sz w:val="20"/>
          <w:szCs w:val="20"/>
          <w:color w:val="auto"/>
        </w:rPr>
      </w:pPr>
    </w:p>
    <w:p>
      <w:pPr>
        <w:ind w:left="3240"/>
        <w:spacing w:after="0"/>
        <w:tabs>
          <w:tab w:leader="none" w:pos="41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M. ARONOWITZ</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00"/>
        <w:spacing w:after="0"/>
        <w:rPr>
          <w:sz w:val="20"/>
          <w:szCs w:val="20"/>
          <w:color w:val="auto"/>
        </w:rPr>
      </w:pPr>
      <w:r>
        <w:rPr>
          <w:rFonts w:ascii="Courier New" w:cs="Courier New" w:eastAsia="Courier New" w:hAnsi="Courier New"/>
          <w:sz w:val="18"/>
          <w:szCs w:val="18"/>
          <w:color w:val="auto"/>
        </w:rPr>
        <w:t>David M. Aronowitz</w:t>
      </w:r>
    </w:p>
    <w:p>
      <w:pPr>
        <w:ind w:left="482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II-10</w:t>
      </w:r>
    </w:p>
    <w:p>
      <w:pPr>
        <w:sectPr>
          <w:pgSz w:w="11900" w:h="16838" w:orient="portrait"/>
          <w:cols w:equalWidth="0" w:num="1">
            <w:col w:w="9019"/>
          </w:cols>
          <w:pgMar w:left="1440" w:top="722" w:right="1440" w:bottom="1440" w:gutter="0" w:footer="0" w:header="0"/>
        </w:sectPr>
      </w:pPr>
    </w:p>
    <w:bookmarkStart w:id="110" w:name="page111"/>
    <w:bookmarkEnd w:id="110"/>
    <w:p>
      <w:pPr>
        <w:jc w:val="right"/>
        <w:ind w:right="5159"/>
        <w:spacing w:after="0"/>
        <w:rPr>
          <w:sz w:val="20"/>
          <w:szCs w:val="20"/>
          <w:color w:val="auto"/>
        </w:rPr>
      </w:pPr>
      <w:r>
        <w:rPr>
          <w:rFonts w:ascii="Courier New" w:cs="Courier New" w:eastAsia="Courier New" w:hAnsi="Courier New"/>
          <w:sz w:val="18"/>
          <w:szCs w:val="18"/>
          <w:color w:val="auto"/>
        </w:rPr>
        <w:t>INDEX TO EXHIBITS</w:t>
      </w:r>
    </w:p>
    <w:p>
      <w:pPr>
        <w:spacing w:after="0" w:line="201"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EXHIBIT NO.</w:t>
      </w:r>
    </w:p>
    <w:p>
      <w:pPr>
        <w:ind w:left="60"/>
        <w:spacing w:after="0" w:line="238" w:lineRule="auto"/>
        <w:rPr>
          <w:sz w:val="20"/>
          <w:szCs w:val="20"/>
          <w:color w:val="auto"/>
        </w:rPr>
      </w:pPr>
      <w:r>
        <w:rPr>
          <w:rFonts w:ascii="Courier New" w:cs="Courier New" w:eastAsia="Courier New" w:hAnsi="Courier New"/>
          <w:sz w:val="18"/>
          <w:szCs w:val="18"/>
          <w:color w:val="auto"/>
        </w:rPr>
        <w:t>DESCRIPTION - -------</w:t>
      </w:r>
    </w:p>
    <w:p>
      <w:pPr>
        <w:ind w:left="380"/>
        <w:spacing w:after="0"/>
        <w:rPr>
          <w:sz w:val="20"/>
          <w:szCs w:val="20"/>
          <w:color w:val="auto"/>
        </w:rPr>
      </w:pPr>
      <w:r>
        <w:rPr>
          <w:rFonts w:ascii="Courier New" w:cs="Courier New" w:eastAsia="Courier New" w:hAnsi="Courier New"/>
          <w:sz w:val="18"/>
          <w:szCs w:val="18"/>
          <w:color w:val="auto"/>
        </w:rPr>
        <w:t>----------- 4.1</w:t>
      </w:r>
    </w:p>
    <w:p>
      <w:pPr>
        <w:jc w:val="center"/>
        <w:ind w:right="7899"/>
        <w:spacing w:after="0" w:line="237" w:lineRule="auto"/>
        <w:rPr>
          <w:sz w:val="20"/>
          <w:szCs w:val="20"/>
          <w:color w:val="auto"/>
        </w:rPr>
      </w:pPr>
      <w:r>
        <w:rPr>
          <w:rFonts w:ascii="Courier New" w:cs="Courier New" w:eastAsia="Courier New" w:hAnsi="Courier New"/>
          <w:sz w:val="18"/>
          <w:szCs w:val="18"/>
          <w:color w:val="auto"/>
        </w:rPr>
        <w:t>Indenture dated as of</w:t>
      </w:r>
    </w:p>
    <w:p>
      <w:pPr>
        <w:jc w:val="center"/>
        <w:ind w:right="7899"/>
        <w:spacing w:after="0" w:line="238" w:lineRule="auto"/>
        <w:rPr>
          <w:sz w:val="20"/>
          <w:szCs w:val="20"/>
          <w:color w:val="auto"/>
        </w:rPr>
      </w:pPr>
      <w:r>
        <w:rPr>
          <w:rFonts w:ascii="Courier New" w:cs="Courier New" w:eastAsia="Courier New" w:hAnsi="Courier New"/>
          <w:sz w:val="18"/>
          <w:szCs w:val="18"/>
          <w:color w:val="auto"/>
        </w:rPr>
        <w:t>January 20, 1999</w:t>
      </w:r>
    </w:p>
    <w:p>
      <w:pPr>
        <w:jc w:val="center"/>
        <w:ind w:right="7899"/>
        <w:spacing w:after="0"/>
        <w:rPr>
          <w:sz w:val="20"/>
          <w:szCs w:val="20"/>
          <w:color w:val="auto"/>
        </w:rPr>
      </w:pPr>
      <w:r>
        <w:rPr>
          <w:rFonts w:ascii="Courier New" w:cs="Courier New" w:eastAsia="Courier New" w:hAnsi="Courier New"/>
          <w:sz w:val="18"/>
          <w:szCs w:val="18"/>
          <w:color w:val="auto"/>
        </w:rPr>
        <w:t>among The Scotts</w:t>
      </w:r>
    </w:p>
    <w:p>
      <w:pPr>
        <w:jc w:val="center"/>
        <w:ind w:right="7899"/>
        <w:spacing w:after="0" w:line="237" w:lineRule="auto"/>
        <w:rPr>
          <w:sz w:val="20"/>
          <w:szCs w:val="20"/>
          <w:color w:val="auto"/>
        </w:rPr>
      </w:pPr>
      <w:r>
        <w:rPr>
          <w:rFonts w:ascii="Courier New" w:cs="Courier New" w:eastAsia="Courier New" w:hAnsi="Courier New"/>
          <w:sz w:val="18"/>
          <w:szCs w:val="18"/>
          <w:color w:val="auto"/>
        </w:rPr>
        <w:t>Company, the</w:t>
      </w:r>
    </w:p>
    <w:p>
      <w:pPr>
        <w:jc w:val="center"/>
        <w:ind w:right="7899"/>
        <w:spacing w:after="0"/>
        <w:rPr>
          <w:sz w:val="20"/>
          <w:szCs w:val="20"/>
          <w:color w:val="auto"/>
        </w:rPr>
      </w:pPr>
      <w:r>
        <w:rPr>
          <w:rFonts w:ascii="Courier New" w:cs="Courier New" w:eastAsia="Courier New" w:hAnsi="Courier New"/>
          <w:sz w:val="18"/>
          <w:szCs w:val="18"/>
          <w:color w:val="auto"/>
        </w:rPr>
        <w:t>subsidiary guarantors</w:t>
      </w:r>
    </w:p>
    <w:p>
      <w:pPr>
        <w:jc w:val="center"/>
        <w:ind w:right="7899"/>
        <w:spacing w:after="0" w:line="237" w:lineRule="auto"/>
        <w:rPr>
          <w:sz w:val="20"/>
          <w:szCs w:val="20"/>
          <w:color w:val="auto"/>
        </w:rPr>
      </w:pPr>
      <w:r>
        <w:rPr>
          <w:rFonts w:ascii="Courier New" w:cs="Courier New" w:eastAsia="Courier New" w:hAnsi="Courier New"/>
          <w:sz w:val="18"/>
          <w:szCs w:val="18"/>
          <w:color w:val="auto"/>
        </w:rPr>
        <w:t>listed on the</w:t>
      </w:r>
    </w:p>
    <w:p>
      <w:pPr>
        <w:jc w:val="center"/>
        <w:ind w:right="7899"/>
        <w:spacing w:after="0"/>
        <w:rPr>
          <w:sz w:val="20"/>
          <w:szCs w:val="20"/>
          <w:color w:val="auto"/>
        </w:rPr>
      </w:pPr>
      <w:r>
        <w:rPr>
          <w:rFonts w:ascii="Courier New" w:cs="Courier New" w:eastAsia="Courier New" w:hAnsi="Courier New"/>
          <w:sz w:val="18"/>
          <w:szCs w:val="18"/>
          <w:color w:val="auto"/>
        </w:rPr>
        <w:t>signature pages</w:t>
      </w:r>
    </w:p>
    <w:p>
      <w:pPr>
        <w:jc w:val="center"/>
        <w:ind w:right="7899"/>
        <w:spacing w:after="0" w:line="237" w:lineRule="auto"/>
        <w:rPr>
          <w:sz w:val="20"/>
          <w:szCs w:val="20"/>
          <w:color w:val="auto"/>
        </w:rPr>
      </w:pPr>
      <w:r>
        <w:rPr>
          <w:rFonts w:ascii="Courier New" w:cs="Courier New" w:eastAsia="Courier New" w:hAnsi="Courier New"/>
          <w:sz w:val="18"/>
          <w:szCs w:val="18"/>
          <w:color w:val="auto"/>
        </w:rPr>
        <w:t>thereof and State</w:t>
      </w:r>
    </w:p>
    <w:p>
      <w:pPr>
        <w:jc w:val="center"/>
        <w:ind w:right="7899"/>
        <w:spacing w:after="0" w:line="238" w:lineRule="auto"/>
        <w:rPr>
          <w:sz w:val="20"/>
          <w:szCs w:val="20"/>
          <w:color w:val="auto"/>
        </w:rPr>
      </w:pPr>
      <w:r>
        <w:rPr>
          <w:rFonts w:ascii="Courier New" w:cs="Courier New" w:eastAsia="Courier New" w:hAnsi="Courier New"/>
          <w:sz w:val="18"/>
          <w:szCs w:val="18"/>
          <w:color w:val="auto"/>
        </w:rPr>
        <w:t>Street Bank and Trust</w:t>
      </w:r>
    </w:p>
    <w:p>
      <w:pPr>
        <w:jc w:val="center"/>
        <w:ind w:right="7899"/>
        <w:spacing w:after="0"/>
        <w:rPr>
          <w:sz w:val="20"/>
          <w:szCs w:val="20"/>
          <w:color w:val="auto"/>
        </w:rPr>
      </w:pPr>
      <w:r>
        <w:rPr>
          <w:rFonts w:ascii="Courier New" w:cs="Courier New" w:eastAsia="Courier New" w:hAnsi="Courier New"/>
          <w:sz w:val="18"/>
          <w:szCs w:val="18"/>
          <w:color w:val="auto"/>
        </w:rPr>
        <w:t>Company, as trustee</w:t>
      </w:r>
    </w:p>
    <w:p>
      <w:pPr>
        <w:jc w:val="center"/>
        <w:ind w:right="7899"/>
        <w:spacing w:after="0" w:line="237" w:lineRule="auto"/>
        <w:rPr>
          <w:sz w:val="20"/>
          <w:szCs w:val="20"/>
          <w:color w:val="auto"/>
        </w:rPr>
      </w:pPr>
      <w:r>
        <w:rPr>
          <w:rFonts w:ascii="Courier New" w:cs="Courier New" w:eastAsia="Courier New" w:hAnsi="Courier New"/>
          <w:sz w:val="18"/>
          <w:szCs w:val="18"/>
          <w:color w:val="auto"/>
        </w:rPr>
        <w:t>(filed as Exhibit 4</w:t>
      </w:r>
    </w:p>
    <w:p>
      <w:pPr>
        <w:jc w:val="center"/>
        <w:ind w:right="7899"/>
        <w:spacing w:after="0"/>
        <w:rPr>
          <w:sz w:val="20"/>
          <w:szCs w:val="20"/>
          <w:color w:val="auto"/>
        </w:rPr>
      </w:pPr>
      <w:r>
        <w:rPr>
          <w:rFonts w:ascii="Courier New" w:cs="Courier New" w:eastAsia="Courier New" w:hAnsi="Courier New"/>
          <w:sz w:val="18"/>
          <w:szCs w:val="18"/>
          <w:color w:val="auto"/>
        </w:rPr>
        <w:t>to the Registration</w:t>
      </w:r>
    </w:p>
    <w:p>
      <w:pPr>
        <w:jc w:val="center"/>
        <w:ind w:right="7899"/>
        <w:spacing w:after="0" w:line="237" w:lineRule="auto"/>
        <w:rPr>
          <w:sz w:val="20"/>
          <w:szCs w:val="20"/>
          <w:color w:val="auto"/>
        </w:rPr>
      </w:pPr>
      <w:r>
        <w:rPr>
          <w:rFonts w:ascii="Courier New" w:cs="Courier New" w:eastAsia="Courier New" w:hAnsi="Courier New"/>
          <w:sz w:val="18"/>
          <w:szCs w:val="18"/>
          <w:color w:val="auto"/>
        </w:rPr>
        <w:t>Statement on Form S-4</w:t>
      </w:r>
    </w:p>
    <w:p>
      <w:pPr>
        <w:jc w:val="center"/>
        <w:ind w:right="7899"/>
        <w:spacing w:after="0"/>
        <w:rPr>
          <w:sz w:val="20"/>
          <w:szCs w:val="20"/>
          <w:color w:val="auto"/>
        </w:rPr>
      </w:pPr>
      <w:r>
        <w:rPr>
          <w:rFonts w:ascii="Courier New" w:cs="Courier New" w:eastAsia="Courier New" w:hAnsi="Courier New"/>
          <w:sz w:val="18"/>
          <w:szCs w:val="18"/>
          <w:color w:val="auto"/>
        </w:rPr>
        <w:t>(File no. 333-76739)</w:t>
      </w:r>
    </w:p>
    <w:p>
      <w:pPr>
        <w:jc w:val="center"/>
        <w:ind w:right="7899"/>
        <w:spacing w:after="0" w:line="237" w:lineRule="auto"/>
        <w:rPr>
          <w:sz w:val="20"/>
          <w:szCs w:val="20"/>
          <w:color w:val="auto"/>
        </w:rPr>
      </w:pPr>
      <w:r>
        <w:rPr>
          <w:rFonts w:ascii="Courier New" w:cs="Courier New" w:eastAsia="Courier New" w:hAnsi="Courier New"/>
          <w:sz w:val="18"/>
          <w:szCs w:val="18"/>
          <w:color w:val="auto"/>
        </w:rPr>
        <w:t>and incorporated by</w:t>
      </w:r>
    </w:p>
    <w:p>
      <w:pPr>
        <w:jc w:val="center"/>
        <w:ind w:right="7899"/>
        <w:spacing w:after="0" w:line="238" w:lineRule="auto"/>
        <w:rPr>
          <w:sz w:val="20"/>
          <w:szCs w:val="20"/>
          <w:color w:val="auto"/>
        </w:rPr>
      </w:pPr>
      <w:r>
        <w:rPr>
          <w:rFonts w:ascii="Courier New" w:cs="Courier New" w:eastAsia="Courier New" w:hAnsi="Courier New"/>
          <w:sz w:val="18"/>
          <w:szCs w:val="18"/>
          <w:color w:val="auto"/>
        </w:rPr>
        <w:t>reference herein).</w:t>
      </w:r>
    </w:p>
    <w:p>
      <w:pPr>
        <w:jc w:val="center"/>
        <w:ind w:right="7899"/>
        <w:spacing w:after="0"/>
        <w:rPr>
          <w:sz w:val="20"/>
          <w:szCs w:val="20"/>
          <w:color w:val="auto"/>
        </w:rPr>
      </w:pPr>
      <w:r>
        <w:rPr>
          <w:rFonts w:ascii="Courier New" w:cs="Courier New" w:eastAsia="Courier New" w:hAnsi="Courier New"/>
          <w:sz w:val="18"/>
          <w:szCs w:val="18"/>
          <w:color w:val="auto"/>
        </w:rPr>
        <w:t>4.2 Supplemental</w:t>
      </w:r>
    </w:p>
    <w:p>
      <w:pPr>
        <w:jc w:val="center"/>
        <w:ind w:right="7899"/>
        <w:spacing w:after="0" w:line="237" w:lineRule="auto"/>
        <w:rPr>
          <w:sz w:val="20"/>
          <w:szCs w:val="20"/>
          <w:color w:val="auto"/>
        </w:rPr>
      </w:pPr>
      <w:r>
        <w:rPr>
          <w:rFonts w:ascii="Courier New" w:cs="Courier New" w:eastAsia="Courier New" w:hAnsi="Courier New"/>
          <w:sz w:val="18"/>
          <w:szCs w:val="18"/>
          <w:color w:val="auto"/>
        </w:rPr>
        <w:t>Indenture dated as of</w:t>
      </w:r>
    </w:p>
    <w:p>
      <w:pPr>
        <w:jc w:val="center"/>
        <w:ind w:right="7899"/>
        <w:spacing w:after="0"/>
        <w:rPr>
          <w:sz w:val="20"/>
          <w:szCs w:val="20"/>
          <w:color w:val="auto"/>
        </w:rPr>
      </w:pPr>
      <w:r>
        <w:rPr>
          <w:rFonts w:ascii="Courier New" w:cs="Courier New" w:eastAsia="Courier New" w:hAnsi="Courier New"/>
          <w:sz w:val="18"/>
          <w:szCs w:val="18"/>
          <w:color w:val="auto"/>
        </w:rPr>
        <w:t>February 6, 2002</w:t>
      </w:r>
    </w:p>
    <w:p>
      <w:pPr>
        <w:jc w:val="center"/>
        <w:ind w:right="7899"/>
        <w:spacing w:after="0" w:line="237" w:lineRule="auto"/>
        <w:rPr>
          <w:sz w:val="20"/>
          <w:szCs w:val="20"/>
          <w:color w:val="auto"/>
        </w:rPr>
      </w:pPr>
      <w:r>
        <w:rPr>
          <w:rFonts w:ascii="Courier New" w:cs="Courier New" w:eastAsia="Courier New" w:hAnsi="Courier New"/>
          <w:sz w:val="18"/>
          <w:szCs w:val="18"/>
          <w:color w:val="auto"/>
        </w:rPr>
        <w:t>among The Scotts</w:t>
      </w:r>
    </w:p>
    <w:p>
      <w:pPr>
        <w:jc w:val="center"/>
        <w:ind w:right="7899"/>
        <w:spacing w:after="0"/>
        <w:rPr>
          <w:sz w:val="20"/>
          <w:szCs w:val="20"/>
          <w:color w:val="auto"/>
        </w:rPr>
      </w:pPr>
      <w:r>
        <w:rPr>
          <w:rFonts w:ascii="Courier New" w:cs="Courier New" w:eastAsia="Courier New" w:hAnsi="Courier New"/>
          <w:sz w:val="18"/>
          <w:szCs w:val="18"/>
          <w:color w:val="auto"/>
        </w:rPr>
        <w:t>Company, the</w:t>
      </w:r>
    </w:p>
    <w:p>
      <w:pPr>
        <w:jc w:val="center"/>
        <w:ind w:right="7899"/>
        <w:spacing w:after="0" w:line="237" w:lineRule="auto"/>
        <w:rPr>
          <w:sz w:val="20"/>
          <w:szCs w:val="20"/>
          <w:color w:val="auto"/>
        </w:rPr>
      </w:pPr>
      <w:r>
        <w:rPr>
          <w:rFonts w:ascii="Courier New" w:cs="Courier New" w:eastAsia="Courier New" w:hAnsi="Courier New"/>
          <w:sz w:val="18"/>
          <w:szCs w:val="18"/>
          <w:color w:val="auto"/>
        </w:rPr>
        <w:t>subsidiary guarantors</w:t>
      </w:r>
    </w:p>
    <w:p>
      <w:pPr>
        <w:jc w:val="center"/>
        <w:ind w:right="7899"/>
        <w:spacing w:after="0"/>
        <w:rPr>
          <w:sz w:val="20"/>
          <w:szCs w:val="20"/>
          <w:color w:val="auto"/>
        </w:rPr>
      </w:pPr>
      <w:r>
        <w:rPr>
          <w:rFonts w:ascii="Courier New" w:cs="Courier New" w:eastAsia="Courier New" w:hAnsi="Courier New"/>
          <w:sz w:val="18"/>
          <w:szCs w:val="18"/>
          <w:color w:val="auto"/>
        </w:rPr>
        <w:t>listed on the</w:t>
      </w:r>
    </w:p>
    <w:p>
      <w:pPr>
        <w:jc w:val="center"/>
        <w:ind w:right="7899"/>
        <w:spacing w:after="0" w:line="237" w:lineRule="auto"/>
        <w:rPr>
          <w:sz w:val="20"/>
          <w:szCs w:val="20"/>
          <w:color w:val="auto"/>
        </w:rPr>
      </w:pPr>
      <w:r>
        <w:rPr>
          <w:rFonts w:ascii="Courier New" w:cs="Courier New" w:eastAsia="Courier New" w:hAnsi="Courier New"/>
          <w:sz w:val="18"/>
          <w:szCs w:val="18"/>
          <w:color w:val="auto"/>
        </w:rPr>
        <w:t>signature pages</w:t>
      </w:r>
    </w:p>
    <w:p>
      <w:pPr>
        <w:jc w:val="center"/>
        <w:ind w:right="7899"/>
        <w:spacing w:after="0" w:line="238" w:lineRule="auto"/>
        <w:rPr>
          <w:sz w:val="20"/>
          <w:szCs w:val="20"/>
          <w:color w:val="auto"/>
        </w:rPr>
      </w:pPr>
      <w:r>
        <w:rPr>
          <w:rFonts w:ascii="Courier New" w:cs="Courier New" w:eastAsia="Courier New" w:hAnsi="Courier New"/>
          <w:sz w:val="18"/>
          <w:szCs w:val="18"/>
          <w:color w:val="auto"/>
        </w:rPr>
        <w:t>thereof and State</w:t>
      </w:r>
    </w:p>
    <w:p>
      <w:pPr>
        <w:jc w:val="center"/>
        <w:ind w:right="7899"/>
        <w:spacing w:after="0"/>
        <w:rPr>
          <w:sz w:val="20"/>
          <w:szCs w:val="20"/>
          <w:color w:val="auto"/>
        </w:rPr>
      </w:pPr>
      <w:r>
        <w:rPr>
          <w:rFonts w:ascii="Courier New" w:cs="Courier New" w:eastAsia="Courier New" w:hAnsi="Courier New"/>
          <w:sz w:val="18"/>
          <w:szCs w:val="18"/>
          <w:color w:val="auto"/>
        </w:rPr>
        <w:t>Street Bank and Trust</w:t>
      </w:r>
    </w:p>
    <w:p>
      <w:pPr>
        <w:jc w:val="center"/>
        <w:ind w:right="7899"/>
        <w:spacing w:after="0" w:line="237" w:lineRule="auto"/>
        <w:rPr>
          <w:sz w:val="20"/>
          <w:szCs w:val="20"/>
          <w:color w:val="auto"/>
        </w:rPr>
      </w:pPr>
      <w:r>
        <w:rPr>
          <w:rFonts w:ascii="Courier New" w:cs="Courier New" w:eastAsia="Courier New" w:hAnsi="Courier New"/>
          <w:sz w:val="18"/>
          <w:szCs w:val="18"/>
          <w:color w:val="auto"/>
        </w:rPr>
        <w:t>Company, as trustee.</w:t>
      </w:r>
    </w:p>
    <w:p>
      <w:pPr>
        <w:jc w:val="center"/>
        <w:ind w:right="7899"/>
        <w:spacing w:after="0"/>
        <w:rPr>
          <w:sz w:val="20"/>
          <w:szCs w:val="20"/>
          <w:color w:val="auto"/>
        </w:rPr>
      </w:pPr>
      <w:r>
        <w:rPr>
          <w:rFonts w:ascii="Courier New" w:cs="Courier New" w:eastAsia="Courier New" w:hAnsi="Courier New"/>
          <w:sz w:val="18"/>
          <w:szCs w:val="18"/>
          <w:color w:val="auto"/>
        </w:rPr>
        <w:t>4.3 Registration</w:t>
      </w:r>
    </w:p>
    <w:p>
      <w:pPr>
        <w:jc w:val="center"/>
        <w:ind w:right="7899"/>
        <w:spacing w:after="0" w:line="237" w:lineRule="auto"/>
        <w:rPr>
          <w:sz w:val="20"/>
          <w:szCs w:val="20"/>
          <w:color w:val="auto"/>
        </w:rPr>
      </w:pPr>
      <w:r>
        <w:rPr>
          <w:rFonts w:ascii="Courier New" w:cs="Courier New" w:eastAsia="Courier New" w:hAnsi="Courier New"/>
          <w:sz w:val="18"/>
          <w:szCs w:val="18"/>
          <w:color w:val="auto"/>
        </w:rPr>
        <w:t>Rights Agreement,</w:t>
      </w:r>
    </w:p>
    <w:p>
      <w:pPr>
        <w:jc w:val="center"/>
        <w:ind w:right="7899"/>
        <w:spacing w:after="0"/>
        <w:rPr>
          <w:sz w:val="20"/>
          <w:szCs w:val="20"/>
          <w:color w:val="auto"/>
        </w:rPr>
      </w:pPr>
      <w:r>
        <w:rPr>
          <w:rFonts w:ascii="Courier New" w:cs="Courier New" w:eastAsia="Courier New" w:hAnsi="Courier New"/>
          <w:sz w:val="18"/>
          <w:szCs w:val="18"/>
          <w:color w:val="auto"/>
        </w:rPr>
        <w:t>dated as February 6,</w:t>
      </w:r>
    </w:p>
    <w:p>
      <w:pPr>
        <w:jc w:val="center"/>
        <w:ind w:right="7899"/>
        <w:spacing w:after="0" w:line="237" w:lineRule="auto"/>
        <w:rPr>
          <w:sz w:val="20"/>
          <w:szCs w:val="20"/>
          <w:color w:val="auto"/>
        </w:rPr>
      </w:pPr>
      <w:r>
        <w:rPr>
          <w:rFonts w:ascii="Courier New" w:cs="Courier New" w:eastAsia="Courier New" w:hAnsi="Courier New"/>
          <w:sz w:val="18"/>
          <w:szCs w:val="18"/>
          <w:color w:val="auto"/>
        </w:rPr>
        <w:t>2002, among The</w:t>
      </w:r>
    </w:p>
    <w:p>
      <w:pPr>
        <w:jc w:val="center"/>
        <w:ind w:right="7899"/>
        <w:spacing w:after="0" w:line="238" w:lineRule="auto"/>
        <w:rPr>
          <w:sz w:val="20"/>
          <w:szCs w:val="20"/>
          <w:color w:val="auto"/>
        </w:rPr>
      </w:pPr>
      <w:r>
        <w:rPr>
          <w:rFonts w:ascii="Courier New" w:cs="Courier New" w:eastAsia="Courier New" w:hAnsi="Courier New"/>
          <w:sz w:val="18"/>
          <w:szCs w:val="18"/>
          <w:color w:val="auto"/>
        </w:rPr>
        <w:t>Scotts Company, the</w:t>
      </w:r>
    </w:p>
    <w:p>
      <w:pPr>
        <w:jc w:val="center"/>
        <w:ind w:right="7899"/>
        <w:spacing w:after="0"/>
        <w:rPr>
          <w:sz w:val="20"/>
          <w:szCs w:val="20"/>
          <w:color w:val="auto"/>
        </w:rPr>
      </w:pPr>
      <w:r>
        <w:rPr>
          <w:rFonts w:ascii="Courier New" w:cs="Courier New" w:eastAsia="Courier New" w:hAnsi="Courier New"/>
          <w:sz w:val="18"/>
          <w:szCs w:val="18"/>
          <w:color w:val="auto"/>
        </w:rPr>
        <w:t>subsidiary guarantors</w:t>
      </w:r>
    </w:p>
    <w:p>
      <w:pPr>
        <w:jc w:val="center"/>
        <w:ind w:right="7899"/>
        <w:spacing w:after="0" w:line="237" w:lineRule="auto"/>
        <w:rPr>
          <w:sz w:val="20"/>
          <w:szCs w:val="20"/>
          <w:color w:val="auto"/>
        </w:rPr>
      </w:pPr>
      <w:r>
        <w:rPr>
          <w:rFonts w:ascii="Courier New" w:cs="Courier New" w:eastAsia="Courier New" w:hAnsi="Courier New"/>
          <w:sz w:val="18"/>
          <w:szCs w:val="18"/>
          <w:color w:val="auto"/>
        </w:rPr>
        <w:t>listed on the</w:t>
      </w:r>
    </w:p>
    <w:p>
      <w:pPr>
        <w:jc w:val="center"/>
        <w:ind w:right="7899"/>
        <w:spacing w:after="0"/>
        <w:rPr>
          <w:sz w:val="20"/>
          <w:szCs w:val="20"/>
          <w:color w:val="auto"/>
        </w:rPr>
      </w:pPr>
      <w:r>
        <w:rPr>
          <w:rFonts w:ascii="Courier New" w:cs="Courier New" w:eastAsia="Courier New" w:hAnsi="Courier New"/>
          <w:sz w:val="18"/>
          <w:szCs w:val="18"/>
          <w:color w:val="auto"/>
        </w:rPr>
        <w:t>signature pages</w:t>
      </w:r>
    </w:p>
    <w:p>
      <w:pPr>
        <w:jc w:val="center"/>
        <w:ind w:right="7899"/>
        <w:spacing w:after="0" w:line="237" w:lineRule="auto"/>
        <w:rPr>
          <w:sz w:val="20"/>
          <w:szCs w:val="20"/>
          <w:color w:val="auto"/>
        </w:rPr>
      </w:pPr>
      <w:r>
        <w:rPr>
          <w:rFonts w:ascii="Courier New" w:cs="Courier New" w:eastAsia="Courier New" w:hAnsi="Courier New"/>
          <w:sz w:val="18"/>
          <w:szCs w:val="18"/>
          <w:color w:val="auto"/>
        </w:rPr>
        <w:t>thereof and the</w:t>
      </w:r>
    </w:p>
    <w:p>
      <w:pPr>
        <w:jc w:val="center"/>
        <w:ind w:right="7899"/>
        <w:spacing w:after="0"/>
        <w:rPr>
          <w:sz w:val="20"/>
          <w:szCs w:val="20"/>
          <w:color w:val="auto"/>
        </w:rPr>
      </w:pPr>
      <w:r>
        <w:rPr>
          <w:rFonts w:ascii="Courier New" w:cs="Courier New" w:eastAsia="Courier New" w:hAnsi="Courier New"/>
          <w:sz w:val="18"/>
          <w:szCs w:val="18"/>
          <w:color w:val="auto"/>
        </w:rPr>
        <w:t>Initial Purchasers</w:t>
      </w:r>
    </w:p>
    <w:p>
      <w:pPr>
        <w:jc w:val="center"/>
        <w:ind w:right="7899"/>
        <w:spacing w:after="0" w:line="237" w:lineRule="auto"/>
        <w:rPr>
          <w:sz w:val="20"/>
          <w:szCs w:val="20"/>
          <w:color w:val="auto"/>
        </w:rPr>
      </w:pPr>
      <w:r>
        <w:rPr>
          <w:rFonts w:ascii="Courier New" w:cs="Courier New" w:eastAsia="Courier New" w:hAnsi="Courier New"/>
          <w:sz w:val="18"/>
          <w:szCs w:val="18"/>
          <w:color w:val="auto"/>
        </w:rPr>
        <w:t>named therein. 5.1</w:t>
      </w:r>
    </w:p>
    <w:p>
      <w:pPr>
        <w:jc w:val="center"/>
        <w:ind w:right="7899"/>
        <w:spacing w:after="0" w:line="238" w:lineRule="auto"/>
        <w:rPr>
          <w:sz w:val="20"/>
          <w:szCs w:val="20"/>
          <w:color w:val="auto"/>
        </w:rPr>
      </w:pPr>
      <w:r>
        <w:rPr>
          <w:rFonts w:ascii="Courier New" w:cs="Courier New" w:eastAsia="Courier New" w:hAnsi="Courier New"/>
          <w:sz w:val="18"/>
          <w:szCs w:val="18"/>
          <w:color w:val="auto"/>
        </w:rPr>
        <w:t>Opinion of Vorys,</w:t>
      </w:r>
    </w:p>
    <w:p>
      <w:pPr>
        <w:jc w:val="center"/>
        <w:ind w:right="7899"/>
        <w:spacing w:after="0"/>
        <w:rPr>
          <w:sz w:val="20"/>
          <w:szCs w:val="20"/>
          <w:color w:val="auto"/>
        </w:rPr>
      </w:pPr>
      <w:r>
        <w:rPr>
          <w:rFonts w:ascii="Courier New" w:cs="Courier New" w:eastAsia="Courier New" w:hAnsi="Courier New"/>
          <w:sz w:val="18"/>
          <w:szCs w:val="18"/>
          <w:color w:val="auto"/>
        </w:rPr>
        <w:t>Sater, Seymour and</w:t>
      </w:r>
    </w:p>
    <w:p>
      <w:pPr>
        <w:jc w:val="center"/>
        <w:ind w:right="7899"/>
        <w:spacing w:after="0" w:line="237" w:lineRule="auto"/>
        <w:rPr>
          <w:sz w:val="20"/>
          <w:szCs w:val="20"/>
          <w:color w:val="auto"/>
        </w:rPr>
      </w:pPr>
      <w:r>
        <w:rPr>
          <w:rFonts w:ascii="Courier New" w:cs="Courier New" w:eastAsia="Courier New" w:hAnsi="Courier New"/>
          <w:sz w:val="18"/>
          <w:szCs w:val="18"/>
          <w:color w:val="auto"/>
        </w:rPr>
        <w:t>Pease LLP 12.1</w:t>
      </w:r>
    </w:p>
    <w:p>
      <w:pPr>
        <w:jc w:val="center"/>
        <w:ind w:right="7899"/>
        <w:spacing w:after="0"/>
        <w:rPr>
          <w:sz w:val="20"/>
          <w:szCs w:val="20"/>
          <w:color w:val="auto"/>
        </w:rPr>
      </w:pPr>
      <w:r>
        <w:rPr>
          <w:rFonts w:ascii="Courier New" w:cs="Courier New" w:eastAsia="Courier New" w:hAnsi="Courier New"/>
          <w:sz w:val="18"/>
          <w:szCs w:val="18"/>
          <w:color w:val="auto"/>
        </w:rPr>
        <w:t>Statement of</w:t>
      </w:r>
    </w:p>
    <w:p>
      <w:pPr>
        <w:jc w:val="center"/>
        <w:ind w:right="7899"/>
        <w:spacing w:after="0" w:line="237" w:lineRule="auto"/>
        <w:rPr>
          <w:sz w:val="20"/>
          <w:szCs w:val="20"/>
          <w:color w:val="auto"/>
        </w:rPr>
      </w:pPr>
      <w:r>
        <w:rPr>
          <w:rFonts w:ascii="Courier New" w:cs="Courier New" w:eastAsia="Courier New" w:hAnsi="Courier New"/>
          <w:sz w:val="18"/>
          <w:szCs w:val="18"/>
          <w:color w:val="auto"/>
        </w:rPr>
        <w:t>Computation of Ratios</w:t>
      </w:r>
    </w:p>
    <w:p>
      <w:pPr>
        <w:jc w:val="center"/>
        <w:ind w:right="7899"/>
        <w:spacing w:after="0"/>
        <w:rPr>
          <w:sz w:val="20"/>
          <w:szCs w:val="20"/>
          <w:color w:val="auto"/>
        </w:rPr>
      </w:pPr>
      <w:r>
        <w:rPr>
          <w:rFonts w:ascii="Courier New" w:cs="Courier New" w:eastAsia="Courier New" w:hAnsi="Courier New"/>
          <w:sz w:val="18"/>
          <w:szCs w:val="18"/>
          <w:color w:val="auto"/>
        </w:rPr>
        <w:t>23.1 Consent of</w:t>
      </w:r>
    </w:p>
    <w:p>
      <w:pPr>
        <w:spacing w:after="0" w:line="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6"/>
          <w:szCs w:val="16"/>
          <w:color w:val="auto"/>
        </w:rPr>
        <w:t>PricewaterhouseCoopers</w:t>
      </w:r>
    </w:p>
    <w:p>
      <w:pPr>
        <w:spacing w:after="0" w:line="16"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LLP, independent</w:t>
      </w:r>
    </w:p>
    <w:p>
      <w:pPr>
        <w:jc w:val="center"/>
        <w:ind w:right="7899"/>
        <w:spacing w:after="0" w:line="238" w:lineRule="auto"/>
        <w:rPr>
          <w:sz w:val="20"/>
          <w:szCs w:val="20"/>
          <w:color w:val="auto"/>
        </w:rPr>
      </w:pPr>
      <w:r>
        <w:rPr>
          <w:rFonts w:ascii="Courier New" w:cs="Courier New" w:eastAsia="Courier New" w:hAnsi="Courier New"/>
          <w:sz w:val="18"/>
          <w:szCs w:val="18"/>
          <w:color w:val="auto"/>
        </w:rPr>
        <w:t>accountants 23.2</w:t>
      </w:r>
    </w:p>
    <w:p>
      <w:pPr>
        <w:jc w:val="center"/>
        <w:ind w:right="7899"/>
        <w:spacing w:after="0"/>
        <w:rPr>
          <w:sz w:val="20"/>
          <w:szCs w:val="20"/>
          <w:color w:val="auto"/>
        </w:rPr>
      </w:pPr>
      <w:r>
        <w:rPr>
          <w:rFonts w:ascii="Courier New" w:cs="Courier New" w:eastAsia="Courier New" w:hAnsi="Courier New"/>
          <w:sz w:val="18"/>
          <w:szCs w:val="18"/>
          <w:color w:val="auto"/>
        </w:rPr>
        <w:t>Consent of Vorys,</w:t>
      </w:r>
    </w:p>
    <w:p>
      <w:pPr>
        <w:jc w:val="center"/>
        <w:ind w:right="7899"/>
        <w:spacing w:after="0" w:line="237" w:lineRule="auto"/>
        <w:rPr>
          <w:sz w:val="20"/>
          <w:szCs w:val="20"/>
          <w:color w:val="auto"/>
        </w:rPr>
      </w:pPr>
      <w:r>
        <w:rPr>
          <w:rFonts w:ascii="Courier New" w:cs="Courier New" w:eastAsia="Courier New" w:hAnsi="Courier New"/>
          <w:sz w:val="18"/>
          <w:szCs w:val="18"/>
          <w:color w:val="auto"/>
        </w:rPr>
        <w:t>Sater, Seymour and</w:t>
      </w:r>
    </w:p>
    <w:p>
      <w:pPr>
        <w:jc w:val="center"/>
        <w:ind w:right="7899"/>
        <w:spacing w:after="0" w:line="238" w:lineRule="auto"/>
        <w:rPr>
          <w:sz w:val="20"/>
          <w:szCs w:val="20"/>
          <w:color w:val="auto"/>
        </w:rPr>
      </w:pPr>
      <w:r>
        <w:rPr>
          <w:rFonts w:ascii="Courier New" w:cs="Courier New" w:eastAsia="Courier New" w:hAnsi="Courier New"/>
          <w:sz w:val="18"/>
          <w:szCs w:val="18"/>
          <w:color w:val="auto"/>
        </w:rPr>
        <w:t>Pease LLP (included</w:t>
      </w:r>
    </w:p>
    <w:p>
      <w:pPr>
        <w:jc w:val="center"/>
        <w:ind w:right="7899"/>
        <w:spacing w:after="0"/>
        <w:rPr>
          <w:sz w:val="20"/>
          <w:szCs w:val="20"/>
          <w:color w:val="auto"/>
        </w:rPr>
      </w:pPr>
      <w:r>
        <w:rPr>
          <w:rFonts w:ascii="Courier New" w:cs="Courier New" w:eastAsia="Courier New" w:hAnsi="Courier New"/>
          <w:sz w:val="18"/>
          <w:szCs w:val="18"/>
          <w:color w:val="auto"/>
        </w:rPr>
        <w:t>in Exhibit 5.1) 24.1</w:t>
      </w:r>
    </w:p>
    <w:p>
      <w:pPr>
        <w:jc w:val="center"/>
        <w:ind w:right="7899"/>
        <w:spacing w:after="0" w:line="237" w:lineRule="auto"/>
        <w:rPr>
          <w:sz w:val="20"/>
          <w:szCs w:val="20"/>
          <w:color w:val="auto"/>
        </w:rPr>
      </w:pPr>
      <w:r>
        <w:rPr>
          <w:rFonts w:ascii="Courier New" w:cs="Courier New" w:eastAsia="Courier New" w:hAnsi="Courier New"/>
          <w:sz w:val="18"/>
          <w:szCs w:val="18"/>
          <w:color w:val="auto"/>
        </w:rPr>
        <w:t>Powers of Attorney</w:t>
      </w:r>
    </w:p>
    <w:p>
      <w:pPr>
        <w:jc w:val="center"/>
        <w:ind w:right="7899"/>
        <w:spacing w:after="0"/>
        <w:rPr>
          <w:sz w:val="20"/>
          <w:szCs w:val="20"/>
          <w:color w:val="auto"/>
        </w:rPr>
      </w:pPr>
      <w:r>
        <w:rPr>
          <w:rFonts w:ascii="Courier New" w:cs="Courier New" w:eastAsia="Courier New" w:hAnsi="Courier New"/>
          <w:sz w:val="18"/>
          <w:szCs w:val="18"/>
          <w:color w:val="auto"/>
        </w:rPr>
        <w:t>(included on</w:t>
      </w:r>
    </w:p>
    <w:p>
      <w:pPr>
        <w:jc w:val="center"/>
        <w:ind w:right="7899"/>
        <w:spacing w:after="0" w:line="237" w:lineRule="auto"/>
        <w:rPr>
          <w:sz w:val="20"/>
          <w:szCs w:val="20"/>
          <w:color w:val="auto"/>
        </w:rPr>
      </w:pPr>
      <w:r>
        <w:rPr>
          <w:rFonts w:ascii="Courier New" w:cs="Courier New" w:eastAsia="Courier New" w:hAnsi="Courier New"/>
          <w:sz w:val="18"/>
          <w:szCs w:val="18"/>
          <w:color w:val="auto"/>
        </w:rPr>
        <w:t>signature pages) 25.1</w:t>
      </w:r>
    </w:p>
    <w:p>
      <w:pPr>
        <w:jc w:val="center"/>
        <w:ind w:right="7899"/>
        <w:spacing w:after="0"/>
        <w:rPr>
          <w:sz w:val="20"/>
          <w:szCs w:val="20"/>
          <w:color w:val="auto"/>
        </w:rPr>
      </w:pPr>
      <w:r>
        <w:rPr>
          <w:rFonts w:ascii="Courier New" w:cs="Courier New" w:eastAsia="Courier New" w:hAnsi="Courier New"/>
          <w:sz w:val="18"/>
          <w:szCs w:val="18"/>
          <w:color w:val="auto"/>
        </w:rPr>
        <w:t>Statement of</w:t>
      </w:r>
    </w:p>
    <w:p>
      <w:pPr>
        <w:jc w:val="center"/>
        <w:ind w:right="7899"/>
        <w:spacing w:after="0" w:line="237" w:lineRule="auto"/>
        <w:rPr>
          <w:sz w:val="20"/>
          <w:szCs w:val="20"/>
          <w:color w:val="auto"/>
        </w:rPr>
      </w:pPr>
      <w:r>
        <w:rPr>
          <w:rFonts w:ascii="Courier New" w:cs="Courier New" w:eastAsia="Courier New" w:hAnsi="Courier New"/>
          <w:sz w:val="18"/>
          <w:szCs w:val="18"/>
          <w:color w:val="auto"/>
        </w:rPr>
        <w:t>Eligibility under the</w:t>
      </w:r>
    </w:p>
    <w:p>
      <w:pPr>
        <w:jc w:val="center"/>
        <w:ind w:right="7899"/>
        <w:spacing w:after="0" w:line="238" w:lineRule="auto"/>
        <w:rPr>
          <w:sz w:val="20"/>
          <w:szCs w:val="20"/>
          <w:color w:val="auto"/>
        </w:rPr>
      </w:pPr>
      <w:r>
        <w:rPr>
          <w:rFonts w:ascii="Courier New" w:cs="Courier New" w:eastAsia="Courier New" w:hAnsi="Courier New"/>
          <w:sz w:val="18"/>
          <w:szCs w:val="18"/>
          <w:color w:val="auto"/>
        </w:rPr>
        <w:t>Trust Indenture Act</w:t>
      </w:r>
    </w:p>
    <w:p>
      <w:pPr>
        <w:jc w:val="center"/>
        <w:ind w:right="7899"/>
        <w:spacing w:after="0"/>
        <w:rPr>
          <w:sz w:val="20"/>
          <w:szCs w:val="20"/>
          <w:color w:val="auto"/>
        </w:rPr>
      </w:pPr>
      <w:r>
        <w:rPr>
          <w:rFonts w:ascii="Courier New" w:cs="Courier New" w:eastAsia="Courier New" w:hAnsi="Courier New"/>
          <w:sz w:val="18"/>
          <w:szCs w:val="18"/>
          <w:color w:val="auto"/>
        </w:rPr>
        <w:t>of 1939 of a</w:t>
      </w:r>
    </w:p>
    <w:p>
      <w:pPr>
        <w:jc w:val="center"/>
        <w:ind w:right="7899"/>
        <w:spacing w:after="0" w:line="237" w:lineRule="auto"/>
        <w:rPr>
          <w:sz w:val="20"/>
          <w:szCs w:val="20"/>
          <w:color w:val="auto"/>
        </w:rPr>
      </w:pPr>
      <w:r>
        <w:rPr>
          <w:rFonts w:ascii="Courier New" w:cs="Courier New" w:eastAsia="Courier New" w:hAnsi="Courier New"/>
          <w:sz w:val="18"/>
          <w:szCs w:val="18"/>
          <w:color w:val="auto"/>
        </w:rPr>
        <w:t>Corporation</w:t>
      </w:r>
    </w:p>
    <w:p>
      <w:pPr>
        <w:jc w:val="center"/>
        <w:ind w:right="7899"/>
        <w:spacing w:after="0"/>
        <w:rPr>
          <w:sz w:val="20"/>
          <w:szCs w:val="20"/>
          <w:color w:val="auto"/>
        </w:rPr>
      </w:pPr>
      <w:r>
        <w:rPr>
          <w:rFonts w:ascii="Courier New" w:cs="Courier New" w:eastAsia="Courier New" w:hAnsi="Courier New"/>
          <w:sz w:val="18"/>
          <w:szCs w:val="18"/>
          <w:color w:val="auto"/>
        </w:rPr>
        <w:t>Designated to Act as</w:t>
      </w:r>
    </w:p>
    <w:p>
      <w:pPr>
        <w:jc w:val="center"/>
        <w:ind w:right="7899"/>
        <w:spacing w:after="0" w:line="237" w:lineRule="auto"/>
        <w:rPr>
          <w:sz w:val="20"/>
          <w:szCs w:val="20"/>
          <w:color w:val="auto"/>
        </w:rPr>
      </w:pPr>
      <w:r>
        <w:rPr>
          <w:rFonts w:ascii="Courier New" w:cs="Courier New" w:eastAsia="Courier New" w:hAnsi="Courier New"/>
          <w:sz w:val="18"/>
          <w:szCs w:val="18"/>
          <w:color w:val="auto"/>
        </w:rPr>
        <w:t>Trustee of</w:t>
      </w:r>
    </w:p>
    <w:p>
      <w:pPr>
        <w:jc w:val="center"/>
        <w:ind w:right="7899"/>
        <w:spacing w:after="0"/>
        <w:rPr>
          <w:sz w:val="20"/>
          <w:szCs w:val="20"/>
          <w:color w:val="auto"/>
        </w:rPr>
      </w:pPr>
      <w:r>
        <w:rPr>
          <w:rFonts w:ascii="Courier New" w:cs="Courier New" w:eastAsia="Courier New" w:hAnsi="Courier New"/>
          <w:sz w:val="18"/>
          <w:szCs w:val="18"/>
          <w:color w:val="auto"/>
        </w:rPr>
        <w:t>Manufacturers and</w:t>
      </w:r>
    </w:p>
    <w:p>
      <w:pPr>
        <w:jc w:val="center"/>
        <w:ind w:right="7899"/>
        <w:spacing w:after="0" w:line="237" w:lineRule="auto"/>
        <w:rPr>
          <w:sz w:val="20"/>
          <w:szCs w:val="20"/>
          <w:color w:val="auto"/>
        </w:rPr>
      </w:pPr>
      <w:r>
        <w:rPr>
          <w:rFonts w:ascii="Courier New" w:cs="Courier New" w:eastAsia="Courier New" w:hAnsi="Courier New"/>
          <w:sz w:val="18"/>
          <w:szCs w:val="18"/>
          <w:color w:val="auto"/>
        </w:rPr>
        <w:t>Traders Trust Company</w:t>
      </w:r>
    </w:p>
    <w:p>
      <w:pPr>
        <w:jc w:val="center"/>
        <w:ind w:right="7899"/>
        <w:spacing w:after="0" w:line="238" w:lineRule="auto"/>
        <w:rPr>
          <w:sz w:val="20"/>
          <w:szCs w:val="20"/>
          <w:color w:val="auto"/>
        </w:rPr>
      </w:pPr>
      <w:r>
        <w:rPr>
          <w:rFonts w:ascii="Courier New" w:cs="Courier New" w:eastAsia="Courier New" w:hAnsi="Courier New"/>
          <w:sz w:val="18"/>
          <w:szCs w:val="18"/>
          <w:color w:val="auto"/>
        </w:rPr>
        <w:t>(Form T-1) (filed as</w:t>
      </w:r>
    </w:p>
    <w:p>
      <w:pPr>
        <w:jc w:val="center"/>
        <w:ind w:right="7899"/>
        <w:spacing w:after="0"/>
        <w:rPr>
          <w:sz w:val="20"/>
          <w:szCs w:val="20"/>
          <w:color w:val="auto"/>
        </w:rPr>
      </w:pPr>
      <w:r>
        <w:rPr>
          <w:rFonts w:ascii="Courier New" w:cs="Courier New" w:eastAsia="Courier New" w:hAnsi="Courier New"/>
          <w:sz w:val="18"/>
          <w:szCs w:val="18"/>
          <w:color w:val="auto"/>
        </w:rPr>
        <w:t>Exhibit 25 to the</w:t>
      </w:r>
    </w:p>
    <w:p>
      <w:pPr>
        <w:jc w:val="center"/>
        <w:ind w:right="789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7899"/>
        <w:spacing w:after="0"/>
        <w:rPr>
          <w:sz w:val="20"/>
          <w:szCs w:val="20"/>
          <w:color w:val="auto"/>
        </w:rPr>
      </w:pPr>
      <w:r>
        <w:rPr>
          <w:rFonts w:ascii="Courier New" w:cs="Courier New" w:eastAsia="Courier New" w:hAnsi="Courier New"/>
          <w:sz w:val="18"/>
          <w:szCs w:val="18"/>
          <w:color w:val="auto"/>
        </w:rPr>
        <w:t>Statement on Form S-4</w:t>
      </w:r>
    </w:p>
    <w:p>
      <w:pPr>
        <w:jc w:val="center"/>
        <w:ind w:right="7899"/>
        <w:spacing w:after="0" w:line="237" w:lineRule="auto"/>
        <w:rPr>
          <w:sz w:val="20"/>
          <w:szCs w:val="20"/>
          <w:color w:val="auto"/>
        </w:rPr>
      </w:pPr>
      <w:r>
        <w:rPr>
          <w:rFonts w:ascii="Courier New" w:cs="Courier New" w:eastAsia="Courier New" w:hAnsi="Courier New"/>
          <w:sz w:val="18"/>
          <w:szCs w:val="18"/>
          <w:color w:val="auto"/>
        </w:rPr>
        <w:t>(File no. 333-76739)</w:t>
      </w:r>
    </w:p>
    <w:p>
      <w:pPr>
        <w:jc w:val="center"/>
        <w:ind w:right="7899"/>
        <w:spacing w:after="0"/>
        <w:rPr>
          <w:sz w:val="20"/>
          <w:szCs w:val="20"/>
          <w:color w:val="auto"/>
        </w:rPr>
      </w:pPr>
      <w:r>
        <w:rPr>
          <w:rFonts w:ascii="Courier New" w:cs="Courier New" w:eastAsia="Courier New" w:hAnsi="Courier New"/>
          <w:sz w:val="18"/>
          <w:szCs w:val="18"/>
          <w:color w:val="auto"/>
        </w:rPr>
        <w:t>and incorporated by</w:t>
      </w:r>
    </w:p>
    <w:p>
      <w:pPr>
        <w:jc w:val="center"/>
        <w:ind w:right="7899"/>
        <w:spacing w:after="0" w:line="237" w:lineRule="auto"/>
        <w:rPr>
          <w:sz w:val="20"/>
          <w:szCs w:val="20"/>
          <w:color w:val="auto"/>
        </w:rPr>
      </w:pPr>
      <w:r>
        <w:rPr>
          <w:rFonts w:ascii="Courier New" w:cs="Courier New" w:eastAsia="Courier New" w:hAnsi="Courier New"/>
          <w:sz w:val="18"/>
          <w:szCs w:val="18"/>
          <w:color w:val="auto"/>
        </w:rPr>
        <w:t>reference herein).</w:t>
      </w:r>
    </w:p>
    <w:p>
      <w:pPr>
        <w:jc w:val="center"/>
        <w:ind w:right="7899"/>
        <w:spacing w:after="0"/>
        <w:rPr>
          <w:sz w:val="20"/>
          <w:szCs w:val="20"/>
          <w:color w:val="auto"/>
        </w:rPr>
      </w:pPr>
      <w:r>
        <w:rPr>
          <w:rFonts w:ascii="Courier New" w:cs="Courier New" w:eastAsia="Courier New" w:hAnsi="Courier New"/>
          <w:sz w:val="18"/>
          <w:szCs w:val="18"/>
          <w:color w:val="auto"/>
        </w:rPr>
        <w:t>99.1 Letter of</w:t>
      </w:r>
    </w:p>
    <w:p>
      <w:pPr>
        <w:jc w:val="center"/>
        <w:ind w:right="7899"/>
        <w:spacing w:after="0" w:line="237" w:lineRule="auto"/>
        <w:rPr>
          <w:sz w:val="20"/>
          <w:szCs w:val="20"/>
          <w:color w:val="auto"/>
        </w:rPr>
      </w:pPr>
      <w:r>
        <w:rPr>
          <w:rFonts w:ascii="Courier New" w:cs="Courier New" w:eastAsia="Courier New" w:hAnsi="Courier New"/>
          <w:sz w:val="18"/>
          <w:szCs w:val="18"/>
          <w:color w:val="auto"/>
        </w:rPr>
        <w:t>Transmittal 99.2</w:t>
      </w:r>
    </w:p>
    <w:p>
      <w:pPr>
        <w:jc w:val="center"/>
        <w:ind w:right="7899"/>
        <w:spacing w:after="0" w:line="238" w:lineRule="auto"/>
        <w:rPr>
          <w:sz w:val="20"/>
          <w:szCs w:val="20"/>
          <w:color w:val="auto"/>
        </w:rPr>
      </w:pPr>
      <w:r>
        <w:rPr>
          <w:rFonts w:ascii="Courier New" w:cs="Courier New" w:eastAsia="Courier New" w:hAnsi="Courier New"/>
          <w:sz w:val="18"/>
          <w:szCs w:val="18"/>
          <w:color w:val="auto"/>
        </w:rPr>
        <w:t>Notice of Guaranteed</w:t>
      </w:r>
    </w:p>
    <w:p>
      <w:pPr>
        <w:sectPr>
          <w:pgSz w:w="11900" w:h="16838" w:orient="portrait"/>
          <w:cols w:equalWidth="0" w:num="1">
            <w:col w:w="10219"/>
          </w:cols>
          <w:pgMar w:left="240" w:top="717" w:right="1440" w:bottom="0" w:gutter="0" w:footer="0" w:header="0"/>
        </w:sectPr>
      </w:pPr>
    </w:p>
    <w:bookmarkStart w:id="111" w:name="page112"/>
    <w:bookmarkEnd w:id="111"/>
    <w:p>
      <w:pPr>
        <w:jc w:val="center"/>
        <w:ind w:right="7959"/>
        <w:spacing w:after="0"/>
        <w:rPr>
          <w:sz w:val="20"/>
          <w:szCs w:val="20"/>
          <w:color w:val="auto"/>
        </w:rPr>
      </w:pPr>
      <w:r>
        <w:rPr>
          <w:rFonts w:ascii="Courier New" w:cs="Courier New" w:eastAsia="Courier New" w:hAnsi="Courier New"/>
          <w:sz w:val="18"/>
          <w:szCs w:val="18"/>
          <w:color w:val="auto"/>
        </w:rPr>
        <w:t>Delivery 99.3 Letter</w:t>
      </w:r>
    </w:p>
    <w:p>
      <w:pPr>
        <w:jc w:val="center"/>
        <w:ind w:right="7959"/>
        <w:spacing w:after="0" w:line="238" w:lineRule="auto"/>
        <w:rPr>
          <w:sz w:val="20"/>
          <w:szCs w:val="20"/>
          <w:color w:val="auto"/>
        </w:rPr>
      </w:pPr>
      <w:r>
        <w:rPr>
          <w:rFonts w:ascii="Courier New" w:cs="Courier New" w:eastAsia="Courier New" w:hAnsi="Courier New"/>
          <w:sz w:val="18"/>
          <w:szCs w:val="18"/>
          <w:color w:val="auto"/>
        </w:rPr>
        <w:t>to DTC Participants</w:t>
      </w:r>
    </w:p>
    <w:p>
      <w:pPr>
        <w:jc w:val="center"/>
        <w:ind w:right="7959"/>
        <w:spacing w:after="0"/>
        <w:rPr>
          <w:sz w:val="20"/>
          <w:szCs w:val="20"/>
          <w:color w:val="auto"/>
        </w:rPr>
      </w:pPr>
      <w:r>
        <w:rPr>
          <w:rFonts w:ascii="Courier New" w:cs="Courier New" w:eastAsia="Courier New" w:hAnsi="Courier New"/>
          <w:sz w:val="18"/>
          <w:szCs w:val="18"/>
          <w:color w:val="auto"/>
        </w:rPr>
        <w:t>99.4 Letter to</w:t>
      </w:r>
    </w:p>
    <w:p>
      <w:pPr>
        <w:jc w:val="center"/>
        <w:ind w:right="7959"/>
        <w:spacing w:after="0" w:line="237" w:lineRule="auto"/>
        <w:rPr>
          <w:sz w:val="20"/>
          <w:szCs w:val="20"/>
          <w:color w:val="auto"/>
        </w:rPr>
      </w:pPr>
      <w:r>
        <w:rPr>
          <w:rFonts w:ascii="Courier New" w:cs="Courier New" w:eastAsia="Courier New" w:hAnsi="Courier New"/>
          <w:sz w:val="18"/>
          <w:szCs w:val="18"/>
          <w:color w:val="auto"/>
        </w:rPr>
        <w:t>Beneficial Holders</w:t>
      </w:r>
    </w:p>
    <w:p>
      <w:pPr>
        <w:jc w:val="center"/>
        <w:ind w:right="7959"/>
        <w:spacing w:after="0" w:line="238" w:lineRule="auto"/>
        <w:rPr>
          <w:sz w:val="20"/>
          <w:szCs w:val="20"/>
          <w:color w:val="auto"/>
        </w:rPr>
      </w:pPr>
      <w:r>
        <w:rPr>
          <w:rFonts w:ascii="Courier New" w:cs="Courier New" w:eastAsia="Courier New" w:hAnsi="Courier New"/>
          <w:sz w:val="18"/>
          <w:szCs w:val="18"/>
          <w:color w:val="auto"/>
        </w:rPr>
        <w:t>99.5 Guidelines for</w:t>
      </w:r>
    </w:p>
    <w:p>
      <w:pPr>
        <w:jc w:val="center"/>
        <w:ind w:right="7959"/>
        <w:spacing w:after="0"/>
        <w:rPr>
          <w:sz w:val="20"/>
          <w:szCs w:val="20"/>
          <w:color w:val="auto"/>
        </w:rPr>
      </w:pPr>
      <w:r>
        <w:rPr>
          <w:rFonts w:ascii="Courier New" w:cs="Courier New" w:eastAsia="Courier New" w:hAnsi="Courier New"/>
          <w:sz w:val="18"/>
          <w:szCs w:val="18"/>
          <w:color w:val="auto"/>
        </w:rPr>
        <w:t>Certification of</w:t>
      </w:r>
    </w:p>
    <w:p>
      <w:pPr>
        <w:jc w:val="center"/>
        <w:ind w:right="7959"/>
        <w:spacing w:after="0" w:line="237" w:lineRule="auto"/>
        <w:rPr>
          <w:sz w:val="20"/>
          <w:szCs w:val="20"/>
          <w:color w:val="auto"/>
        </w:rPr>
      </w:pPr>
      <w:r>
        <w:rPr>
          <w:rFonts w:ascii="Courier New" w:cs="Courier New" w:eastAsia="Courier New" w:hAnsi="Courier New"/>
          <w:sz w:val="18"/>
          <w:szCs w:val="18"/>
          <w:color w:val="auto"/>
        </w:rPr>
        <w:t>Taxpayer</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Identification Number</w:t>
      </w:r>
    </w:p>
    <w:p>
      <w:pPr>
        <w:spacing w:after="0" w:line="21"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on Substitute Form W-</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II-11</w:t>
      </w:r>
    </w:p>
    <w:p>
      <w:pPr>
        <w:sectPr>
          <w:pgSz w:w="11900" w:h="16838" w:orient="portrait"/>
          <w:cols w:equalWidth="0" w:num="1">
            <w:col w:w="10159"/>
          </w:cols>
          <w:pgMar w:left="300" w:top="136" w:right="1440" w:bottom="1440" w:gutter="0" w:footer="0" w:header="0"/>
        </w:sectPr>
      </w:pPr>
    </w:p>
    <w:bookmarkStart w:id="112" w:name="page113"/>
    <w:bookmarkEnd w:id="112"/>
    <w:p>
      <w:pPr>
        <w:jc w:val="right"/>
        <w:ind w:right="1779"/>
        <w:spacing w:after="0"/>
        <w:rPr>
          <w:sz w:val="20"/>
          <w:szCs w:val="20"/>
          <w:color w:val="auto"/>
        </w:rPr>
      </w:pPr>
      <w:r>
        <w:rPr>
          <w:rFonts w:ascii="Courier New" w:cs="Courier New" w:eastAsia="Courier New" w:hAnsi="Courier New"/>
          <w:sz w:val="18"/>
          <w:szCs w:val="18"/>
          <w:color w:val="auto"/>
        </w:rPr>
        <w:t>Exhibit 4.2</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SUPPLEMENTAL INDENTURE</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SUPPLEMENTAL INDENTURE (the "Supplemental Indenture") dated as of February 6, 2002 by and among The Scotts Company, an Ohio corporation (the "Company"), Scotts Manufacturing Company ("Scotts Manufacturing," as successor by merger to Scotts Miracle-Gro Products, Inc.), Scotts Temecula Operations, LLC ("Scotts Temecula", as successor by merger to Republic Tool &amp; Manufacturing Corp.) and the other guarantors named on the signature pages hereto (collectively with Scotts Manufacturing and Scotts Temecula, the "Guarantors") and State Street Bank and Trust Company, as trustee (the "Trustee"). Capitalized terms used but not defined herein shall have the meanings assigned to such terms in the Indenture (as defined below).</w:t>
      </w: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WHEREAS, the Company, the Guarantors (including the predecessors of Scotts Manufacturing and Scotts Temecula) and the Trustee previously duly executed, and the Company and the Guarantors (including the predecessors of Scotts Manufacturing and Scotts Temecula) duly delivered to the Trustee, an Indenture (the "Indenture") dated as of January 21, 1999 providing for the issuance of an aggregate principal amount of up to $400,000,000 of 8.625% Senior Subordinated Notes due 2009 (the "Notes");</w:t>
      </w:r>
    </w:p>
    <w:p>
      <w:pPr>
        <w:spacing w:after="0" w:line="211"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WHEREAS, the Company previously issued $330,000,000 of the Notes as of January 21, 1999 (the "Initial Notes") and now wishes to issue the remaining $70,000,000 of the Notes permitted to be issued under the Indenture (the "Additional Notes");</w:t>
      </w:r>
    </w:p>
    <w:p>
      <w:pPr>
        <w:spacing w:after="0" w:line="207" w:lineRule="exact"/>
        <w:rPr>
          <w:sz w:val="20"/>
          <w:szCs w:val="20"/>
          <w:color w:val="auto"/>
        </w:rPr>
      </w:pPr>
    </w:p>
    <w:p>
      <w:pPr>
        <w:ind w:right="2099" w:firstLine="1896"/>
        <w:spacing w:after="0" w:line="290" w:lineRule="auto"/>
        <w:rPr>
          <w:sz w:val="20"/>
          <w:szCs w:val="20"/>
          <w:color w:val="auto"/>
        </w:rPr>
      </w:pPr>
      <w:r>
        <w:rPr>
          <w:rFonts w:ascii="Courier New" w:cs="Courier New" w:eastAsia="Courier New" w:hAnsi="Courier New"/>
          <w:sz w:val="16"/>
          <w:szCs w:val="16"/>
          <w:color w:val="auto"/>
        </w:rPr>
        <w:t>WHEREAS, a supplemental indenture is required to be entered into in connection with the merger of Guarantors pursuant to Section 11.05;</w:t>
      </w:r>
    </w:p>
    <w:p>
      <w:pPr>
        <w:spacing w:after="0" w:line="170"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WHEREAS, the Company desires to amend certain provisions to provide for the issuance of Additional Notes;</w:t>
      </w:r>
    </w:p>
    <w:p>
      <w:pPr>
        <w:spacing w:after="0" w:line="208"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WHEREAS, the Indenture provides that a Subsidiary required to execute a Guarantee of the Notes shall execute and deliver a supplemental indenture to the Trustee in connection therewith;</w:t>
      </w:r>
    </w:p>
    <w:p>
      <w:pPr>
        <w:spacing w:after="0" w:line="209" w:lineRule="exact"/>
        <w:rPr>
          <w:sz w:val="20"/>
          <w:szCs w:val="20"/>
          <w:color w:val="auto"/>
        </w:rPr>
      </w:pPr>
    </w:p>
    <w:p>
      <w:pPr>
        <w:ind w:right="1879" w:firstLine="1896"/>
        <w:spacing w:after="0" w:line="290" w:lineRule="auto"/>
        <w:rPr>
          <w:sz w:val="20"/>
          <w:szCs w:val="20"/>
          <w:color w:val="auto"/>
        </w:rPr>
      </w:pPr>
      <w:r>
        <w:rPr>
          <w:rFonts w:ascii="Courier New" w:cs="Courier New" w:eastAsia="Courier New" w:hAnsi="Courier New"/>
          <w:sz w:val="16"/>
          <w:szCs w:val="16"/>
          <w:color w:val="auto"/>
        </w:rPr>
        <w:t>WHEREAS, the Board of Directors of the Company has authorized the execution of this Supplemental Indenture and its delivery to the Trustee;</w:t>
      </w:r>
    </w:p>
    <w:p>
      <w:pPr>
        <w:spacing w:after="0" w:line="170"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WHEREAS, the Company has delivered an Officers' Certificate and an Opinion of Counsel to the Trustee pursuant to Sections 7.02 and 13.04 of the Indenture; and</w:t>
      </w:r>
    </w:p>
    <w:p>
      <w:pPr>
        <w:spacing w:after="0" w:line="209" w:lineRule="exact"/>
        <w:rPr>
          <w:sz w:val="20"/>
          <w:szCs w:val="20"/>
          <w:color w:val="auto"/>
        </w:rPr>
      </w:pPr>
    </w:p>
    <w:p>
      <w:pPr>
        <w:ind w:right="1779" w:firstLine="1896"/>
        <w:spacing w:after="0" w:line="279" w:lineRule="auto"/>
        <w:rPr>
          <w:sz w:val="20"/>
          <w:szCs w:val="20"/>
          <w:color w:val="auto"/>
        </w:rPr>
      </w:pPr>
      <w:r>
        <w:rPr>
          <w:rFonts w:ascii="Courier New" w:cs="Courier New" w:eastAsia="Courier New" w:hAnsi="Courier New"/>
          <w:sz w:val="16"/>
          <w:szCs w:val="16"/>
          <w:color w:val="auto"/>
        </w:rPr>
        <w:t>WHEREAS, all other actions necessary to make this Supplemental Indenture a legal, valid and binding obligation of the parties hereto in accordance with its terms and the terms of the Indenture have been performed;</w:t>
      </w:r>
    </w:p>
    <w:p>
      <w:pPr>
        <w:spacing w:after="0" w:line="178" w:lineRule="exact"/>
        <w:rPr>
          <w:sz w:val="20"/>
          <w:szCs w:val="20"/>
          <w:color w:val="auto"/>
        </w:rPr>
      </w:pPr>
    </w:p>
    <w:p>
      <w:pPr>
        <w:ind w:right="2319" w:firstLine="1896"/>
        <w:spacing w:after="0" w:line="236" w:lineRule="auto"/>
        <w:rPr>
          <w:sz w:val="20"/>
          <w:szCs w:val="20"/>
          <w:color w:val="auto"/>
        </w:rPr>
      </w:pPr>
      <w:r>
        <w:rPr>
          <w:rFonts w:ascii="Courier New" w:cs="Courier New" w:eastAsia="Courier New" w:hAnsi="Courier New"/>
          <w:sz w:val="18"/>
          <w:szCs w:val="18"/>
          <w:color w:val="auto"/>
        </w:rPr>
        <w:t>NOW, THEREFORE, in consideration of the foregoing and for other good and valuable consideration, the receipt of which is hereby acknowledged, the Guarantors, the</w:t>
      </w:r>
    </w:p>
    <w:p>
      <w:pPr>
        <w:sectPr>
          <w:pgSz w:w="11900" w:h="16838" w:orient="portrait"/>
          <w:cols w:equalWidth="0" w:num="1">
            <w:col w:w="10219"/>
          </w:cols>
          <w:pgMar w:left="240" w:top="541" w:right="1440" w:bottom="1440" w:gutter="0" w:footer="0" w:header="0"/>
        </w:sectPr>
      </w:pPr>
    </w:p>
    <w:bookmarkStart w:id="113" w:name="page114"/>
    <w:bookmarkEnd w:id="113"/>
    <w:p>
      <w:pPr>
        <w:jc w:val="right"/>
        <w:ind w:right="1779"/>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Company and the Trustee mutually covenant and agree for the equal and ratable benefit of the Holders of the Notes as follows: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 AMENDMENTS TO INDENTURE.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 Section 1.01 of the Indenture shall be amended as follows:</w:t>
      </w:r>
    </w:p>
    <w:p>
      <w:pPr>
        <w:spacing w:after="0" w:line="207" w:lineRule="exact"/>
        <w:rPr>
          <w:sz w:val="20"/>
          <w:szCs w:val="20"/>
          <w:color w:val="auto"/>
        </w:rPr>
      </w:pPr>
    </w:p>
    <w:p>
      <w:pPr>
        <w:ind w:right="1999" w:firstLine="956"/>
        <w:spacing w:after="0" w:line="235" w:lineRule="auto"/>
        <w:tabs>
          <w:tab w:leader="none" w:pos="1369"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deleting the definition of "Additional Notes" and substituting in lieu thereof the following:</w:t>
      </w:r>
    </w:p>
    <w:p>
      <w:pPr>
        <w:spacing w:after="0" w:line="208"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"Additional Notes" means up to $70.0 million in aggregate principal amount of Notes (other than the Initial Notes) issued under this Indenture in accordance with Sections 2.02 and 4.09 hereof.</w:t>
      </w:r>
    </w:p>
    <w:p>
      <w:pPr>
        <w:spacing w:after="0" w:line="209" w:lineRule="exact"/>
        <w:rPr>
          <w:sz w:val="20"/>
          <w:szCs w:val="20"/>
          <w:color w:val="auto"/>
        </w:rPr>
      </w:pPr>
    </w:p>
    <w:p>
      <w:pPr>
        <w:ind w:right="1999" w:firstLine="956"/>
        <w:spacing w:after="0" w:line="235" w:lineRule="auto"/>
        <w:tabs>
          <w:tab w:leader="none" w:pos="1369"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deleting the definition of "Initial Notes" and substituting in lieu thereof the following:</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"Initial Notes" means $330.0 million in aggregate principal amount of Notes issued under this Indenture on January 21, 1999.</w:t>
      </w:r>
    </w:p>
    <w:p>
      <w:pPr>
        <w:spacing w:after="0" w:line="208" w:lineRule="exact"/>
        <w:rPr>
          <w:sz w:val="20"/>
          <w:szCs w:val="20"/>
          <w:color w:val="auto"/>
        </w:rPr>
      </w:pPr>
    </w:p>
    <w:p>
      <w:pPr>
        <w:ind w:right="1879" w:firstLine="956"/>
        <w:spacing w:after="0" w:line="235" w:lineRule="auto"/>
        <w:tabs>
          <w:tab w:leader="none" w:pos="1369"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deleting the definition of "Initial Purchaser" and substituting in lieu thereof the following:</w:t>
      </w:r>
    </w:p>
    <w:p>
      <w:pPr>
        <w:spacing w:after="0" w:line="20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"Initial Purchaser" shall have the meaning assigned to such term in the Offering Memoranda.</w:t>
      </w:r>
    </w:p>
    <w:p>
      <w:pPr>
        <w:spacing w:after="0" w:line="208" w:lineRule="exact"/>
        <w:rPr>
          <w:sz w:val="20"/>
          <w:szCs w:val="20"/>
          <w:color w:val="auto"/>
        </w:rPr>
      </w:pPr>
    </w:p>
    <w:p>
      <w:pPr>
        <w:ind w:right="1779" w:firstLine="956"/>
        <w:spacing w:after="0" w:line="235" w:lineRule="auto"/>
        <w:tabs>
          <w:tab w:leader="none" w:pos="1369"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deleting the definition of "Liquidated Damages" and substituting in lieu thereof the following:</w:t>
      </w:r>
    </w:p>
    <w:p>
      <w:pPr>
        <w:spacing w:after="0" w:line="208" w:lineRule="exact"/>
        <w:rPr>
          <w:sz w:val="20"/>
          <w:szCs w:val="20"/>
          <w:color w:val="auto"/>
        </w:rPr>
      </w:pPr>
    </w:p>
    <w:p>
      <w:pPr>
        <w:ind w:right="2939" w:firstLine="948"/>
        <w:spacing w:after="0" w:line="235" w:lineRule="auto"/>
        <w:rPr>
          <w:sz w:val="20"/>
          <w:szCs w:val="20"/>
          <w:color w:val="auto"/>
        </w:rPr>
      </w:pPr>
      <w:r>
        <w:rPr>
          <w:rFonts w:ascii="Courier New" w:cs="Courier New" w:eastAsia="Courier New" w:hAnsi="Courier New"/>
          <w:sz w:val="18"/>
          <w:szCs w:val="18"/>
          <w:color w:val="auto"/>
        </w:rPr>
        <w:t>"Liquidated Damages" means all amounts owing pursuant to the Registration Rights Agreement.</w:t>
      </w:r>
    </w:p>
    <w:p>
      <w:pPr>
        <w:spacing w:after="0" w:line="208" w:lineRule="exact"/>
        <w:rPr>
          <w:sz w:val="20"/>
          <w:szCs w:val="20"/>
          <w:color w:val="auto"/>
        </w:rPr>
      </w:pPr>
    </w:p>
    <w:p>
      <w:pPr>
        <w:ind w:right="3039" w:firstLine="956"/>
        <w:spacing w:after="0" w:line="235" w:lineRule="auto"/>
        <w:tabs>
          <w:tab w:leader="none" w:pos="1369"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deleting the definition of "Offering Memorandum" and substituting in lieu thereof the following:</w:t>
      </w:r>
    </w:p>
    <w:p>
      <w:pPr>
        <w:spacing w:after="0" w:line="208"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"Offering Memoranda" means the Offering Memorandum, dated January 21, 1999, pursuant to which the Initial Notes were offered and sold, and the Offering Memorandum, dated February 1, 2002, pursuant to which the Additional Notes were offered and sold.</w:t>
      </w:r>
    </w:p>
    <w:p>
      <w:pPr>
        <w:spacing w:after="0" w:line="202"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II. Exhibits A-1 and A-2 to the Indenture shall be amended as</w:t>
      </w:r>
    </w:p>
    <w:p>
      <w:pPr>
        <w:ind w:left="960"/>
        <w:spacing w:after="0" w:line="238" w:lineRule="auto"/>
        <w:rPr>
          <w:sz w:val="20"/>
          <w:szCs w:val="20"/>
          <w:color w:val="auto"/>
        </w:rPr>
      </w:pPr>
      <w:r>
        <w:rPr>
          <w:rFonts w:ascii="Courier New" w:cs="Courier New" w:eastAsia="Courier New" w:hAnsi="Courier New"/>
          <w:sz w:val="18"/>
          <w:szCs w:val="18"/>
          <w:color w:val="auto"/>
        </w:rPr>
        <w:t>follows:</w:t>
      </w:r>
    </w:p>
    <w:p>
      <w:pPr>
        <w:spacing w:after="0" w:line="200" w:lineRule="exact"/>
        <w:rPr>
          <w:sz w:val="20"/>
          <w:szCs w:val="20"/>
          <w:color w:val="auto"/>
        </w:rPr>
      </w:pPr>
    </w:p>
    <w:p>
      <w:pPr>
        <w:spacing w:after="0" w:line="210" w:lineRule="exact"/>
        <w:rPr>
          <w:sz w:val="20"/>
          <w:szCs w:val="20"/>
          <w:color w:val="auto"/>
        </w:rPr>
      </w:pPr>
    </w:p>
    <w:p>
      <w:pPr>
        <w:jc w:val="both"/>
        <w:ind w:left="960" w:right="1779" w:firstLine="944"/>
        <w:spacing w:after="0" w:line="236" w:lineRule="auto"/>
        <w:tabs>
          <w:tab w:leader="none" w:pos="2329"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deleting the first sentence of Section 1 in Exhibit A-1 and in Exhibit A-2 entitled "Interest" and substituting in lieu thereof the following:</w:t>
      </w:r>
    </w:p>
    <w:p>
      <w:pPr>
        <w:spacing w:after="0" w:line="209" w:lineRule="exact"/>
        <w:rPr>
          <w:sz w:val="20"/>
          <w:szCs w:val="20"/>
          <w:color w:val="auto"/>
        </w:rPr>
      </w:pPr>
    </w:p>
    <w:p>
      <w:pPr>
        <w:ind w:left="960" w:right="1779" w:firstLine="948"/>
        <w:spacing w:after="0" w:line="237" w:lineRule="auto"/>
        <w:rPr>
          <w:sz w:val="20"/>
          <w:szCs w:val="20"/>
          <w:color w:val="auto"/>
        </w:rPr>
      </w:pPr>
      <w:r>
        <w:rPr>
          <w:rFonts w:ascii="Courier New" w:cs="Courier New" w:eastAsia="Courier New" w:hAnsi="Courier New"/>
          <w:sz w:val="18"/>
          <w:szCs w:val="18"/>
          <w:color w:val="auto"/>
        </w:rPr>
        <w:t>"The Scotts Company, an Ohio corporation (the "Company"), promises to pay interest on the principal amount of this Note at 8.625% per annum from February 6, 2002 until maturity and shall pay the Liquidated Damages payable pursuant to the Registration Rights Agreement."</w:t>
      </w:r>
    </w:p>
    <w:p>
      <w:pPr>
        <w:sectPr>
          <w:pgSz w:w="11900" w:h="16838" w:orient="portrait"/>
          <w:cols w:equalWidth="0" w:num="1">
            <w:col w:w="10219"/>
          </w:cols>
          <w:pgMar w:left="240" w:top="514" w:right="1440" w:bottom="1440" w:gutter="0" w:footer="0" w:header="0"/>
        </w:sectPr>
      </w:pPr>
    </w:p>
    <w:bookmarkStart w:id="114" w:name="page115"/>
    <w:bookmarkEnd w:id="114"/>
    <w:p>
      <w:pPr>
        <w:jc w:val="right"/>
        <w:ind w:right="1779"/>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jc w:val="both"/>
        <w:ind w:left="960" w:right="1779" w:firstLine="944"/>
        <w:spacing w:after="0" w:line="236" w:lineRule="auto"/>
        <w:tabs>
          <w:tab w:leader="none" w:pos="2329"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deleting the third sentence of Section 1 in Exhibit A-1 and in Exhibit A-2 entitled "Interest" and substituting in lieu thereof the following:</w:t>
      </w:r>
    </w:p>
    <w:p>
      <w:pPr>
        <w:spacing w:after="0" w:line="209"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"Interest on the Notes shall accrue from the most recent date to which interest has been paid or, if no interest has been paid, from the date of issuance; provided that if there is no existing Default in the payment of interest, and if this Note is authenticated between a record date referred to on the face hereof and the next succeeding Interest Payment Date, interest shall accrue from such next succeeding Interest Payment Date; provided, further, that the first Interest Payment Date shall be July 15, 2002."</w:t>
      </w:r>
    </w:p>
    <w:p>
      <w:pPr>
        <w:spacing w:after="0" w:line="188" w:lineRule="exact"/>
        <w:rPr>
          <w:sz w:val="20"/>
          <w:szCs w:val="20"/>
          <w:color w:val="auto"/>
        </w:rPr>
      </w:pPr>
    </w:p>
    <w:p>
      <w:pPr>
        <w:ind w:right="1999" w:firstLine="1904"/>
        <w:spacing w:after="0" w:line="237" w:lineRule="auto"/>
        <w:tabs>
          <w:tab w:leader="none" w:pos="2212"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ADDITIONAL NOTES AND GUARANTEES. The Company agrees to issue the Additional Notes and the Guarantors each agree to unconditionally guarantee all of the Company's obligations under the Notes, in each case in accordance with the terms and conditions set forth in the Indenture.</w:t>
      </w:r>
    </w:p>
    <w:p>
      <w:pPr>
        <w:spacing w:after="0" w:line="208" w:lineRule="exact"/>
        <w:rPr>
          <w:rFonts w:ascii="Courier New" w:cs="Courier New" w:eastAsia="Courier New" w:hAnsi="Courier New"/>
          <w:sz w:val="18"/>
          <w:szCs w:val="18"/>
          <w:color w:val="auto"/>
        </w:rPr>
      </w:pPr>
    </w:p>
    <w:p>
      <w:pPr>
        <w:ind w:right="2419" w:firstLine="1904"/>
        <w:spacing w:after="0" w:line="235" w:lineRule="auto"/>
        <w:tabs>
          <w:tab w:leader="none" w:pos="2212"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TO GUARANTEE BY GUARANTORS. Each Guarantor hereby agrees as follows:</w:t>
      </w:r>
    </w:p>
    <w:p>
      <w:pPr>
        <w:spacing w:after="0" w:line="208" w:lineRule="exact"/>
        <w:rPr>
          <w:sz w:val="20"/>
          <w:szCs w:val="20"/>
          <w:color w:val="auto"/>
        </w:rPr>
      </w:pPr>
    </w:p>
    <w:p>
      <w:pPr>
        <w:ind w:left="1900" w:right="1779" w:firstLine="4"/>
        <w:spacing w:after="0" w:line="237" w:lineRule="auto"/>
        <w:tabs>
          <w:tab w:leader="none" w:pos="2321"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Along with the other Guarantors, to jointly and severally Guarantee to each Holder of a Note authenticated and delivered by the Trustee and to the Trustee and its successors and assigns irrespective of the validity and unenforceability of the Indenture, the Notes or the obligations of the Company hereunder or thereunder, that:</w:t>
      </w:r>
    </w:p>
    <w:p>
      <w:pPr>
        <w:spacing w:after="0" w:line="209" w:lineRule="exact"/>
        <w:rPr>
          <w:rFonts w:ascii="Courier New" w:cs="Courier New" w:eastAsia="Courier New" w:hAnsi="Courier New"/>
          <w:sz w:val="18"/>
          <w:szCs w:val="18"/>
          <w:color w:val="auto"/>
        </w:rPr>
      </w:pPr>
    </w:p>
    <w:p>
      <w:pPr>
        <w:ind w:left="3800" w:right="1779" w:hanging="948"/>
        <w:spacing w:after="0" w:line="237" w:lineRule="auto"/>
        <w:tabs>
          <w:tab w:leader="none" w:pos="3800" w:val="left"/>
        </w:tabs>
        <w:numPr>
          <w:ilvl w:val="1"/>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and interest on the Notes will be promptly paid in full when due, whether at maturity, by acceleration, redemption or otherwise, and interest on the overdue principal of and interest on the Notes, if any, if lawful, and all other obligations of the Company to the Holders or the Trustee hereunder or thereunder will be promptly paid in full or performed, all in accordance with the terms hereof and thereof; and</w:t>
      </w:r>
    </w:p>
    <w:p>
      <w:pPr>
        <w:spacing w:after="0" w:line="215" w:lineRule="exact"/>
        <w:rPr>
          <w:rFonts w:ascii="Courier New" w:cs="Courier New" w:eastAsia="Courier New" w:hAnsi="Courier New"/>
          <w:sz w:val="18"/>
          <w:szCs w:val="18"/>
          <w:color w:val="auto"/>
        </w:rPr>
      </w:pPr>
    </w:p>
    <w:p>
      <w:pPr>
        <w:ind w:left="3800" w:right="1779" w:hanging="948"/>
        <w:spacing w:after="0" w:line="270" w:lineRule="auto"/>
        <w:tabs>
          <w:tab w:leader="none" w:pos="3800" w:val="left"/>
        </w:tabs>
        <w:numPr>
          <w:ilvl w:val="1"/>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any extension of time of payment or renewal of any Notes or any of such other obligations, that same will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w:t>
      </w:r>
    </w:p>
    <w:p>
      <w:pPr>
        <w:spacing w:after="0" w:line="187" w:lineRule="exact"/>
        <w:rPr>
          <w:rFonts w:ascii="Courier New" w:cs="Courier New" w:eastAsia="Courier New" w:hAnsi="Courier New"/>
          <w:sz w:val="16"/>
          <w:szCs w:val="16"/>
          <w:color w:val="auto"/>
        </w:rPr>
      </w:pPr>
    </w:p>
    <w:p>
      <w:pPr>
        <w:ind w:left="1900" w:right="1779" w:firstLine="4"/>
        <w:spacing w:after="0" w:line="237" w:lineRule="auto"/>
        <w:tabs>
          <w:tab w:leader="none" w:pos="2321"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hereunder shall be unconditional, irrespective of the validity, regularity or enforceability of the Notes or the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w:t>
      </w:r>
    </w:p>
    <w:p>
      <w:pPr>
        <w:sectPr>
          <w:pgSz w:w="11900" w:h="16838" w:orient="portrait"/>
          <w:cols w:equalWidth="0" w:num="1">
            <w:col w:w="10219"/>
          </w:cols>
          <w:pgMar w:left="240" w:top="514" w:right="1440" w:bottom="1440" w:gutter="0" w:footer="0" w:header="0"/>
        </w:sectPr>
      </w:pPr>
    </w:p>
    <w:bookmarkStart w:id="115" w:name="page116"/>
    <w:bookmarkEnd w:id="115"/>
    <w:p>
      <w:pPr>
        <w:jc w:val="right"/>
        <w:ind w:right="1779"/>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left="1900" w:right="1879" w:firstLine="4"/>
        <w:spacing w:after="0" w:line="237" w:lineRule="auto"/>
        <w:tabs>
          <w:tab w:leader="none" w:pos="2321"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is hereby waived: diligence, presentment, demand of payment, filing of claims with a court in the event of insolvency or bankruptcy of the Company, any right to require a proceeding first against the Company, protest, notice and all demands whatsoever.</w:t>
      </w:r>
    </w:p>
    <w:p>
      <w:pPr>
        <w:spacing w:after="0" w:line="208" w:lineRule="exact"/>
        <w:rPr>
          <w:rFonts w:ascii="Courier New" w:cs="Courier New" w:eastAsia="Courier New" w:hAnsi="Courier New"/>
          <w:sz w:val="18"/>
          <w:szCs w:val="18"/>
          <w:color w:val="auto"/>
        </w:rPr>
      </w:pPr>
    </w:p>
    <w:p>
      <w:pPr>
        <w:ind w:left="1900" w:right="1999" w:firstLine="4"/>
        <w:spacing w:after="0" w:line="275" w:lineRule="auto"/>
        <w:tabs>
          <w:tab w:leader="none" w:pos="2321"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Subsidiary Guarantees shall not be discharged except by complete performance of the obligations contained in the Notes and the Indenture, and each Guarantor accepts all obligations of an Initial Guarantor under the Indenture.</w:t>
      </w:r>
    </w:p>
    <w:p>
      <w:pPr>
        <w:spacing w:after="0" w:line="182" w:lineRule="exact"/>
        <w:rPr>
          <w:rFonts w:ascii="Courier New" w:cs="Courier New" w:eastAsia="Courier New" w:hAnsi="Courier New"/>
          <w:sz w:val="16"/>
          <w:szCs w:val="16"/>
          <w:color w:val="auto"/>
        </w:rPr>
      </w:pPr>
    </w:p>
    <w:p>
      <w:pPr>
        <w:ind w:left="1900" w:right="1999" w:firstLine="4"/>
        <w:spacing w:after="0" w:line="271" w:lineRule="auto"/>
        <w:tabs>
          <w:tab w:leader="none" w:pos="2321"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the Subsidiary Guarantees, to the extent theretofore discharged, shall be reinstated in full force and effect.</w:t>
      </w:r>
    </w:p>
    <w:p>
      <w:pPr>
        <w:spacing w:after="0" w:line="187" w:lineRule="exact"/>
        <w:rPr>
          <w:rFonts w:ascii="Courier New" w:cs="Courier New" w:eastAsia="Courier New" w:hAnsi="Courier New"/>
          <w:sz w:val="16"/>
          <w:szCs w:val="16"/>
          <w:color w:val="auto"/>
        </w:rPr>
      </w:pPr>
    </w:p>
    <w:p>
      <w:pPr>
        <w:jc w:val="both"/>
        <w:ind w:left="1900" w:right="2199" w:firstLine="4"/>
        <w:spacing w:after="0" w:line="237" w:lineRule="auto"/>
        <w:tabs>
          <w:tab w:leader="none" w:pos="2321"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Guarantor shall not be entitled to any right of subrogation in relation to the Holders in respect of any obligations guaranteed hereby until payment in full of all obligations guaranteed hereby.</w:t>
      </w:r>
    </w:p>
    <w:p>
      <w:pPr>
        <w:spacing w:after="0" w:line="207" w:lineRule="exact"/>
        <w:rPr>
          <w:rFonts w:ascii="Courier New" w:cs="Courier New" w:eastAsia="Courier New" w:hAnsi="Courier New"/>
          <w:sz w:val="18"/>
          <w:szCs w:val="18"/>
          <w:color w:val="auto"/>
        </w:rPr>
      </w:pPr>
    </w:p>
    <w:p>
      <w:pPr>
        <w:ind w:left="1900" w:right="1779" w:firstLine="4"/>
        <w:spacing w:after="0" w:line="238" w:lineRule="auto"/>
        <w:tabs>
          <w:tab w:leader="none" w:pos="2321"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between the Guarantors, on the one hand, and the Holders and the Trustee, on the other hand, (x) the maturity of the obligations guaranteed hereby may be accelerated as provided in Article 6 of the Indenture for the purposes of the Guarantees of all of the Company's Obligations under the Notes and the Indenture (the "Subsidiary Guarantees"),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Guarantors for the purpose of the Subsidiary Guarantees.</w:t>
      </w:r>
    </w:p>
    <w:p>
      <w:pPr>
        <w:spacing w:after="0" w:line="207" w:lineRule="exact"/>
        <w:rPr>
          <w:rFonts w:ascii="Courier New" w:cs="Courier New" w:eastAsia="Courier New" w:hAnsi="Courier New"/>
          <w:sz w:val="18"/>
          <w:szCs w:val="18"/>
          <w:color w:val="auto"/>
        </w:rPr>
      </w:pPr>
    </w:p>
    <w:p>
      <w:pPr>
        <w:ind w:left="1900" w:right="1879" w:firstLine="4"/>
        <w:spacing w:after="0" w:line="237" w:lineRule="auto"/>
        <w:tabs>
          <w:tab w:leader="none" w:pos="2321"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Guarantors shall have the right to seek contribution from any non-paying Guarantor so long as the exercise of such right does not impair the rights of the Holders under the Guarantee.</w:t>
      </w:r>
    </w:p>
    <w:p>
      <w:pPr>
        <w:spacing w:after="0" w:line="207" w:lineRule="exact"/>
        <w:rPr>
          <w:rFonts w:ascii="Courier New" w:cs="Courier New" w:eastAsia="Courier New" w:hAnsi="Courier New"/>
          <w:sz w:val="18"/>
          <w:szCs w:val="18"/>
          <w:color w:val="auto"/>
        </w:rPr>
      </w:pPr>
    </w:p>
    <w:p>
      <w:pPr>
        <w:ind w:left="1900" w:right="2739" w:firstLine="4"/>
        <w:spacing w:after="0" w:line="235" w:lineRule="auto"/>
        <w:tabs>
          <w:tab w:leader="none" w:pos="2321"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hereunder shall be subject to the subordination provisions of the Indenture.</w:t>
      </w:r>
    </w:p>
    <w:p>
      <w:pPr>
        <w:spacing w:after="0" w:line="208" w:lineRule="exact"/>
        <w:rPr>
          <w:sz w:val="20"/>
          <w:szCs w:val="20"/>
          <w:color w:val="auto"/>
        </w:rPr>
      </w:pPr>
    </w:p>
    <w:p>
      <w:pPr>
        <w:ind w:right="1879" w:firstLine="1904"/>
        <w:spacing w:after="0" w:line="236" w:lineRule="auto"/>
        <w:tabs>
          <w:tab w:leader="none" w:pos="2212"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EXECUTION AND DELIVERY. Each Guarantor agrees that the Subsidiary Guarantees shall remain in full force and effect notwithstanding any failure to endorse on each Note a notation of such Subsidiary Guarantee.</w:t>
      </w:r>
    </w:p>
    <w:p>
      <w:pPr>
        <w:spacing w:after="0" w:line="203" w:lineRule="exact"/>
        <w:rPr>
          <w:rFonts w:ascii="Courier New" w:cs="Courier New" w:eastAsia="Courier New" w:hAnsi="Courier New"/>
          <w:sz w:val="18"/>
          <w:szCs w:val="18"/>
          <w:color w:val="auto"/>
        </w:rPr>
      </w:pPr>
    </w:p>
    <w:p>
      <w:pPr>
        <w:ind w:left="2220" w:hanging="316"/>
        <w:spacing w:after="0"/>
        <w:tabs>
          <w:tab w:leader="none" w:pos="2220"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GUARANTOR MAY CONSOLIDATE, ETC. ON CERTAIN TERMS.</w:t>
      </w:r>
    </w:p>
    <w:p>
      <w:pPr>
        <w:spacing w:after="0" w:line="207" w:lineRule="exact"/>
        <w:rPr>
          <w:sz w:val="20"/>
          <w:szCs w:val="20"/>
          <w:color w:val="auto"/>
        </w:rPr>
      </w:pPr>
    </w:p>
    <w:p>
      <w:pPr>
        <w:jc w:val="both"/>
        <w:ind w:left="1900" w:right="1999" w:firstLine="4"/>
        <w:spacing w:after="0" w:line="237" w:lineRule="auto"/>
        <w:tabs>
          <w:tab w:leader="none" w:pos="2321"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Guarantor may not consolidate with or merge with or into (whether or not such Guarantor is the surviving Person) another corporation, Person or entity whether or not affiliated with such Guarantor unless:</w:t>
      </w:r>
    </w:p>
    <w:p>
      <w:pPr>
        <w:spacing w:after="0" w:line="207" w:lineRule="exact"/>
        <w:rPr>
          <w:rFonts w:ascii="Courier New" w:cs="Courier New" w:eastAsia="Courier New" w:hAnsi="Courier New"/>
          <w:sz w:val="18"/>
          <w:szCs w:val="18"/>
          <w:color w:val="auto"/>
        </w:rPr>
      </w:pPr>
    </w:p>
    <w:p>
      <w:pPr>
        <w:ind w:left="3800" w:right="1879" w:hanging="948"/>
        <w:spacing w:after="0" w:line="237" w:lineRule="auto"/>
        <w:tabs>
          <w:tab w:leader="none" w:pos="3800" w:val="left"/>
        </w:tabs>
        <w:numPr>
          <w:ilvl w:val="1"/>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11.05 of the Indenture, the Person formed by or surviving any such consolidation or merger (if other than a Guarantor or the Company) unconditionally assumes all the</w:t>
      </w:r>
    </w:p>
    <w:p>
      <w:pPr>
        <w:sectPr>
          <w:pgSz w:w="11900" w:h="16838" w:orient="portrait"/>
          <w:cols w:equalWidth="0" w:num="1">
            <w:col w:w="10219"/>
          </w:cols>
          <w:pgMar w:left="240" w:top="717" w:right="1440" w:bottom="1440" w:gutter="0" w:footer="0" w:header="0"/>
        </w:sectPr>
      </w:pPr>
    </w:p>
    <w:bookmarkStart w:id="116" w:name="page117"/>
    <w:bookmarkEnd w:id="116"/>
    <w:p>
      <w:pPr>
        <w:ind w:left="7140"/>
        <w:spacing w:after="0"/>
        <w:rPr>
          <w:sz w:val="20"/>
          <w:szCs w:val="20"/>
          <w:color w:val="auto"/>
        </w:rPr>
      </w:pPr>
      <w:r>
        <w:rPr>
          <w:rFonts w:ascii="Courier New" w:cs="Courier New" w:eastAsia="Courier New" w:hAnsi="Courier New"/>
          <w:sz w:val="16"/>
          <w:szCs w:val="16"/>
          <w:color w:val="auto"/>
        </w:rPr>
        <w:t>5</w:t>
      </w:r>
    </w:p>
    <w:p>
      <w:pPr>
        <w:spacing w:after="0" w:line="224" w:lineRule="exact"/>
        <w:rPr>
          <w:sz w:val="20"/>
          <w:szCs w:val="20"/>
          <w:color w:val="auto"/>
        </w:rPr>
      </w:pPr>
    </w:p>
    <w:p>
      <w:pPr>
        <w:ind w:left="2600" w:right="1779"/>
        <w:spacing w:after="0" w:line="237" w:lineRule="auto"/>
        <w:rPr>
          <w:sz w:val="20"/>
          <w:szCs w:val="20"/>
          <w:color w:val="auto"/>
        </w:rPr>
      </w:pPr>
      <w:r>
        <w:rPr>
          <w:rFonts w:ascii="Courier New" w:cs="Courier New" w:eastAsia="Courier New" w:hAnsi="Courier New"/>
          <w:sz w:val="18"/>
          <w:szCs w:val="18"/>
          <w:color w:val="auto"/>
        </w:rPr>
        <w:t>obligations of such Guarantor, pursuant to a supplemental indenture in form and substance reasonably satisfactory to the Trustee, under the Notes, the Indenture and the Subsidiary Guarantee on the terms set forth herein or therein; and</w:t>
      </w:r>
    </w:p>
    <w:p>
      <w:pPr>
        <w:spacing w:after="0" w:line="210" w:lineRule="exact"/>
        <w:rPr>
          <w:sz w:val="20"/>
          <w:szCs w:val="20"/>
          <w:color w:val="auto"/>
        </w:rPr>
      </w:pPr>
    </w:p>
    <w:p>
      <w:pPr>
        <w:ind w:left="2600" w:right="1879" w:hanging="948"/>
        <w:spacing w:after="0" w:line="236" w:lineRule="auto"/>
        <w:tabs>
          <w:tab w:leader="none" w:pos="2600" w:val="left"/>
        </w:tabs>
        <w:numPr>
          <w:ilvl w:val="1"/>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giving effect to such transaction, no Default or Event of Default exists.</w:t>
      </w:r>
    </w:p>
    <w:p>
      <w:pPr>
        <w:spacing w:after="0" w:line="208" w:lineRule="exact"/>
        <w:rPr>
          <w:rFonts w:ascii="Courier New" w:cs="Courier New" w:eastAsia="Courier New" w:hAnsi="Courier New"/>
          <w:sz w:val="18"/>
          <w:szCs w:val="18"/>
          <w:color w:val="auto"/>
        </w:rPr>
      </w:pPr>
    </w:p>
    <w:p>
      <w:pPr>
        <w:ind w:left="700" w:right="1779" w:firstLine="4"/>
        <w:spacing w:after="0" w:line="269" w:lineRule="auto"/>
        <w:tabs>
          <w:tab w:leader="none" w:pos="1121"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any such consolidation, merger, sale or conveyance and upon the assumption by the successor corporation, by supplemental indenture, executed and delivered to the Trustee and satisfactory in form to the Trustee, of the Subsidiary Guarantees endorsed upon the Notes and the due and punctual performance of all of the covenants and conditions of the Indenture to be performed by the Guarantor, such successor corporation shall succeed to and be substituted for the Guarantor with the same effect as if it had been named herein as a Guarantor. Such successor corporation thereupon may cause to be signed any or all of the Subsidiary Guarantees to be endorsed upon all of the Notes issuable hereunder which theretofore shall not have been signed by the Company and delivered to the Trustee. All the Subsidiary Guarantees so issued shall in all respects have the same legal rank and benefit under the Indenture as the Subsidiary Guarantees theretofore and thereafter issued in accordance with the terms of the Indenture as though all of such Subsidiary Guarantees had been issued at the date of the execution hereof.</w:t>
      </w:r>
    </w:p>
    <w:p>
      <w:pPr>
        <w:spacing w:after="0" w:line="394" w:lineRule="exact"/>
        <w:rPr>
          <w:rFonts w:ascii="Courier New" w:cs="Courier New" w:eastAsia="Courier New" w:hAnsi="Courier New"/>
          <w:sz w:val="16"/>
          <w:szCs w:val="16"/>
          <w:color w:val="auto"/>
        </w:rPr>
      </w:pPr>
    </w:p>
    <w:p>
      <w:pPr>
        <w:ind w:left="700" w:right="1879" w:firstLine="4"/>
        <w:spacing w:after="0" w:line="268" w:lineRule="auto"/>
        <w:tabs>
          <w:tab w:leader="none" w:pos="1121"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Articles 4 and 5 and Section 11.05 of Article 11 of the Indenture, and notwithstanding clauses</w:t>
      </w:r>
    </w:p>
    <w:p>
      <w:pPr>
        <w:ind w:left="700" w:right="1879" w:firstLine="4"/>
        <w:spacing w:after="0" w:line="237" w:lineRule="auto"/>
        <w:tabs>
          <w:tab w:leader="none" w:pos="1121"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above, nothing contained in the Indenture or in any of the Notes shall prevent any consolidation or merger of a Guarantor with or into the Company or another Guarantor, or shall prevent any sale or conveyance of the property of a Guarantor as an entirety or substantially as an entirety to the Company or another Guarantor.</w:t>
      </w:r>
    </w:p>
    <w:p>
      <w:pPr>
        <w:spacing w:after="0" w:line="204"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6. RELEASES.</w:t>
      </w:r>
    </w:p>
    <w:p>
      <w:pPr>
        <w:spacing w:after="0" w:line="207" w:lineRule="exact"/>
        <w:rPr>
          <w:sz w:val="20"/>
          <w:szCs w:val="20"/>
          <w:color w:val="auto"/>
        </w:rPr>
      </w:pPr>
    </w:p>
    <w:p>
      <w:pPr>
        <w:ind w:left="700" w:right="1779" w:firstLine="4"/>
        <w:spacing w:after="0" w:line="238" w:lineRule="auto"/>
        <w:tabs>
          <w:tab w:leader="none" w:pos="1121"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sale or other disposition of all of the assets of any Guarantor, by way of merger, consolidation or otherwise, or a sale or other disposition of all of the capital stock of any Guarantor, then such Guarantor (in the event of a sale or other disposition, by way of merger, consolidation or otherwise, of all of the capital stock of such Guarantor) or the corporation acquiring the property (in the event of a sale or other disposition of all or substantially all of the assets of such Guarantor) will be released and relieved of any obligations under its Subsidiary Guarantee; provided that the Net Proceeds of such sale or other disposition are applied in accordance with the applicable provisions of the Indenture, including without limitation Section 4.10 of the Indenture. Upon delivery by the Company to the Trustee of an Officers' Certificate and an Opinion of Counsel to the effect that such sale or other disposition was made by the Company in accordance with the provisions of the Indenture, including without limitation Section 4.10 of the Indenture, the Trustee shall execute any documents reasonably required in order to evidence the release of any Guarantor from its obligations under its Subsidiary Guarantee.</w:t>
      </w:r>
    </w:p>
    <w:p>
      <w:pPr>
        <w:sectPr>
          <w:pgSz w:w="11900" w:h="16838" w:orient="portrait"/>
          <w:cols w:equalWidth="0" w:num="1">
            <w:col w:w="9019"/>
          </w:cols>
          <w:pgMar w:left="1440" w:top="723" w:right="1440" w:bottom="1440" w:gutter="0" w:footer="0" w:header="0"/>
        </w:sectPr>
      </w:pPr>
    </w:p>
    <w:bookmarkStart w:id="117" w:name="page118"/>
    <w:bookmarkEnd w:id="117"/>
    <w:p>
      <w:pPr>
        <w:jc w:val="right"/>
        <w:ind w:right="1779"/>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left="1900" w:right="1879" w:firstLine="4"/>
        <w:spacing w:after="0" w:line="237" w:lineRule="auto"/>
        <w:tabs>
          <w:tab w:leader="none" w:pos="2321"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Guarantor not released from its obligations under its Subsidiary Guarantee shall remain liable for the full amount of principal of and interest on the Notes and for the other obligations of any Guarantor under the Indenture as provided in Article 11 of the Indenture.</w:t>
      </w:r>
    </w:p>
    <w:p>
      <w:pPr>
        <w:spacing w:after="0" w:line="209" w:lineRule="exact"/>
        <w:rPr>
          <w:sz w:val="20"/>
          <w:szCs w:val="20"/>
          <w:color w:val="auto"/>
        </w:rPr>
      </w:pPr>
    </w:p>
    <w:p>
      <w:pPr>
        <w:ind w:right="1879" w:firstLine="1904"/>
        <w:spacing w:after="0" w:line="237" w:lineRule="auto"/>
        <w:tabs>
          <w:tab w:leader="none" w:pos="2212" w:val="left"/>
        </w:tabs>
        <w:numPr>
          <w:ilvl w:val="0"/>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RECOURSE AGAINST OTHERS. No past, present or future director, officer, employee, incorporator, stockholder or agent of each Guarantor, as such, shall have any liability for any obligations of the Company or any Guarantor under the Notes, any Subsidiary Guarantees,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 Such waiver may not be effective to waive liabilities under the federal securities laws and it is the view of the Securities and Exchange Commission that such a waiver is against public policy.</w:t>
      </w:r>
    </w:p>
    <w:p>
      <w:pPr>
        <w:spacing w:after="0" w:line="215" w:lineRule="exact"/>
        <w:rPr>
          <w:rFonts w:ascii="Courier New" w:cs="Courier New" w:eastAsia="Courier New" w:hAnsi="Courier New"/>
          <w:sz w:val="18"/>
          <w:szCs w:val="18"/>
          <w:color w:val="auto"/>
        </w:rPr>
      </w:pPr>
    </w:p>
    <w:p>
      <w:pPr>
        <w:ind w:right="1779" w:firstLine="1904"/>
        <w:spacing w:after="0" w:line="237" w:lineRule="auto"/>
        <w:tabs>
          <w:tab w:leader="none" w:pos="2212" w:val="left"/>
        </w:tabs>
        <w:numPr>
          <w:ilvl w:val="0"/>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LAW TO GOVERN. THE INTERNAL LAW OF THE STATE OF NEW YORK SHALL GOVERN AND BE USED TO CONSTRUE THIS SUPPLEMENTAL INDENTURE TO THE EXTENT THAT THE APPLICATION OF THE LAWS OF ANOTHER JURISDICTION WOULD BE REQUIRED THEREBY.</w:t>
      </w:r>
    </w:p>
    <w:p>
      <w:pPr>
        <w:spacing w:after="0" w:line="201" w:lineRule="exact"/>
        <w:rPr>
          <w:rFonts w:ascii="Courier New" w:cs="Courier New" w:eastAsia="Courier New" w:hAnsi="Courier New"/>
          <w:sz w:val="18"/>
          <w:szCs w:val="18"/>
          <w:color w:val="auto"/>
        </w:rPr>
      </w:pPr>
    </w:p>
    <w:p>
      <w:pPr>
        <w:ind w:left="2220" w:hanging="316"/>
        <w:spacing w:after="0"/>
        <w:tabs>
          <w:tab w:leader="none" w:pos="2220" w:val="left"/>
        </w:tabs>
        <w:numPr>
          <w:ilvl w:val="0"/>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The parties may sign any number of copies</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of this Supplemental Indenture. Each signed copy shall be an original, but all of them together represent the same agreement.</w:t>
      </w:r>
    </w:p>
    <w:p>
      <w:pPr>
        <w:spacing w:after="0" w:line="203" w:lineRule="exact"/>
        <w:rPr>
          <w:sz w:val="20"/>
          <w:szCs w:val="20"/>
          <w:color w:val="auto"/>
        </w:rPr>
      </w:pPr>
    </w:p>
    <w:p>
      <w:pPr>
        <w:ind w:left="2320" w:hanging="416"/>
        <w:spacing w:after="0"/>
        <w:tabs>
          <w:tab w:leader="none" w:pos="2320"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HEADINGS. The Section headings herein are for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convenience only and shall not affect the construction hereof.</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The Trustee accepts the amendment to the Indenture effected by this Supplemental Indenture. Without limiting the generality of the foregoing, the Trustee has no responsibility for the correctness of the recitals of fact herein contained which shall be taken as the statements of the Guarantors and the Company and makes no representations as to the validity or sufficiency of this Supplemental Indenture, except as to the due and valid execution hereof by the Trustee, and shall incur no liability or responsibility in respect of the validity thereof.</w:t>
      </w:r>
    </w:p>
    <w:p>
      <w:pPr>
        <w:spacing w:after="0" w:line="212" w:lineRule="exact"/>
        <w:rPr>
          <w:rFonts w:ascii="Courier New" w:cs="Courier New" w:eastAsia="Courier New" w:hAnsi="Courier New"/>
          <w:sz w:val="18"/>
          <w:szCs w:val="18"/>
          <w:color w:val="auto"/>
        </w:rPr>
      </w:pPr>
    </w:p>
    <w:p>
      <w:pPr>
        <w:ind w:right="2419" w:firstLine="1904"/>
        <w:spacing w:after="0" w:line="279" w:lineRule="auto"/>
        <w:tabs>
          <w:tab w:leader="none" w:pos="2318"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GUARANTEES. Each of the Guarantors hereby affirms that its Subsidiary Guarantee remains effective in all respects regardless of the effect of this Supplement Indenture on the Indenture.</w:t>
      </w:r>
    </w:p>
    <w:p>
      <w:pPr>
        <w:spacing w:after="0" w:line="178"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ON INDENTURE. Upon execution of this Supplement Indenture, the Indenture shall be modified in accordance herewith, but except as expressly amended hereby, the Indenture is in all respects ratified and confirmed and all the terms, conditions and provisions thereof shall remain in full force and effect.</w:t>
      </w:r>
    </w:p>
    <w:p>
      <w:pPr>
        <w:sectPr>
          <w:pgSz w:w="11900" w:h="16838" w:orient="portrait"/>
          <w:cols w:equalWidth="0" w:num="1">
            <w:col w:w="10219"/>
          </w:cols>
          <w:pgMar w:left="240" w:top="717" w:right="1440" w:bottom="1440" w:gutter="0" w:footer="0" w:header="0"/>
        </w:sectPr>
      </w:pPr>
    </w:p>
    <w:bookmarkStart w:id="118" w:name="page119"/>
    <w:bookmarkEnd w:id="118"/>
    <w:p>
      <w:pPr>
        <w:jc w:val="right"/>
        <w:ind w:right="1779"/>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1779" w:firstLine="1904"/>
        <w:spacing w:after="0" w:line="237" w:lineRule="auto"/>
        <w:tabs>
          <w:tab w:leader="none" w:pos="2318" w:val="left"/>
        </w:tabs>
        <w:numPr>
          <w:ilvl w:val="0"/>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ON SUPPLEMENTAL INDENTURE. Upon execution, this Supplemental Indenture shall form a part of the Indenture and the Supplemental Indenture and the Indenture shall be read, taken and construed as one and the same instrument for all purposes, and every holder of Notes heretofore or hereafter authenticated and delivered under the Indenture shall be bound hereby. This Supplemental Indenture shall become effective as of the date first above written.</w:t>
      </w:r>
    </w:p>
    <w:p>
      <w:pPr>
        <w:sectPr>
          <w:pgSz w:w="11900" w:h="16838" w:orient="portrait"/>
          <w:cols w:equalWidth="0" w:num="1">
            <w:col w:w="10219"/>
          </w:cols>
          <w:pgMar w:left="240" w:top="717" w:right="1440" w:bottom="1440" w:gutter="0" w:footer="0" w:header="0"/>
        </w:sectPr>
      </w:pPr>
    </w:p>
    <w:bookmarkStart w:id="119" w:name="page120"/>
    <w:bookmarkEnd w:id="119"/>
    <w:p>
      <w:pPr>
        <w:jc w:val="right"/>
        <w:ind w:right="1779"/>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2319" w:firstLine="1896"/>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Supplemental Indenture to be duly executed and attested, all as of the date first above written.</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/s/ Patrick J. Norton</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Name: Patrick J. Norton</w:t>
      </w:r>
    </w:p>
    <w:p>
      <w:pPr>
        <w:ind w:left="3900"/>
        <w:spacing w:after="0" w:line="237" w:lineRule="auto"/>
        <w:rPr>
          <w:sz w:val="20"/>
          <w:szCs w:val="20"/>
          <w:color w:val="auto"/>
        </w:rPr>
      </w:pPr>
      <w:r>
        <w:rPr>
          <w:rFonts w:ascii="Courier New" w:cs="Courier New" w:eastAsia="Courier New" w:hAnsi="Courier New"/>
          <w:sz w:val="18"/>
          <w:szCs w:val="18"/>
          <w:color w:val="auto"/>
        </w:rPr>
        <w:t>Title: Executive Vice President &amp; CFO</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GUARANTORS:</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SCOTTS MANUFACTURING COMPANY,</w:t>
      </w:r>
    </w:p>
    <w:p>
      <w:pPr>
        <w:ind w:left="3900"/>
        <w:spacing w:after="0" w:line="238" w:lineRule="auto"/>
        <w:rPr>
          <w:sz w:val="20"/>
          <w:szCs w:val="20"/>
          <w:color w:val="auto"/>
        </w:rPr>
      </w:pPr>
      <w:r>
        <w:rPr>
          <w:rFonts w:ascii="Courier New" w:cs="Courier New" w:eastAsia="Courier New" w:hAnsi="Courier New"/>
          <w:sz w:val="18"/>
          <w:szCs w:val="18"/>
          <w:color w:val="auto"/>
        </w:rPr>
        <w:t>as successor by merger to</w:t>
      </w:r>
    </w:p>
    <w:p>
      <w:pPr>
        <w:ind w:left="3900"/>
        <w:spacing w:after="0"/>
        <w:rPr>
          <w:sz w:val="20"/>
          <w:szCs w:val="20"/>
          <w:color w:val="auto"/>
        </w:rPr>
      </w:pPr>
      <w:r>
        <w:rPr>
          <w:rFonts w:ascii="Courier New" w:cs="Courier New" w:eastAsia="Courier New" w:hAnsi="Courier New"/>
          <w:sz w:val="18"/>
          <w:szCs w:val="18"/>
          <w:color w:val="auto"/>
        </w:rPr>
        <w:t>SCOTTS MIRACLE-GRO PRODUCTS INC.</w:t>
      </w:r>
    </w:p>
    <w:p>
      <w:pPr>
        <w:spacing w:after="0" w:line="200" w:lineRule="exact"/>
        <w:rPr>
          <w:sz w:val="20"/>
          <w:szCs w:val="20"/>
          <w:color w:val="auto"/>
        </w:rPr>
      </w:pP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/s/ Patrick J. Norton</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Name: Patrick J. Norton</w:t>
      </w:r>
    </w:p>
    <w:p>
      <w:pPr>
        <w:ind w:left="3900"/>
        <w:spacing w:after="0" w:line="237" w:lineRule="auto"/>
        <w:rPr>
          <w:sz w:val="20"/>
          <w:szCs w:val="20"/>
          <w:color w:val="auto"/>
        </w:rPr>
      </w:pPr>
      <w:r>
        <w:rPr>
          <w:rFonts w:ascii="Courier New" w:cs="Courier New" w:eastAsia="Courier New" w:hAnsi="Courier New"/>
          <w:sz w:val="18"/>
          <w:szCs w:val="18"/>
          <w:color w:val="auto"/>
        </w:rPr>
        <w:t>Title: Executive Vice President &amp; CFO</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SCOTTS TEMECULA OPERATIONS, LLC, as</w:t>
      </w:r>
    </w:p>
    <w:p>
      <w:pPr>
        <w:ind w:left="3900"/>
        <w:spacing w:after="0" w:line="238" w:lineRule="auto"/>
        <w:rPr>
          <w:sz w:val="20"/>
          <w:szCs w:val="20"/>
          <w:color w:val="auto"/>
        </w:rPr>
      </w:pPr>
      <w:r>
        <w:rPr>
          <w:rFonts w:ascii="Courier New" w:cs="Courier New" w:eastAsia="Courier New" w:hAnsi="Courier New"/>
          <w:sz w:val="18"/>
          <w:szCs w:val="18"/>
          <w:color w:val="auto"/>
        </w:rPr>
        <w:t>successor by merger to REPUBLIC TOOL &amp;</w:t>
      </w:r>
    </w:p>
    <w:p>
      <w:pPr>
        <w:jc w:val="center"/>
        <w:ind w:right="399"/>
        <w:spacing w:after="0"/>
        <w:rPr>
          <w:sz w:val="20"/>
          <w:szCs w:val="20"/>
          <w:color w:val="auto"/>
        </w:rPr>
      </w:pPr>
      <w:r>
        <w:rPr>
          <w:rFonts w:ascii="Courier New" w:cs="Courier New" w:eastAsia="Courier New" w:hAnsi="Courier New"/>
          <w:sz w:val="18"/>
          <w:szCs w:val="18"/>
          <w:color w:val="auto"/>
        </w:rPr>
        <w:t>MANUFACTURING CORP.</w:t>
      </w:r>
    </w:p>
    <w:p>
      <w:pPr>
        <w:spacing w:after="0" w:line="200" w:lineRule="exact"/>
        <w:rPr>
          <w:sz w:val="20"/>
          <w:szCs w:val="20"/>
          <w:color w:val="auto"/>
        </w:rPr>
      </w:pP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/s/ Patrick J. Norton</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Name: Patrick J. Norton</w:t>
      </w:r>
    </w:p>
    <w:p>
      <w:pPr>
        <w:ind w:left="3900"/>
        <w:spacing w:after="0" w:line="237" w:lineRule="auto"/>
        <w:rPr>
          <w:sz w:val="20"/>
          <w:szCs w:val="20"/>
          <w:color w:val="auto"/>
        </w:rPr>
      </w:pPr>
      <w:r>
        <w:rPr>
          <w:rFonts w:ascii="Courier New" w:cs="Courier New" w:eastAsia="Courier New" w:hAnsi="Courier New"/>
          <w:sz w:val="18"/>
          <w:szCs w:val="18"/>
          <w:color w:val="auto"/>
        </w:rPr>
        <w:t>Title: Executive Vice President &amp; CFO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MIRACLE-GRO LAWN PRODUCTS, INC.</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/s/ Patrick J. Norton</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Name: Patrick J. Norton</w:t>
      </w:r>
    </w:p>
    <w:p>
      <w:pPr>
        <w:ind w:left="3900"/>
        <w:spacing w:after="0" w:line="237" w:lineRule="auto"/>
        <w:rPr>
          <w:sz w:val="20"/>
          <w:szCs w:val="20"/>
          <w:color w:val="auto"/>
        </w:rPr>
      </w:pPr>
      <w:r>
        <w:rPr>
          <w:rFonts w:ascii="Courier New" w:cs="Courier New" w:eastAsia="Courier New" w:hAnsi="Courier New"/>
          <w:sz w:val="18"/>
          <w:szCs w:val="18"/>
          <w:color w:val="auto"/>
        </w:rPr>
        <w:t>Title: Executive Vice President &amp; CFO</w:t>
      </w: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OMS INVESTMENTS, INC.</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/s/ Patrick J. Norton</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Name: Patrick J. Norton</w:t>
      </w:r>
    </w:p>
    <w:p>
      <w:pPr>
        <w:ind w:left="3900"/>
        <w:spacing w:after="0" w:line="237" w:lineRule="auto"/>
        <w:rPr>
          <w:sz w:val="20"/>
          <w:szCs w:val="20"/>
          <w:color w:val="auto"/>
        </w:rPr>
      </w:pPr>
      <w:r>
        <w:rPr>
          <w:rFonts w:ascii="Courier New" w:cs="Courier New" w:eastAsia="Courier New" w:hAnsi="Courier New"/>
          <w:sz w:val="18"/>
          <w:szCs w:val="18"/>
          <w:color w:val="auto"/>
        </w:rPr>
        <w:t>Title: Executive Vice President &amp; CFO</w:t>
      </w:r>
    </w:p>
    <w:p>
      <w:pPr>
        <w:sectPr>
          <w:pgSz w:w="11900" w:h="16838" w:orient="portrait"/>
          <w:cols w:equalWidth="0" w:num="1">
            <w:col w:w="10219"/>
          </w:cols>
          <w:pgMar w:left="240" w:top="514" w:right="1440" w:bottom="1440" w:gutter="0" w:footer="0" w:header="0"/>
        </w:sectPr>
      </w:pPr>
    </w:p>
    <w:bookmarkStart w:id="120" w:name="page121"/>
    <w:bookmarkEnd w:id="120"/>
    <w:p>
      <w:pPr>
        <w:jc w:val="right"/>
        <w:ind w:right="1779"/>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HYPONEX CORPORATION</w:t>
      </w:r>
    </w:p>
    <w:p>
      <w:pPr>
        <w:spacing w:after="0" w:line="200" w:lineRule="exact"/>
        <w:rPr>
          <w:sz w:val="20"/>
          <w:szCs w:val="20"/>
          <w:color w:val="auto"/>
        </w:rPr>
      </w:pPr>
    </w:p>
    <w:p>
      <w:pPr>
        <w:spacing w:after="0" w:line="20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By: /s/ Patrick J. Norton</w:t>
      </w:r>
    </w:p>
    <w:p>
      <w:pPr>
        <w:ind w:left="2700"/>
        <w:spacing w:after="0" w:line="238" w:lineRule="auto"/>
        <w:rPr>
          <w:sz w:val="20"/>
          <w:szCs w:val="20"/>
          <w:color w:val="auto"/>
        </w:rPr>
      </w:pPr>
      <w:r>
        <w:rPr>
          <w:rFonts w:ascii="Courier New" w:cs="Courier New" w:eastAsia="Courier New" w:hAnsi="Courier New"/>
          <w:sz w:val="18"/>
          <w:szCs w:val="18"/>
          <w:color w:val="auto"/>
        </w:rPr>
        <w:t>------------------------------------------</w:t>
      </w:r>
    </w:p>
    <w:p>
      <w:pPr>
        <w:ind w:left="2700"/>
        <w:spacing w:after="0"/>
        <w:rPr>
          <w:sz w:val="20"/>
          <w:szCs w:val="20"/>
          <w:color w:val="auto"/>
        </w:rPr>
      </w:pPr>
      <w:r>
        <w:rPr>
          <w:rFonts w:ascii="Courier New" w:cs="Courier New" w:eastAsia="Courier New" w:hAnsi="Courier New"/>
          <w:sz w:val="18"/>
          <w:szCs w:val="18"/>
          <w:color w:val="auto"/>
        </w:rPr>
        <w:t>Name: Patrick J. Norton</w:t>
      </w:r>
    </w:p>
    <w:p>
      <w:pPr>
        <w:ind w:left="2700"/>
        <w:spacing w:after="0" w:line="237" w:lineRule="auto"/>
        <w:rPr>
          <w:sz w:val="20"/>
          <w:szCs w:val="20"/>
          <w:color w:val="auto"/>
        </w:rPr>
      </w:pPr>
      <w:r>
        <w:rPr>
          <w:rFonts w:ascii="Courier New" w:cs="Courier New" w:eastAsia="Courier New" w:hAnsi="Courier New"/>
          <w:sz w:val="18"/>
          <w:szCs w:val="18"/>
          <w:color w:val="auto"/>
        </w:rPr>
        <w:t>Title: Executive Vice President &amp; CFO</w:t>
      </w:r>
    </w:p>
    <w:p>
      <w:pPr>
        <w:spacing w:after="0" w:line="200" w:lineRule="exact"/>
        <w:rPr>
          <w:sz w:val="20"/>
          <w:szCs w:val="20"/>
          <w:color w:val="auto"/>
        </w:rPr>
      </w:pPr>
    </w:p>
    <w:p>
      <w:pPr>
        <w:spacing w:after="0" w:line="20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EARTHGRO, INC.</w:t>
      </w:r>
    </w:p>
    <w:p>
      <w:pPr>
        <w:spacing w:after="0" w:line="200" w:lineRule="exact"/>
        <w:rPr>
          <w:sz w:val="20"/>
          <w:szCs w:val="20"/>
          <w:color w:val="auto"/>
        </w:rPr>
      </w:pPr>
    </w:p>
    <w:p>
      <w:pPr>
        <w:spacing w:after="0" w:line="20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By: /s/ Patrick J. Norton</w:t>
      </w:r>
    </w:p>
    <w:p>
      <w:pPr>
        <w:ind w:left="2700"/>
        <w:spacing w:after="0" w:line="238" w:lineRule="auto"/>
        <w:rPr>
          <w:sz w:val="20"/>
          <w:szCs w:val="20"/>
          <w:color w:val="auto"/>
        </w:rPr>
      </w:pPr>
      <w:r>
        <w:rPr>
          <w:rFonts w:ascii="Courier New" w:cs="Courier New" w:eastAsia="Courier New" w:hAnsi="Courier New"/>
          <w:sz w:val="18"/>
          <w:szCs w:val="18"/>
          <w:color w:val="auto"/>
        </w:rPr>
        <w:t>------------------------------------------</w:t>
      </w:r>
    </w:p>
    <w:p>
      <w:pPr>
        <w:ind w:left="2700"/>
        <w:spacing w:after="0"/>
        <w:rPr>
          <w:sz w:val="20"/>
          <w:szCs w:val="20"/>
          <w:color w:val="auto"/>
        </w:rPr>
      </w:pPr>
      <w:r>
        <w:rPr>
          <w:rFonts w:ascii="Courier New" w:cs="Courier New" w:eastAsia="Courier New" w:hAnsi="Courier New"/>
          <w:sz w:val="18"/>
          <w:szCs w:val="18"/>
          <w:color w:val="auto"/>
        </w:rPr>
        <w:t>Name: Patrick J. Norton</w:t>
      </w:r>
    </w:p>
    <w:p>
      <w:pPr>
        <w:ind w:left="2700"/>
        <w:spacing w:after="0" w:line="237" w:lineRule="auto"/>
        <w:rPr>
          <w:sz w:val="20"/>
          <w:szCs w:val="20"/>
          <w:color w:val="auto"/>
        </w:rPr>
      </w:pPr>
      <w:r>
        <w:rPr>
          <w:rFonts w:ascii="Courier New" w:cs="Courier New" w:eastAsia="Courier New" w:hAnsi="Courier New"/>
          <w:sz w:val="18"/>
          <w:szCs w:val="18"/>
          <w:color w:val="auto"/>
        </w:rPr>
        <w:t>Title: Executive Vice President &amp; CFO</w:t>
      </w:r>
    </w:p>
    <w:p>
      <w:pPr>
        <w:spacing w:after="0" w:line="200" w:lineRule="exact"/>
        <w:rPr>
          <w:sz w:val="20"/>
          <w:szCs w:val="20"/>
          <w:color w:val="auto"/>
        </w:rPr>
      </w:pPr>
    </w:p>
    <w:p>
      <w:pPr>
        <w:spacing w:after="0" w:line="20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SCOTTS PRODUCTS, INC.</w:t>
      </w:r>
    </w:p>
    <w:p>
      <w:pPr>
        <w:spacing w:after="0" w:line="200" w:lineRule="exact"/>
        <w:rPr>
          <w:sz w:val="20"/>
          <w:szCs w:val="20"/>
          <w:color w:val="auto"/>
        </w:rPr>
      </w:pPr>
    </w:p>
    <w:p>
      <w:pPr>
        <w:spacing w:after="0" w:line="20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By: /s/ Patrick J. Norton</w:t>
      </w:r>
    </w:p>
    <w:p>
      <w:pPr>
        <w:ind w:left="2700"/>
        <w:spacing w:after="0" w:line="238" w:lineRule="auto"/>
        <w:rPr>
          <w:sz w:val="20"/>
          <w:szCs w:val="20"/>
          <w:color w:val="auto"/>
        </w:rPr>
      </w:pPr>
      <w:r>
        <w:rPr>
          <w:rFonts w:ascii="Courier New" w:cs="Courier New" w:eastAsia="Courier New" w:hAnsi="Courier New"/>
          <w:sz w:val="18"/>
          <w:szCs w:val="18"/>
          <w:color w:val="auto"/>
        </w:rPr>
        <w:t>------------------------------------------</w:t>
      </w:r>
    </w:p>
    <w:p>
      <w:pPr>
        <w:ind w:left="2700"/>
        <w:spacing w:after="0"/>
        <w:rPr>
          <w:sz w:val="20"/>
          <w:szCs w:val="20"/>
          <w:color w:val="auto"/>
        </w:rPr>
      </w:pPr>
      <w:r>
        <w:rPr>
          <w:rFonts w:ascii="Courier New" w:cs="Courier New" w:eastAsia="Courier New" w:hAnsi="Courier New"/>
          <w:sz w:val="18"/>
          <w:szCs w:val="18"/>
          <w:color w:val="auto"/>
        </w:rPr>
        <w:t>Name: Patrick J. Norton</w:t>
      </w:r>
    </w:p>
    <w:p>
      <w:pPr>
        <w:ind w:left="2700"/>
        <w:spacing w:after="0" w:line="237" w:lineRule="auto"/>
        <w:rPr>
          <w:sz w:val="20"/>
          <w:szCs w:val="20"/>
          <w:color w:val="auto"/>
        </w:rPr>
      </w:pPr>
      <w:r>
        <w:rPr>
          <w:rFonts w:ascii="Courier New" w:cs="Courier New" w:eastAsia="Courier New" w:hAnsi="Courier New"/>
          <w:sz w:val="18"/>
          <w:szCs w:val="18"/>
          <w:color w:val="auto"/>
        </w:rPr>
        <w:t>Title: Executive Vice President &amp; CFO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SCOTTS PROFESSIONAL PRODUCTS CO.</w:t>
      </w:r>
    </w:p>
    <w:p>
      <w:pPr>
        <w:spacing w:after="0" w:line="200" w:lineRule="exact"/>
        <w:rPr>
          <w:sz w:val="20"/>
          <w:szCs w:val="20"/>
          <w:color w:val="auto"/>
        </w:rPr>
      </w:pPr>
    </w:p>
    <w:p>
      <w:pPr>
        <w:spacing w:after="0" w:line="221"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By: /s/ Patrick J. Norton</w:t>
      </w:r>
    </w:p>
    <w:p>
      <w:pPr>
        <w:ind w:left="2700"/>
        <w:spacing w:after="0" w:line="238" w:lineRule="auto"/>
        <w:rPr>
          <w:sz w:val="20"/>
          <w:szCs w:val="20"/>
          <w:color w:val="auto"/>
        </w:rPr>
      </w:pPr>
      <w:r>
        <w:rPr>
          <w:rFonts w:ascii="Courier New" w:cs="Courier New" w:eastAsia="Courier New" w:hAnsi="Courier New"/>
          <w:sz w:val="18"/>
          <w:szCs w:val="18"/>
          <w:color w:val="auto"/>
        </w:rPr>
        <w:t>------------------------------------------</w:t>
      </w:r>
    </w:p>
    <w:p>
      <w:pPr>
        <w:ind w:left="2700"/>
        <w:spacing w:after="0"/>
        <w:rPr>
          <w:sz w:val="20"/>
          <w:szCs w:val="20"/>
          <w:color w:val="auto"/>
        </w:rPr>
      </w:pPr>
      <w:r>
        <w:rPr>
          <w:rFonts w:ascii="Courier New" w:cs="Courier New" w:eastAsia="Courier New" w:hAnsi="Courier New"/>
          <w:sz w:val="18"/>
          <w:szCs w:val="18"/>
          <w:color w:val="auto"/>
        </w:rPr>
        <w:t>Name: Patrick J. Norton</w:t>
      </w:r>
    </w:p>
    <w:p>
      <w:pPr>
        <w:ind w:left="2700"/>
        <w:spacing w:after="0" w:line="237" w:lineRule="auto"/>
        <w:rPr>
          <w:sz w:val="20"/>
          <w:szCs w:val="20"/>
          <w:color w:val="auto"/>
        </w:rPr>
      </w:pPr>
      <w:r>
        <w:rPr>
          <w:rFonts w:ascii="Courier New" w:cs="Courier New" w:eastAsia="Courier New" w:hAnsi="Courier New"/>
          <w:sz w:val="18"/>
          <w:szCs w:val="18"/>
          <w:color w:val="auto"/>
        </w:rPr>
        <w:t>Title: Executive Vice President &amp; CFO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SCOTTS-SIERRA HORTICULTURAL PRODUCTS</w:t>
      </w:r>
    </w:p>
    <w:p>
      <w:pPr>
        <w:ind w:left="2820"/>
        <w:spacing w:after="0" w:line="238" w:lineRule="auto"/>
        <w:rPr>
          <w:sz w:val="20"/>
          <w:szCs w:val="20"/>
          <w:color w:val="auto"/>
        </w:rPr>
      </w:pPr>
      <w:r>
        <w:rPr>
          <w:rFonts w:ascii="Courier New" w:cs="Courier New" w:eastAsia="Courier New" w:hAnsi="Courier New"/>
          <w:sz w:val="18"/>
          <w:szCs w:val="18"/>
          <w:color w:val="auto"/>
        </w:rPr>
        <w:t>COMPANY</w:t>
      </w:r>
    </w:p>
    <w:p>
      <w:pPr>
        <w:spacing w:after="0" w:line="200" w:lineRule="exact"/>
        <w:rPr>
          <w:sz w:val="20"/>
          <w:szCs w:val="20"/>
          <w:color w:val="auto"/>
        </w:rPr>
      </w:pPr>
    </w:p>
    <w:p>
      <w:pPr>
        <w:spacing w:after="0" w:line="20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By: /s/ Patrick J. Norton</w:t>
      </w:r>
    </w:p>
    <w:p>
      <w:pPr>
        <w:spacing w:after="0" w:line="4"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Name: Patrick J. Norton</w:t>
      </w:r>
    </w:p>
    <w:p>
      <w:pPr>
        <w:ind w:left="2700"/>
        <w:spacing w:after="0" w:line="238" w:lineRule="auto"/>
        <w:rPr>
          <w:sz w:val="20"/>
          <w:szCs w:val="20"/>
          <w:color w:val="auto"/>
        </w:rPr>
      </w:pPr>
      <w:r>
        <w:rPr>
          <w:rFonts w:ascii="Courier New" w:cs="Courier New" w:eastAsia="Courier New" w:hAnsi="Courier New"/>
          <w:sz w:val="18"/>
          <w:szCs w:val="18"/>
          <w:color w:val="auto"/>
        </w:rPr>
        <w:t>Title: Executive Vice President &amp; CFO</w:t>
      </w:r>
    </w:p>
    <w:p>
      <w:pPr>
        <w:spacing w:after="0" w:line="200" w:lineRule="exact"/>
        <w:rPr>
          <w:sz w:val="20"/>
          <w:szCs w:val="20"/>
          <w:color w:val="auto"/>
        </w:rPr>
      </w:pPr>
    </w:p>
    <w:p>
      <w:pPr>
        <w:spacing w:after="0" w:line="20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SCOTTS-SIERRA CROP PROTECTION COMPANY</w:t>
      </w:r>
    </w:p>
    <w:p>
      <w:pPr>
        <w:spacing w:after="0" w:line="200" w:lineRule="exact"/>
        <w:rPr>
          <w:sz w:val="20"/>
          <w:szCs w:val="20"/>
          <w:color w:val="auto"/>
        </w:rPr>
      </w:pPr>
    </w:p>
    <w:p>
      <w:pPr>
        <w:spacing w:after="0" w:line="20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By: /s/ Patrick J. Norton</w:t>
      </w:r>
    </w:p>
    <w:p>
      <w:pPr>
        <w:spacing w:after="0" w:line="4"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Name: Patrick J. Norton</w:t>
      </w:r>
    </w:p>
    <w:p>
      <w:pPr>
        <w:ind w:left="2700"/>
        <w:spacing w:after="0" w:line="238" w:lineRule="auto"/>
        <w:rPr>
          <w:sz w:val="20"/>
          <w:szCs w:val="20"/>
          <w:color w:val="auto"/>
        </w:rPr>
      </w:pPr>
      <w:r>
        <w:rPr>
          <w:rFonts w:ascii="Courier New" w:cs="Courier New" w:eastAsia="Courier New" w:hAnsi="Courier New"/>
          <w:sz w:val="18"/>
          <w:szCs w:val="18"/>
          <w:color w:val="auto"/>
        </w:rPr>
        <w:t>Title: Executive Vice President &amp; CFO</w:t>
      </w:r>
    </w:p>
    <w:p>
      <w:pPr>
        <w:sectPr>
          <w:pgSz w:w="11900" w:h="16838" w:orient="portrait"/>
          <w:cols w:equalWidth="0" w:num="1">
            <w:col w:w="9019"/>
          </w:cols>
          <w:pgMar w:left="1440" w:top="514" w:right="1440" w:bottom="1440" w:gutter="0" w:footer="0" w:header="0"/>
        </w:sectPr>
      </w:pPr>
    </w:p>
    <w:bookmarkStart w:id="121" w:name="page122"/>
    <w:bookmarkEnd w:id="121"/>
    <w:p>
      <w:pPr>
        <w:jc w:val="right"/>
        <w:ind w:right="1779"/>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SCOTTS-SIERRA INVESTMENTS, INC.</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/s/ Patrick J. Norton</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Name: Patrick J. Norton</w:t>
      </w:r>
    </w:p>
    <w:p>
      <w:pPr>
        <w:ind w:left="3900"/>
        <w:spacing w:after="0" w:line="238" w:lineRule="auto"/>
        <w:rPr>
          <w:sz w:val="20"/>
          <w:szCs w:val="20"/>
          <w:color w:val="auto"/>
        </w:rPr>
      </w:pPr>
      <w:r>
        <w:rPr>
          <w:rFonts w:ascii="Courier New" w:cs="Courier New" w:eastAsia="Courier New" w:hAnsi="Courier New"/>
          <w:sz w:val="18"/>
          <w:szCs w:val="18"/>
          <w:color w:val="auto"/>
        </w:rPr>
        <w:t>Title: Executive Vice President &amp; CFO</w:t>
      </w:r>
    </w:p>
    <w:p>
      <w:pPr>
        <w:spacing w:after="0" w:line="200" w:lineRule="exact"/>
        <w:rPr>
          <w:sz w:val="20"/>
          <w:szCs w:val="20"/>
          <w:color w:val="auto"/>
        </w:rPr>
      </w:pPr>
    </w:p>
    <w:p>
      <w:pPr>
        <w:spacing w:after="0" w:line="20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SWISS FARMS PRODUCTS, INC.</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/s/ Patrick J. Norton</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Name: Patrick J. Norton</w:t>
      </w:r>
    </w:p>
    <w:p>
      <w:pPr>
        <w:ind w:left="3900"/>
        <w:spacing w:after="0" w:line="238" w:lineRule="auto"/>
        <w:rPr>
          <w:sz w:val="20"/>
          <w:szCs w:val="20"/>
          <w:color w:val="auto"/>
        </w:rPr>
      </w:pPr>
      <w:r>
        <w:rPr>
          <w:rFonts w:ascii="Courier New" w:cs="Courier New" w:eastAsia="Courier New" w:hAnsi="Courier New"/>
          <w:sz w:val="18"/>
          <w:szCs w:val="18"/>
          <w:color w:val="auto"/>
        </w:rPr>
        <w:t>Title: Executive Vice President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BANK AND TRUST COMPANY,</w:t>
      </w:r>
    </w:p>
    <w:p>
      <w:pPr>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Cauna M. Silva</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Cauna M. Silva</w:t>
      </w:r>
    </w:p>
    <w:p>
      <w:pPr>
        <w:spacing w:after="0" w:line="237" w:lineRule="auto"/>
        <w:rPr>
          <w:sz w:val="20"/>
          <w:szCs w:val="20"/>
          <w:color w:val="auto"/>
        </w:rPr>
      </w:pPr>
      <w:r>
        <w:rPr>
          <w:rFonts w:ascii="Courier New" w:cs="Courier New" w:eastAsia="Courier New" w:hAnsi="Courier New"/>
          <w:sz w:val="18"/>
          <w:szCs w:val="18"/>
          <w:color w:val="auto"/>
        </w:rPr>
        <w:t>Title: Vice President</w:t>
      </w:r>
    </w:p>
    <w:p>
      <w:pPr>
        <w:sectPr>
          <w:pgSz w:w="11900" w:h="16838" w:orient="portrait"/>
          <w:cols w:equalWidth="0" w:num="1">
            <w:col w:w="10219"/>
          </w:cols>
          <w:pgMar w:left="240" w:top="717" w:right="1440" w:bottom="1440" w:gutter="0" w:footer="0" w:header="0"/>
        </w:sectPr>
      </w:pPr>
    </w:p>
    <w:bookmarkStart w:id="122" w:name="page123"/>
    <w:bookmarkEnd w:id="122"/>
    <w:p>
      <w:pPr>
        <w:spacing w:after="0" w:line="200" w:lineRule="exact"/>
        <w:rPr>
          <w:sz w:val="20"/>
          <w:szCs w:val="20"/>
          <w:color w:val="auto"/>
        </w:rPr>
      </w:pPr>
    </w:p>
    <w:p>
      <w:pPr>
        <w:spacing w:after="0" w:line="293"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$400,000,000</w:t>
      </w:r>
    </w:p>
    <w:p>
      <w:pPr>
        <w:spacing w:after="0" w:line="20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SERIES A AND SERIES B</w:t>
      </w:r>
    </w:p>
    <w:p>
      <w:pPr>
        <w:spacing w:after="0" w:line="4"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8.625% SENIOR SUBORDINATED NOTES DUE 2009</w:t>
      </w:r>
    </w:p>
    <w:p>
      <w:pPr>
        <w:spacing w:after="0" w:line="200" w:lineRule="exact"/>
        <w:rPr>
          <w:sz w:val="20"/>
          <w:szCs w:val="20"/>
          <w:color w:val="auto"/>
        </w:rPr>
      </w:pPr>
    </w:p>
    <w:p>
      <w:pPr>
        <w:spacing w:after="0" w:line="221"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SUPPLEMENTAL INDENTURE</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Dated as of February 6, 2002</w:t>
      </w:r>
    </w:p>
    <w:p>
      <w:pPr>
        <w:spacing w:after="0" w:line="201"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INDENTURE</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Dated as of January 21, 1999</w:t>
      </w:r>
    </w:p>
    <w:p>
      <w:pPr>
        <w:spacing w:after="0" w:line="201"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STATE STREET BANK AND TRUST COMPANY,</w:t>
      </w:r>
    </w:p>
    <w:p>
      <w:pPr>
        <w:spacing w:after="0" w:line="201"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as Trustee</w:t>
      </w:r>
    </w:p>
    <w:p>
      <w:pPr>
        <w:sectPr>
          <w:pgSz w:w="11900" w:h="16838" w:orient="portrait"/>
          <w:cols w:equalWidth="0" w:num="1">
            <w:col w:w="9019"/>
          </w:cols>
          <w:pgMar w:left="1440" w:top="1440" w:right="1440" w:bottom="1440" w:gutter="0" w:footer="0" w:header="0"/>
        </w:sectPr>
      </w:pPr>
    </w:p>
    <w:bookmarkStart w:id="123" w:name="page124"/>
    <w:bookmarkEnd w:id="123"/>
    <w:p>
      <w:pPr>
        <w:jc w:val="right"/>
        <w:ind w:right="1779"/>
        <w:spacing w:after="0"/>
        <w:rPr>
          <w:sz w:val="20"/>
          <w:szCs w:val="20"/>
          <w:color w:val="auto"/>
        </w:rPr>
      </w:pPr>
      <w:r>
        <w:rPr>
          <w:rFonts w:ascii="Courier New" w:cs="Courier New" w:eastAsia="Courier New" w:hAnsi="Courier New"/>
          <w:sz w:val="18"/>
          <w:szCs w:val="18"/>
          <w:color w:val="auto"/>
        </w:rPr>
        <w:t>EXHIBIT 4.3</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REGISTRATION RIGHTS AGREEMENT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REGISTRATION RIGHTS AGREEMENT dated February 6, 2002 (the "Agreement") is entered into by and among The Scotts Company, an Ohio corporation (the "Company"), the guarantors listed in Schedule 1 hereto (the "Guarantors"), and J.P. Morgan Securities Inc., Banc of America Securities LLC First Union Securities, Inc., ABN AMRO Incorporated, Credit Lyonnais Securities (USA) Inc. (the "Initial Purchasers").</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the Guarantors and the Initial Purchasers are parties to the Purchase Agreement dated February 1, 2002 (the "Purchase Agreement"), which provides for the sale by the Company to the Initial Purchasers of $70,000,000 aggregate principal amount of the Company's 8.625% Senior Subordinated Notes due 2009 (the "Securities") which will be guaranteed on an unsecured senior subordinated basis by each of the Guarantors. As an inducement to the Initial Purchasers to enter into the Purchase Agreement, the Company and the Guarantors have agreed to provide to the Initial Purchasers and their direct and indirect transferees the registration rights set forth in this Agreement. The execution and delivery of this Agreement is a condition to the closing under the Purchase Agreement.</w:t>
      </w:r>
    </w:p>
    <w:p>
      <w:pPr>
        <w:spacing w:after="0" w:line="21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In consideration of the foregoing, the parties hereto agree as follows:</w:t>
      </w:r>
    </w:p>
    <w:p>
      <w:pPr>
        <w:spacing w:after="0" w:line="207" w:lineRule="exact"/>
        <w:rPr>
          <w:sz w:val="20"/>
          <w:szCs w:val="20"/>
          <w:color w:val="auto"/>
        </w:rPr>
      </w:pPr>
    </w:p>
    <w:p>
      <w:pPr>
        <w:ind w:right="2099" w:firstLine="956"/>
        <w:spacing w:after="0" w:line="235" w:lineRule="auto"/>
        <w:tabs>
          <w:tab w:leader="none" w:pos="1264" w:val="left"/>
        </w:tabs>
        <w:numPr>
          <w:ilvl w:val="0"/>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As used in this Agreement, the following terms shall have the following meanings:</w:t>
      </w:r>
    </w:p>
    <w:p>
      <w:pPr>
        <w:spacing w:after="0" w:line="208"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"Business Day" shall mean any day that is not a Saturday, Sunday or other day on which commercial banks in New York City, Ohio, Connecticut or Massachusetts are authorized or required by law to remain closed.</w:t>
      </w:r>
    </w:p>
    <w:p>
      <w:pPr>
        <w:spacing w:after="0" w:line="209"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"Closing Date" shall mean the Closing Date as defined in the Purchase Agreement.</w:t>
      </w:r>
    </w:p>
    <w:p>
      <w:pPr>
        <w:spacing w:after="0" w:line="208"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"Company" shall have the meaning set forth in the preamble and shall also include the Company's successors.</w:t>
      </w:r>
    </w:p>
    <w:p>
      <w:pPr>
        <w:spacing w:after="0" w:line="208"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"Exchange Act" shall mean the Securities Exchange Act of 1934, as amended from time to time.</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"Exchange Dates" shall have the meaning set forth in Section 2(a)(ii)</w:t>
      </w:r>
    </w:p>
    <w:p>
      <w:pPr>
        <w:spacing w:after="0" w:line="238" w:lineRule="auto"/>
        <w:rPr>
          <w:sz w:val="20"/>
          <w:szCs w:val="20"/>
          <w:color w:val="auto"/>
        </w:rPr>
      </w:pPr>
      <w:r>
        <w:rPr>
          <w:rFonts w:ascii="Courier New" w:cs="Courier New" w:eastAsia="Courier New" w:hAnsi="Courier New"/>
          <w:sz w:val="18"/>
          <w:szCs w:val="18"/>
          <w:color w:val="auto"/>
        </w:rPr>
        <w:t>hereof.</w:t>
      </w:r>
    </w:p>
    <w:p>
      <w:pPr>
        <w:sectPr>
          <w:pgSz w:w="11900" w:h="16838" w:orient="portrait"/>
          <w:cols w:equalWidth="0" w:num="1">
            <w:col w:w="10219"/>
          </w:cols>
          <w:pgMar w:left="240" w:top="541" w:right="1440" w:bottom="1440" w:gutter="0" w:footer="0" w:header="0"/>
        </w:sectPr>
      </w:pPr>
    </w:p>
    <w:bookmarkStart w:id="124" w:name="page125"/>
    <w:bookmarkEnd w:id="124"/>
    <w:p>
      <w:pPr>
        <w:ind w:right="1779" w:firstLine="948"/>
        <w:spacing w:after="0" w:line="236" w:lineRule="auto"/>
        <w:rPr>
          <w:sz w:val="20"/>
          <w:szCs w:val="20"/>
          <w:color w:val="auto"/>
        </w:rPr>
      </w:pPr>
      <w:r>
        <w:rPr>
          <w:rFonts w:ascii="Courier New" w:cs="Courier New" w:eastAsia="Courier New" w:hAnsi="Courier New"/>
          <w:sz w:val="18"/>
          <w:szCs w:val="18"/>
          <w:color w:val="auto"/>
        </w:rPr>
        <w:t>"Exchange Offer" shall mean the exchange offer by the Company and the Guarantors of Exchange Securities for Registrable Securities pursuant to Section 2(a) hereof.</w:t>
      </w:r>
    </w:p>
    <w:p>
      <w:pPr>
        <w:spacing w:after="0" w:line="209"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"Exchange Offer Registration" shall mean a registration under the Securities Act effected pursuant to Section 2(a) hereof.</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"Exchange Offer Registration Statement" shall mean an exchange offer registration statement on Form S-4 (or, if applicable, on another appropriate form) and all amendments and supplements to such registration statement, in each case including the Prospectus contained therein, all exhibits thereto and any document incorporated by reference therein.</w:t>
      </w:r>
    </w:p>
    <w:p>
      <w:pPr>
        <w:spacing w:after="0" w:line="209"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"Exchange Securities" shall mean senior subordinated notes issued by the Company and guaranteed by the Guarantors under the Indenture containing terms identical to the Securities (except that the Exchange Securities will not be subject to restrictions on transfer or to any increase in annual interest rate for failure to comply with this Agreement) and to be offered to Holders of Securities in exchange for Securities pursuant to the Exchange Offer.</w:t>
      </w:r>
    </w:p>
    <w:p>
      <w:pPr>
        <w:spacing w:after="0" w:line="186"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"Guarantors" shall have the meaning set forth in the preamble and shall also include any Guarantor's successors.</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"Holders" shall mean the Initial Purchasers, for so long as they own any Registrable Securities, and each of their successors, assigns and direct and indirect transferees who become owners of Registrable Securities under the Indenture; provided that for purposes of Sections 4 and 5 of this Agreement, the term "Holders" shall include Participating Broker-Dealers.</w:t>
      </w: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"Initial Purchasers" shall have the meaning set forth in the preamble.</w:t>
      </w:r>
    </w:p>
    <w:p>
      <w:pPr>
        <w:spacing w:after="0" w:line="22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"Indenture" shall mean the Indenture relating to the Securities dated as of January 21, 1999 among the Company, the Guarantors and State Street Bank and Trust Company, as trustee, and as the same may be amended from time to time in accordance with the terms thereof.</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"Majority Holders" shall mean the Holders of a majority of the aggregate principal amount of outstanding Registrable Securities; provided that whenever the consent or approval of Holders of a specified percentage of Registrable Securities is required hereunder, Registrable Securities owned directly or indirectly by the Company or any of its affiliates shall not be counted in determining whether such consent or approval was given by the Holders of such required percentage or amount.</w:t>
      </w:r>
    </w:p>
    <w:p>
      <w:pPr>
        <w:spacing w:after="0" w:line="211"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"Participating Broker-Dealers" shall have the meaning set forth in Section 4(a) hereof.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2" w:right="1440" w:bottom="1440" w:gutter="0" w:footer="0" w:header="0"/>
        </w:sectPr>
      </w:pPr>
    </w:p>
    <w:bookmarkStart w:id="125" w:name="page126"/>
    <w:bookmarkEnd w:id="125"/>
    <w:p>
      <w:pPr>
        <w:ind w:right="1999" w:firstLine="948"/>
        <w:spacing w:after="0" w:line="236" w:lineRule="auto"/>
        <w:rPr>
          <w:sz w:val="20"/>
          <w:szCs w:val="20"/>
          <w:color w:val="auto"/>
        </w:rPr>
      </w:pPr>
      <w:r>
        <w:rPr>
          <w:rFonts w:ascii="Courier New" w:cs="Courier New" w:eastAsia="Courier New" w:hAnsi="Courier New"/>
          <w:sz w:val="18"/>
          <w:szCs w:val="18"/>
          <w:color w:val="auto"/>
        </w:rPr>
        <w:t>"Person" shall mean an individual, partnership, limited liability company, corporation, trust or unincorporated organization, or a government or agency or political subdivision thereof.</w:t>
      </w: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"Purchase Agreement" shall have the meaning set forth in the preamble.</w:t>
      </w:r>
    </w:p>
    <w:p>
      <w:pPr>
        <w:spacing w:after="0" w:line="22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"Prospectus" shall mean the prospectus included in a Registration Statement, including any preliminary prospectus, and any such prospectus as amended or supplemented by any prospectus supplement, including a prospectus supplement with respect to the terms of the offering of any portion of the Registrable Securities covered by a Shelf Registration Statement, and by all other amendments and supplements to such prospectus, and in each case including any document incorporated by reference therein.</w:t>
      </w:r>
    </w:p>
    <w:p>
      <w:pPr>
        <w:spacing w:after="0" w:line="21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"Registrable Securities" shall mean the Securities; provided that the Securities shall cease to be Registrable Securities (i) when a Registration Statement with respect to such Securities has been declared effective under the Securities Act and such Securities have been exchanged or disposed of pursuant to such Registration Statement, (ii) when such Securities are eligible to be sold pursuant to Rule 144(k) (or any similar provision then in force, but not Rule 144A) under the Securities Act or (iii) when such Securities cease to be outstanding.</w:t>
      </w:r>
    </w:p>
    <w:p>
      <w:pPr>
        <w:spacing w:after="0" w:line="212"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"Registration Expenses" shall mean any and all expenses incident to performance of or compliance by the Company and the Guarantors with this Agreement, including without limitation: (i) all SEC, stock exchange or National Association of Securities Dealers, Inc. registration and filing fees, (ii) all fees and expenses incurred in connection with compliance with state securities or blue sky laws (including reasonable fees and disbursements of counsel for any Underwriters or Holders in connection with blue sky qualification of any Exchange Securities or Registrable Securities), (iii) all expenses of any Persons in preparing or assisting in preparing, word processing, printing and distributing any Registration Statement, any Prospectus and any amendments or supplements thereto, any underwriting agreements, securities sales agreements or other similar agreements and any other documents relating to the performance of and compliance with this Agreement, (iv) all rating agency fees, (v) all fees and disbursements relating to the qualification of the Indenture under applicable securities laws, (vi) the fees and disbursements of the Trustee and its counsel, (vii) the fees and disbursements of counsel for the Company and the Guarantors and, in the case of a Shelf Registration Statement, the fees and disbursements of one counsel for the Holders (which counsel shall be selected by the Majority Holders and which counsel may also be counsel for the Initial Purchasers) and (viii) the fees and disbursements of the independent public accountants of the Company and the Guarantors, including the expenses of any special audits or "comfort" letters required by or incident to the performance of and compliance with this Agreement, but excluding fees and expenses of counsel to the</w:t>
      </w: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2" w:right="1440" w:bottom="1440" w:gutter="0" w:footer="0" w:header="0"/>
        </w:sectPr>
      </w:pPr>
    </w:p>
    <w:bookmarkStart w:id="126" w:name="page127"/>
    <w:bookmarkEnd w:id="126"/>
    <w:p>
      <w:pPr>
        <w:ind w:right="1879"/>
        <w:spacing w:after="0" w:line="279" w:lineRule="auto"/>
        <w:rPr>
          <w:sz w:val="20"/>
          <w:szCs w:val="20"/>
          <w:color w:val="auto"/>
        </w:rPr>
      </w:pPr>
      <w:r>
        <w:rPr>
          <w:rFonts w:ascii="Courier New" w:cs="Courier New" w:eastAsia="Courier New" w:hAnsi="Courier New"/>
          <w:sz w:val="16"/>
          <w:szCs w:val="16"/>
          <w:color w:val="auto"/>
        </w:rPr>
        <w:t>Underwriters (other than fees and expenses set forth in clause (ii) above) or the Holders and underwriting discounts and commissions and transfer taxes, if any, relating to the sale or disposition of Registrable Securities by a Holder.</w:t>
      </w:r>
    </w:p>
    <w:p>
      <w:pPr>
        <w:spacing w:after="0" w:line="178"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"Registration Statement" shall mean any registration statement of the Company and the Guarantors that covers any of the Exchange Securities or Registrable Securities pursuant to the provisions of this Agreement and all amendments and supplements to any such registration statement, including post-effective amendments, in each case including the Prospectus contained therein, all exhibits thereto and any document incorporated by reference therein.</w:t>
      </w: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 shall mean the Securities and Exchange Commission.</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"Securities Act" shall mean the Securities Act of 1933, as amended from time to time.</w:t>
      </w:r>
    </w:p>
    <w:p>
      <w:pPr>
        <w:spacing w:after="0" w:line="208"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"Shelf Registration" shall mean a registration effected pursuant to Section 2(b) hereof.</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"Shelf Registration Statement" shall mean a "shelf" registration statement of the Company and the Guarantors that covers all the Registrable Securities (but no other securities unless approved by the Holders whose Registrable Securities are to be covered by such Shelf Registration Statement) on an appropriate form under Rule 415 under the Securities Act, or any similar rule that may be adopted by the SEC, and all amendments and supplements to such registration statement, including post-effective amendments, in each case including the Prospectus contained therein, all exhibits thereto and any document incorporated by reference therein.</w:t>
      </w:r>
    </w:p>
    <w:p>
      <w:pPr>
        <w:spacing w:after="0" w:line="214"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"Trust Indenture Act" shall mean the Trust Indenture Act of 1939, as amended from time to time.</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"Trustee" shall mean the trustee with respect to the Securities under the Indenture.</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"Underwriter" shall have the meaning set forth in Section 3 hereof.</w:t>
      </w:r>
    </w:p>
    <w:p>
      <w:pPr>
        <w:spacing w:after="0" w:line="207" w:lineRule="exact"/>
        <w:rPr>
          <w:sz w:val="20"/>
          <w:szCs w:val="20"/>
          <w:color w:val="auto"/>
        </w:rPr>
      </w:pPr>
    </w:p>
    <w:p>
      <w:pPr>
        <w:ind w:right="2199" w:firstLine="948"/>
        <w:spacing w:after="0" w:line="290" w:lineRule="auto"/>
        <w:rPr>
          <w:sz w:val="20"/>
          <w:szCs w:val="20"/>
          <w:color w:val="auto"/>
        </w:rPr>
      </w:pPr>
      <w:r>
        <w:rPr>
          <w:rFonts w:ascii="Courier New" w:cs="Courier New" w:eastAsia="Courier New" w:hAnsi="Courier New"/>
          <w:sz w:val="16"/>
          <w:szCs w:val="16"/>
          <w:color w:val="auto"/>
        </w:rPr>
        <w:t>"Underwritten Offering" shall mean an offering in which Registrable Securities are sold to an Underwriter for reoffering to the public.</w:t>
      </w:r>
    </w:p>
    <w:p>
      <w:pPr>
        <w:spacing w:after="0" w:line="170" w:lineRule="exact"/>
        <w:rPr>
          <w:sz w:val="20"/>
          <w:szCs w:val="20"/>
          <w:color w:val="auto"/>
        </w:rPr>
      </w:pPr>
    </w:p>
    <w:p>
      <w:pPr>
        <w:ind w:right="1879" w:firstLine="956"/>
        <w:spacing w:after="0" w:line="237" w:lineRule="auto"/>
        <w:tabs>
          <w:tab w:leader="none" w:pos="1264"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UNDER THE SECURITIES ACT. (a) To the extent not prohibited by any applicable law or applicable interpretations of the Staff of the SEC, the Company and the Guarantors shall use their reasonable best efforts to (i) cause to be filed an Exchange Offer Registration Statement covering an offer to the Holders to exchange all the Registrable Securities for Exchange Securities and (ii) have such Registration Statement remain effective until the closing of the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27" w:name="page128"/>
    <w:bookmarkEnd w:id="127"/>
    <w:p>
      <w:pPr>
        <w:ind w:right="1779"/>
        <w:spacing w:after="0" w:line="237" w:lineRule="auto"/>
        <w:rPr>
          <w:sz w:val="20"/>
          <w:szCs w:val="20"/>
          <w:color w:val="auto"/>
        </w:rPr>
      </w:pPr>
      <w:r>
        <w:rPr>
          <w:rFonts w:ascii="Courier New" w:cs="Courier New" w:eastAsia="Courier New" w:hAnsi="Courier New"/>
          <w:sz w:val="18"/>
          <w:szCs w:val="18"/>
          <w:color w:val="auto"/>
        </w:rPr>
        <w:t>Exchange Offer. The Company and the Guarantors shall commence the Exchange Offer promptly after the Exchange Offer Registration Statement is declared effective by the SEC and use their reasonable best efforts to complete the Exchange Offer not later than 30 days after such effective date.</w:t>
      </w:r>
    </w:p>
    <w:p>
      <w:pPr>
        <w:spacing w:after="0" w:line="207"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The Company and the Guarantors shall commence the Exchange Offer by mailing the related Prospectus, appropriate letters of transmittal and other accompanying documents to each Holder stating, in addition to such other disclosures as are required by applicable law:</w:t>
      </w:r>
    </w:p>
    <w:p>
      <w:pPr>
        <w:spacing w:after="0" w:line="207" w:lineRule="exact"/>
        <w:rPr>
          <w:sz w:val="20"/>
          <w:szCs w:val="20"/>
          <w:color w:val="auto"/>
        </w:rPr>
      </w:pPr>
    </w:p>
    <w:p>
      <w:pPr>
        <w:ind w:left="960" w:right="2099" w:hanging="952"/>
        <w:spacing w:after="0" w:line="236" w:lineRule="auto"/>
        <w:tabs>
          <w:tab w:leader="none" w:pos="960"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Exchange Offer is being made pursuant to this Agreement and that all Registrable Securities validly tendered and not properly withdrawn will be accepted for exchange;</w:t>
      </w:r>
    </w:p>
    <w:p>
      <w:pPr>
        <w:spacing w:after="0" w:line="208" w:lineRule="exact"/>
        <w:rPr>
          <w:rFonts w:ascii="Courier New" w:cs="Courier New" w:eastAsia="Courier New" w:hAnsi="Courier New"/>
          <w:sz w:val="18"/>
          <w:szCs w:val="18"/>
          <w:color w:val="auto"/>
        </w:rPr>
      </w:pPr>
    </w:p>
    <w:p>
      <w:pPr>
        <w:ind w:left="960" w:right="2199" w:hanging="952"/>
        <w:spacing w:after="0" w:line="236" w:lineRule="auto"/>
        <w:tabs>
          <w:tab w:leader="none" w:pos="960"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dates of acceptance for exchange (which shall be a period of at least 20 Business Days from the date such notice is mailed) (the "Exchange Dates");</w:t>
      </w:r>
    </w:p>
    <w:p>
      <w:pPr>
        <w:spacing w:after="0" w:line="208" w:lineRule="exact"/>
        <w:rPr>
          <w:rFonts w:ascii="Courier New" w:cs="Courier New" w:eastAsia="Courier New" w:hAnsi="Courier New"/>
          <w:sz w:val="18"/>
          <w:szCs w:val="18"/>
          <w:color w:val="auto"/>
        </w:rPr>
      </w:pPr>
    </w:p>
    <w:p>
      <w:pPr>
        <w:ind w:left="960" w:right="1879" w:hanging="952"/>
        <w:spacing w:after="0" w:line="236" w:lineRule="auto"/>
        <w:tabs>
          <w:tab w:leader="none" w:pos="960"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any Registrable Security not tendered will remain outstanding and continue to accrue interest but will not retain any rights under this Agreement;</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any Holder electing to have a Registrable Security exchanged pursuant to the Exchange Offer will be required to surrender such Registrable Security, together with the appropriate letters of transmittal, to the institution and at the address (located in the Borough of Manhattan, The City of New York) and in the manner specified in the notice, prior to the close of business on the last Exchange Date; and</w:t>
      </w:r>
    </w:p>
    <w:p>
      <w:pPr>
        <w:spacing w:after="0" w:line="211"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any Holder will be entitled to withdraw its election, not later than the close of business on the last Exchange Date, by sending to the institution and at the address (located in the Borough of Manhattan, The City of New York) specified in the notice, a telegram, facsimile transmission or letter setting forth the name of such Holder, the principal amount of Registrable Securities delivered for exchange and a statement that such Holder is withdrawing its election to have such Securities exchanged.</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As a condition to participating in the Exchange Offer, a Holder will be required to represent to the Company and the Guarantors that (i) any Exchange Securities to be received by it will be acquired in the ordinary course of its business, (ii) at the time of the commencement of the Exchange Offer it has no arrangement or understanding with any Person to participate in the distribution (within the meaning of the Securities Act) of the Exchange Securities in violation of the provisions of the Securities Act, (iii) it is not an "affiliate" (within the meaning of Rule 405 under Securities Act) of the Company or any Guarantor and (iv) if such Holder is a broker-dealer that will receive Exchange Securities for its</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28" w:name="page129"/>
    <w:bookmarkEnd w:id="128"/>
    <w:p>
      <w:pPr>
        <w:ind w:right="1879"/>
        <w:spacing w:after="0" w:line="279" w:lineRule="auto"/>
        <w:rPr>
          <w:sz w:val="20"/>
          <w:szCs w:val="20"/>
          <w:color w:val="auto"/>
        </w:rPr>
      </w:pPr>
      <w:r>
        <w:rPr>
          <w:rFonts w:ascii="Courier New" w:cs="Courier New" w:eastAsia="Courier New" w:hAnsi="Courier New"/>
          <w:sz w:val="16"/>
          <w:szCs w:val="16"/>
          <w:color w:val="auto"/>
        </w:rPr>
        <w:t>own account in exchange for Registrable Securities that were acquired as a result of market-making or other trading activities, then such Holder will deliver a Prospectus in connection with any resale of such Exchange Securities.</w:t>
      </w:r>
    </w:p>
    <w:p>
      <w:pPr>
        <w:spacing w:after="0" w:line="178"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As soon as practicable after the last Exchange Date, the Company and the Guarantors shall:</w:t>
      </w:r>
    </w:p>
    <w:p>
      <w:pPr>
        <w:spacing w:after="0" w:line="208" w:lineRule="exact"/>
        <w:rPr>
          <w:sz w:val="20"/>
          <w:szCs w:val="20"/>
          <w:color w:val="auto"/>
        </w:rPr>
      </w:pPr>
    </w:p>
    <w:p>
      <w:pPr>
        <w:ind w:left="960" w:right="1779" w:hanging="952"/>
        <w:spacing w:after="0" w:line="290" w:lineRule="auto"/>
        <w:tabs>
          <w:tab w:leader="none" w:pos="960"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 for exchange Registrable Securities or portions thereof validly tendered and not properly withdrawn pursuant to the Exchange Offer; and</w:t>
      </w:r>
    </w:p>
    <w:p>
      <w:pPr>
        <w:spacing w:after="0" w:line="169" w:lineRule="exact"/>
        <w:rPr>
          <w:rFonts w:ascii="Courier New" w:cs="Courier New" w:eastAsia="Courier New" w:hAnsi="Courier New"/>
          <w:sz w:val="16"/>
          <w:szCs w:val="16"/>
          <w:color w:val="auto"/>
        </w:rPr>
      </w:pPr>
    </w:p>
    <w:p>
      <w:pPr>
        <w:ind w:left="960" w:right="1879" w:hanging="952"/>
        <w:spacing w:after="0" w:line="237" w:lineRule="auto"/>
        <w:tabs>
          <w:tab w:leader="none" w:pos="960" w:val="left"/>
        </w:tabs>
        <w:numPr>
          <w:ilvl w:val="0"/>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or cause to be delivered, to the Trustee for cancellation all Registrable Securities or portions thereof so accepted for exchange by the Company and issue, and cause the Trustee to promptly authenticate and deliver to each Holder, Exchange Securities equal in principal amount to the principal amount of the Registrable Securities surrendered by such Holder.</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and the Guarantors shall use their reasonable best efforts to complete the Exchange Offer as provided above and shall comply with the applicable requirements of the Securities Act, the Exchange Act and other applicable laws and regulations in connection with the Exchange Offer. The Exchange Offer shall not be subject to any conditions, other than that the Exchange Offer does not violate any applicable law or applicable interpretations of the Staff of the SEC.</w:t>
      </w:r>
    </w:p>
    <w:p>
      <w:pPr>
        <w:spacing w:after="0" w:line="211" w:lineRule="exact"/>
        <w:rPr>
          <w:sz w:val="20"/>
          <w:szCs w:val="20"/>
          <w:color w:val="auto"/>
        </w:rPr>
      </w:pPr>
    </w:p>
    <w:p>
      <w:pPr>
        <w:ind w:right="1779" w:firstLine="956"/>
        <w:spacing w:after="0" w:line="269" w:lineRule="auto"/>
        <w:tabs>
          <w:tab w:leader="none" w:pos="1369"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(i) the Company and the Guarantors determine that the Exchange Offer Registration provided for in Section 2(a) above is not available or may not be completed as soon as practicable after the last Exchange Date because it would violate any applicable law or applicable interpretations of the Staff of the SEC, (ii) the Exchange Offer is not for any other reason completed by ______________, 2002 [insert date nine months after closing date] or (iii) the Exchange Offer has been completed and in the opinion of counsel for the Initial Purchasers a Registration Statement must be filed and a Prospectus must be delivered by the Initial Purchasers in connection with any offering or sale of Registrable Securities, the Company and the Guarantors shall use their reasonable best efforts to cause to be filed as soon as practicable after such determination, date or notice of such opinion of counsel is given to the Company, as the case may be, a Shelf Registration Statement providing for the sale of all the Registrable Securities by the Holders thereof and to have such Shelf Registration Statement declared effective by the SEC. In the event the Initial Purchasers hold an unsold allotment of the Securities on the 150th day after the date of this Agreement, J.P. Morgan Securities Inc. or the relevant Initial Purchaser shall notify the Company of such unsold allotment.</w:t>
      </w:r>
    </w:p>
    <w:p>
      <w:pPr>
        <w:spacing w:after="0" w:line="395"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In the event that the Company and the Guarantors are required to file a Shelf Registration Statement solely as a result of the matters referred to in clause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29" w:name="page130"/>
    <w:bookmarkEnd w:id="129"/>
    <w:p>
      <w:pPr>
        <w:ind w:right="1879" w:firstLine="8"/>
        <w:spacing w:after="0" w:line="271" w:lineRule="auto"/>
        <w:tabs>
          <w:tab w:leader="none" w:pos="632"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preceding sentence, the Company and the Guarantors shall use their reasonable best efforts to file and have declared effective by the SEC both an Exchange Offer Registration Statement pursuant to Section 2(a) with respect to all Registrable Securities and a Shelf Registration Statement (which may be a combined Registration Statement with the Exchange Offer Registration Statement) with respect to offers and sales of Registrable Securities held by the Initial Purchasers after completion of the Exchange Offer.</w:t>
      </w:r>
    </w:p>
    <w:p>
      <w:pPr>
        <w:spacing w:after="0" w:line="18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Company and the Guarantors agree to use their reasonable best efforts to keep the Shelf Registration Statement continuously effective until the expiration of the period referred to in Rule 144(k) under the Securities Act with respect to the Registrable Securities or such shorter period that will terminate when all the Registrable Securities covered by the Shelf Registration Statement have been sold pursuant to the Shelf Registration Statement. The Company and the Guarantors further agree to supplement or amend the Shelf Registration Statement and the related Prospectus if required by the rules, regulations or instructions applicable to the registration form used by the Company for such Shelf Registration Statement or by the Securities Act or by any other rules and regulations thereunder for shelf registration or if reasonably requested by a Holder of Registrable Securities with respect to information relating to such Holder, and to use their reasonable best efforts to cause any such amendment to become effective and such Shelf Registration Statement and Prospectus to become usable as soon as thereafter practicable. The Company and the Guarantors agree to furnish to the Holders of Registrable Securities copies of any such supplement or amendment promptly after its being used or filed with the SEC.</w:t>
      </w:r>
    </w:p>
    <w:p>
      <w:pPr>
        <w:spacing w:after="0" w:line="209" w:lineRule="exact"/>
        <w:rPr>
          <w:sz w:val="20"/>
          <w:szCs w:val="20"/>
          <w:color w:val="auto"/>
        </w:rPr>
      </w:pPr>
    </w:p>
    <w:p>
      <w:pPr>
        <w:ind w:right="1879" w:firstLine="956"/>
        <w:spacing w:after="0" w:line="273" w:lineRule="auto"/>
        <w:tabs>
          <w:tab w:leader="none" w:pos="1369"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Guarantors shall pay all Registration Expenses in connection with the registration pursuant to Section 2(a) and Section 2(b) hereof. Each Holder shall pay all underwriting discounts and commissions and transfer taxes, if any, relating to the sale or disposition of such Holder's Registrable Securities pursuant to the Shelf Registration Statement.</w:t>
      </w:r>
    </w:p>
    <w:p>
      <w:pPr>
        <w:spacing w:after="0" w:line="184"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Exchange Offer Registration Statement pursuant to Section 2(a) hereof or a Shelf Registration Statement pursuant to Section 2(b) hereof will not be deemed to have become effective unless it has been declared effective by the SEC; PROVIDED that if, after it has been declared effective, the offering of Registrable Securities pursuant to a Shelf Registration Statement is interfered with by any stop order, injunction or other order or requirement of the SEC or any court or other governmental or regulatory agency or body, such Registration Statement will be deemed not to have become effective during the period of such interference until the offering of Registrable Securities pursuant to such Registration Statement may legally resume.</w:t>
      </w:r>
    </w:p>
    <w:p>
      <w:pPr>
        <w:spacing w:after="0" w:line="215"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In the event that either the Exchange Offer is not completed or the Shelf Registration Statement, if required hereby, is not declared effective on or prior 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30" w:name="page131"/>
    <w:bookmarkEnd w:id="130"/>
    <w:p>
      <w:pPr>
        <w:ind w:right="1779"/>
        <w:spacing w:after="0" w:line="238" w:lineRule="auto"/>
        <w:rPr>
          <w:sz w:val="20"/>
          <w:szCs w:val="20"/>
          <w:color w:val="auto"/>
        </w:rPr>
      </w:pPr>
      <w:r>
        <w:rPr>
          <w:rFonts w:ascii="Courier New" w:cs="Courier New" w:eastAsia="Courier New" w:hAnsi="Courier New"/>
          <w:sz w:val="18"/>
          <w:szCs w:val="18"/>
          <w:color w:val="auto"/>
        </w:rPr>
        <w:t>November 6, 2002 (the "Target Registration Date"), the interest rate on the Registrable Securities will be increased by (i) 0.50% per annum for the first 90-day period immediately following the Target Registration Date and (ii) an additional 0.50% per annum with respect to each subsequent 90-day period, in each case until the Exchange Offer is completed or the Shelf Registration Statement, if required hereby, is declared effective by the SEC or the Securities become freely tradable under the Securities Act, up to a maximum of 1.50% per annum of additional interest. In the event (x) a Shelf Registration Statement is required to be filed due to an unsold allotment held by an Initial Purchaser and (y) J.P. Morgan Securities Inc. or the relevant Initial Purchaser fails to give the notice described in the final sentence of the first paragraph of Section 2(b), then the additional interest described in this Section 2(d) shall not commence to accrue until 120 days after the delivery of such notice to the Company.</w:t>
      </w:r>
    </w:p>
    <w:p>
      <w:pPr>
        <w:spacing w:after="0" w:line="208" w:lineRule="exact"/>
        <w:rPr>
          <w:sz w:val="20"/>
          <w:szCs w:val="20"/>
          <w:color w:val="auto"/>
        </w:rPr>
      </w:pPr>
    </w:p>
    <w:p>
      <w:pPr>
        <w:ind w:right="1779" w:firstLine="956"/>
        <w:spacing w:after="0" w:line="271" w:lineRule="auto"/>
        <w:tabs>
          <w:tab w:leader="none" w:pos="1369"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limiting the remedies available to the Initial Purchasers and the Holders, the Company and the Guarantors acknowledge that any failure by the Company or the Guarantors to comply with their obligations under Section 2(a) and Section 2(b) hereof may result in material irreparable injury to the Initial Purchasers or the Holders for which there is no adequate remedy at law, that it will not be possible to measure damages for such injuries precisely and that, in the event of any such failure, the Initial Purchasers or any Holder may obtain such relief as may be required to specifically enforce the Company's and the Guarantors' obligations under Section 2(a) and Section 2(b) hereof.</w:t>
      </w:r>
    </w:p>
    <w:p>
      <w:pPr>
        <w:spacing w:after="0" w:line="184" w:lineRule="exact"/>
        <w:rPr>
          <w:sz w:val="20"/>
          <w:szCs w:val="20"/>
          <w:color w:val="auto"/>
        </w:rPr>
      </w:pPr>
    </w:p>
    <w:p>
      <w:pPr>
        <w:ind w:right="1779" w:firstLine="956"/>
        <w:spacing w:after="0" w:line="236" w:lineRule="auto"/>
        <w:tabs>
          <w:tab w:leader="none" w:pos="1264"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PROCEDURES. In connection with their obligations pursuant to Section 2(a) and Section 2(b) hereof, the Company and the Guarantors shall as expeditiously as possible:</w:t>
      </w:r>
    </w:p>
    <w:p>
      <w:pPr>
        <w:spacing w:after="0" w:line="209" w:lineRule="exact"/>
        <w:rPr>
          <w:sz w:val="20"/>
          <w:szCs w:val="20"/>
          <w:color w:val="auto"/>
        </w:rPr>
      </w:pPr>
    </w:p>
    <w:p>
      <w:pPr>
        <w:ind w:right="1779" w:firstLine="956"/>
        <w:spacing w:after="0" w:line="271" w:lineRule="auto"/>
        <w:tabs>
          <w:tab w:leader="none" w:pos="1369"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file with the SEC a Registration Statement on the appropriate form under the Securities Act, which form (x) shall be selected by the Company and the Guarantors, (y) shall, in the case of a Shelf Registration, be available for the sale of the Registrable Securities by the selling Holders thereof and (z) shall comply as to form in all material respects with the requirements of the applicable form and include all financial statements required by the SEC to be filed therewith; and use their reasonable best efforts to cause such Registration Statement to become effective and remain effective for the applicable period in accordance with Section 2 hereof;</w:t>
      </w:r>
    </w:p>
    <w:p>
      <w:pPr>
        <w:spacing w:after="0" w:line="388" w:lineRule="exact"/>
        <w:rPr>
          <w:rFonts w:ascii="Courier New" w:cs="Courier New" w:eastAsia="Courier New" w:hAnsi="Courier New"/>
          <w:sz w:val="16"/>
          <w:szCs w:val="16"/>
          <w:color w:val="auto"/>
        </w:rPr>
      </w:pPr>
    </w:p>
    <w:p>
      <w:pPr>
        <w:ind w:right="1879" w:firstLine="956"/>
        <w:spacing w:after="0" w:line="271" w:lineRule="auto"/>
        <w:tabs>
          <w:tab w:leader="none" w:pos="1369"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file with the SEC such amendments and post-effective amendments to each Registration Statement as may be necessary to keep such Registration Statement effective for the applicable period in accordance with Section 2 hereof and cause each Prospectus to be supplemented by any required prospectus supplement and, as so supplemented, to be filed pursuant to Rule 424 under the Securities Act; and keep each Prospectus current during the period described in Section 4(3) of and Rule 174 under the Securities Act that is</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2" w:right="1440" w:bottom="1440" w:gutter="0" w:footer="0" w:header="0"/>
        </w:sectPr>
      </w:pPr>
    </w:p>
    <w:bookmarkStart w:id="131" w:name="page132"/>
    <w:bookmarkEnd w:id="131"/>
    <w:p>
      <w:pPr>
        <w:ind w:right="1779"/>
        <w:spacing w:after="0" w:line="235" w:lineRule="auto"/>
        <w:rPr>
          <w:sz w:val="20"/>
          <w:szCs w:val="20"/>
          <w:color w:val="auto"/>
        </w:rPr>
      </w:pPr>
      <w:r>
        <w:rPr>
          <w:rFonts w:ascii="Courier New" w:cs="Courier New" w:eastAsia="Courier New" w:hAnsi="Courier New"/>
          <w:sz w:val="18"/>
          <w:szCs w:val="18"/>
          <w:color w:val="auto"/>
        </w:rPr>
        <w:t>applicable to transactions by brokers or dealers with respect to the Registrable Securities or Exchange Securities;</w:t>
      </w:r>
    </w:p>
    <w:p>
      <w:pPr>
        <w:spacing w:after="0" w:line="208" w:lineRule="exact"/>
        <w:rPr>
          <w:sz w:val="20"/>
          <w:szCs w:val="20"/>
          <w:color w:val="auto"/>
        </w:rPr>
      </w:pPr>
    </w:p>
    <w:p>
      <w:pPr>
        <w:ind w:right="1779" w:firstLine="956"/>
        <w:spacing w:after="0" w:line="270" w:lineRule="auto"/>
        <w:tabs>
          <w:tab w:leader="none" w:pos="1369" w:val="left"/>
        </w:tabs>
        <w:numPr>
          <w:ilvl w:val="1"/>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Shelf Registration, furnish to each Holder of Registrable Securities, to counsel for the Initial Purchasers, to counsel for such Holders and to each Underwriter of an Underwritten Offering of Registrable Securities, if any, without charge, as many copies of each Prospectus, including each preliminary Prospectus, and any amendment or supplement thereto, as such person shall reasonably request in order to facilitate the sale or other disposition of the Registrable Securities thereunder; and the Company and the Guarantors consent to the use of such Prospectus and any amendment or supplement thereto in accordance with applicable law by each of the selling Holders of Registrable Securities and any such Underwriters in connection with the offering and sale of the Registrable Securities covered by and in the manner described in such Prospectus or any amendment or supplement thereto in accordance with applicable law;</w:t>
      </w:r>
    </w:p>
    <w:p>
      <w:pPr>
        <w:spacing w:after="0" w:line="389" w:lineRule="exact"/>
        <w:rPr>
          <w:rFonts w:ascii="Courier New" w:cs="Courier New" w:eastAsia="Courier New" w:hAnsi="Courier New"/>
          <w:sz w:val="16"/>
          <w:szCs w:val="16"/>
          <w:color w:val="auto"/>
        </w:rPr>
      </w:pPr>
    </w:p>
    <w:p>
      <w:pPr>
        <w:ind w:right="1779" w:firstLine="956"/>
        <w:spacing w:after="0" w:line="238" w:lineRule="auto"/>
        <w:tabs>
          <w:tab w:leader="none" w:pos="1369" w:val="left"/>
        </w:tabs>
        <w:numPr>
          <w:ilvl w:val="1"/>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their reasonable best efforts to register or qualify the Registrable Securities under all applicable state securities or blue sky laws of such jurisdictions as any Holder of Registrable Securities covered by a Registration Statement shall reasonably request in writing by the time the applicable Registration Statement is declared effective by the SEC; cooperate with the Holders in connection with any filings required to be made with the National Association of Securities Dealers, Inc.; and do any and all other acts and things that may be reasonably necessary or advisable to enable each Holder to complete the disposition in each such jurisdiction of the Registrable Securities owned by such Holder; PROVIDED that neither the Company nor any Guarantor shall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so subject;</w:t>
      </w:r>
    </w:p>
    <w:p>
      <w:pPr>
        <w:spacing w:after="0" w:line="208" w:lineRule="exact"/>
        <w:rPr>
          <w:rFonts w:ascii="Courier New" w:cs="Courier New" w:eastAsia="Courier New" w:hAnsi="Courier New"/>
          <w:sz w:val="18"/>
          <w:szCs w:val="18"/>
          <w:color w:val="auto"/>
        </w:rPr>
      </w:pPr>
    </w:p>
    <w:p>
      <w:pPr>
        <w:ind w:right="1879" w:firstLine="956"/>
        <w:spacing w:after="0" w:line="268" w:lineRule="auto"/>
        <w:tabs>
          <w:tab w:leader="none" w:pos="1369" w:val="left"/>
        </w:tabs>
        <w:numPr>
          <w:ilvl w:val="1"/>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Shelf Registration, notify each Holder of Registrable Securities, counsel for such Holders and counsel for the Initial Purchasers promptly and, if requested by any such Holder or counsel, confirm such advice in writing (i) when a Registration Statement has become effective and when any post-effective amendment thereto has been filed and becomes effective, (ii) of any request by the SEC or any state securities authority for amendments and supplements to a Registration Statement and Prospectus or for additional information after the Registration Statement has become effective,</w:t>
      </w:r>
    </w:p>
    <w:p>
      <w:pPr>
        <w:spacing w:after="0" w:line="1" w:lineRule="exact"/>
        <w:rPr>
          <w:rFonts w:ascii="Courier New" w:cs="Courier New" w:eastAsia="Courier New" w:hAnsi="Courier New"/>
          <w:sz w:val="16"/>
          <w:szCs w:val="16"/>
          <w:color w:val="auto"/>
        </w:rPr>
      </w:pPr>
    </w:p>
    <w:p>
      <w:pPr>
        <w:ind w:right="1779" w:firstLine="8"/>
        <w:spacing w:after="0" w:line="237" w:lineRule="auto"/>
        <w:tabs>
          <w:tab w:leader="none" w:pos="632" w:val="left"/>
        </w:tabs>
        <w:numPr>
          <w:ilvl w:val="0"/>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issuance by the SEC or any state securities authority of any stop order suspending the effectiveness of a Registration Statement or the initiation of any proceedings for that purpose, (iv) if, between the effective date of a Registration Statement and the closing of any sale of Registrable Securities covered thereby, the representations and warranties of the Company or any Guarantor contained</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32" w:name="page133"/>
    <w:bookmarkEnd w:id="132"/>
    <w:p>
      <w:pPr>
        <w:ind w:right="1779"/>
        <w:spacing w:after="0" w:line="238" w:lineRule="auto"/>
        <w:rPr>
          <w:sz w:val="20"/>
          <w:szCs w:val="20"/>
          <w:color w:val="auto"/>
        </w:rPr>
      </w:pPr>
      <w:r>
        <w:rPr>
          <w:rFonts w:ascii="Courier New" w:cs="Courier New" w:eastAsia="Courier New" w:hAnsi="Courier New"/>
          <w:sz w:val="18"/>
          <w:szCs w:val="18"/>
          <w:color w:val="auto"/>
        </w:rPr>
        <w:t>in any underwriting agreement, securities sales agreement or other similar agreement, if any, relating to an offering of such Registrable Securities cease to be true and correct in all material respects or if the Company or any Guarantor receives any notification with respect to the suspension of the qualification of the Registrable Securities for sale in any jurisdiction or the initiation of any proceeding for such purpose, (v) of the happening of any event during the period a Shelf Registration Statement is effective that makes any statement made in such Registration Statement or the related Prospectus untrue in any material respect or that requires the making of any changes in such Registration Statement or Prospectus in order to make the statements therein, in light of the circumstances under which they were made, not misleading and (vi) of any determination by the Company or any Guarantor that a post-effective amendment to a Registration Statement would be appropriate;</w:t>
      </w:r>
    </w:p>
    <w:p>
      <w:pPr>
        <w:spacing w:after="0" w:line="207" w:lineRule="exact"/>
        <w:rPr>
          <w:sz w:val="20"/>
          <w:szCs w:val="20"/>
          <w:color w:val="auto"/>
        </w:rPr>
      </w:pPr>
    </w:p>
    <w:p>
      <w:pPr>
        <w:jc w:val="both"/>
        <w:ind w:right="1779" w:firstLine="956"/>
        <w:spacing w:after="0" w:line="237" w:lineRule="auto"/>
        <w:tabs>
          <w:tab w:leader="none" w:pos="1369"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their reasonable best efforts to obtain the withdrawal of any order suspending the effectiveness of a Registration Statement at the earliest possible moment and provide immediate notice to each Holder of the withdrawal of any such order;</w:t>
      </w:r>
    </w:p>
    <w:p>
      <w:pPr>
        <w:spacing w:after="0" w:line="207" w:lineRule="exact"/>
        <w:rPr>
          <w:rFonts w:ascii="Courier New" w:cs="Courier New" w:eastAsia="Courier New" w:hAnsi="Courier New"/>
          <w:sz w:val="18"/>
          <w:szCs w:val="18"/>
          <w:color w:val="auto"/>
        </w:rPr>
      </w:pPr>
    </w:p>
    <w:p>
      <w:pPr>
        <w:ind w:right="2199" w:firstLine="956"/>
        <w:spacing w:after="0" w:line="237" w:lineRule="auto"/>
        <w:tabs>
          <w:tab w:leader="none" w:pos="1369"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Shelf Registration, furnish to each Holder of Registrable Securities, without charge, at least one conformed copy of each Registration Statement and any post-effective amendment thereto (without any documents incorporated therein by reference or exhibits thereto, unless requested);</w:t>
      </w:r>
    </w:p>
    <w:p>
      <w:pPr>
        <w:spacing w:after="0" w:line="208"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Shelf Registration, cooperate with the selling Holders of Registrable Securities to facilitate the timely preparation and delivery of certificates representing Registrable Securities to be sold and not bearing any restrictive legends and enable such Registrable Securities to be issued in such denominations and registered in such names (consistent with the provisions of the Indenture) as the selling Holders may reasonably request at least one Business Day prior to the closing of any sale of Registrable Securities;</w:t>
      </w:r>
    </w:p>
    <w:p>
      <w:pPr>
        <w:spacing w:after="0" w:line="212" w:lineRule="exact"/>
        <w:rPr>
          <w:rFonts w:ascii="Courier New" w:cs="Courier New" w:eastAsia="Courier New" w:hAnsi="Courier New"/>
          <w:sz w:val="18"/>
          <w:szCs w:val="18"/>
          <w:color w:val="auto"/>
        </w:rPr>
      </w:pPr>
    </w:p>
    <w:p>
      <w:pPr>
        <w:ind w:right="1779" w:firstLine="956"/>
        <w:spacing w:after="0" w:line="270" w:lineRule="auto"/>
        <w:tabs>
          <w:tab w:leader="none" w:pos="1369"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Shelf Registration, upon the occurrence of any event contemplated by Section 3(e)(v) hereof, use their reasonable best efforts to prepare and file with the SEC a supplement or post-effective amendment to a Registration Statement or the related Prospectus or any document incorporated therein by reference or file any other required document so that, as thereafter delivered to purchasers of the Registrable Securities, such Prospectus will not contain any untrue statement of a material fact or omit to state a material fact necessary to make the statements therein, in the light of the circumstances under which they were made, not misleading; and the Company and the Guarantors shall notify the Holders of Registrable Securities to suspend use of the Prospectus as promptly as practicable after the occurrence of such an event, and such Holders hereby agree to suspend use of the Prospectus until the Company</w:t>
      </w:r>
    </w:p>
    <w:p>
      <w:pPr>
        <w:spacing w:after="0" w:line="1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2" w:right="1440" w:bottom="1440" w:gutter="0" w:footer="0" w:header="0"/>
        </w:sectPr>
      </w:pPr>
    </w:p>
    <w:bookmarkStart w:id="133" w:name="page134"/>
    <w:bookmarkEnd w:id="133"/>
    <w:p>
      <w:pPr>
        <w:ind w:right="1999"/>
        <w:spacing w:after="0" w:line="235" w:lineRule="auto"/>
        <w:rPr>
          <w:sz w:val="20"/>
          <w:szCs w:val="20"/>
          <w:color w:val="auto"/>
        </w:rPr>
      </w:pPr>
      <w:r>
        <w:rPr>
          <w:rFonts w:ascii="Courier New" w:cs="Courier New" w:eastAsia="Courier New" w:hAnsi="Courier New"/>
          <w:sz w:val="18"/>
          <w:szCs w:val="18"/>
          <w:color w:val="auto"/>
        </w:rPr>
        <w:t>and the Guarantors have amended or supplemented the Prospectus to correct such misstatement or omission;</w:t>
      </w:r>
    </w:p>
    <w:p>
      <w:pPr>
        <w:spacing w:after="0" w:line="208" w:lineRule="exact"/>
        <w:rPr>
          <w:sz w:val="20"/>
          <w:szCs w:val="20"/>
          <w:color w:val="auto"/>
        </w:rPr>
      </w:pPr>
    </w:p>
    <w:p>
      <w:pPr>
        <w:ind w:right="1779" w:firstLine="956"/>
        <w:spacing w:after="0" w:line="269" w:lineRule="auto"/>
        <w:tabs>
          <w:tab w:leader="none" w:pos="1369"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reasonable time prior to the filing of any Registration Statement, any Prospectus, any amendment to a Registration Statement or amendment or supplement to a Prospectus or of any document that is to be incorporated by reference into a Registration Statement or a Prospectus after initial filing of a Registration Statement, provide copies of such document to the Initial Purchasers and their counsel (and, in the case of a Shelf Registration Statement, to the Holders of Registrable Securities and their counsel) and make such of the representatives of the Company and the Guarantors as shall be reasonably requested by the Initial Purchasers or their counsel (and, in the case of a Shelf Registration Statement, the Holders of Registrable Securities or their counsel) available for discussion of such document; and the Company and the Guarantors shall not, at any time after initial filing of a Registration Statement, file any Prospectus, any amendment of or supplement to a Registration Statement or a Prospectus, or any document that is to be incorporated by reference into a Registration Statement or a Prospectus, of which the Initial Purchasers and their counsel (and, in the case of a Shelf Registration Statement, the Holders of Registrable Securities and their counsel) shall not have previously been advised and furnished a copy or to which the Initial Purchasers or their counsel (and, in the case of a Shelf Registration Statement, the Holders or their counsel) shall reasonably object;</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right="2099" w:firstLine="956"/>
        <w:spacing w:after="0" w:line="236" w:lineRule="auto"/>
        <w:tabs>
          <w:tab w:leader="none" w:pos="1369"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 CUSIP number for all Exchange Securities or Registrable Securities, as the case may be, not later than the effective date of a Registration Statement;</w:t>
      </w:r>
    </w:p>
    <w:p>
      <w:pPr>
        <w:spacing w:after="0" w:line="208"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the Indenture to be qualified under the Trust Indenture Act in connection with the registration of the Exchange Securities or Registrable Securities, as the case may be; cooperate with the Trustee and the Holders to effect such changes to the Indenture as may be required for the Indenture to be so qualified in accordance with the terms of the Trust Indenture Act; and execute, and use their reasonable best efforts to cause the Trustee to execute, all documents as may be required to effect such changes and all other forms and documents required to be filed with the SEC to enable the Indenture to be so qualified in a timely manner;</w:t>
      </w:r>
    </w:p>
    <w:p>
      <w:pPr>
        <w:spacing w:after="0" w:line="213"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Shelf Registration, make available for inspection by a representative of the Holders of the Registrable Securities (an "Inspector"), any Underwriter participating in any disposition pursuant to such Shelf Registration Statement, and attorneys and accountants designated by the Holders, at reasonable times and in a reasonable manner, all pertinent financial and other records, documents and properties of the Company and the Guarantors, and cause the respective officers, directors and employees of the Company and the Guarantors to supply all information reasonably requested by any such Inspector,</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2" w:right="1440" w:bottom="1440" w:gutter="0" w:footer="0" w:header="0"/>
        </w:sectPr>
      </w:pPr>
    </w:p>
    <w:bookmarkStart w:id="134" w:name="page135"/>
    <w:bookmarkEnd w:id="134"/>
    <w:p>
      <w:pPr>
        <w:ind w:right="1779"/>
        <w:spacing w:after="0" w:line="237" w:lineRule="auto"/>
        <w:rPr>
          <w:sz w:val="20"/>
          <w:szCs w:val="20"/>
          <w:color w:val="auto"/>
        </w:rPr>
      </w:pPr>
      <w:r>
        <w:rPr>
          <w:rFonts w:ascii="Courier New" w:cs="Courier New" w:eastAsia="Courier New" w:hAnsi="Courier New"/>
          <w:sz w:val="18"/>
          <w:szCs w:val="18"/>
          <w:color w:val="auto"/>
        </w:rPr>
        <w:t>Underwriter, attorney or accountant in connection with a Shelf Registration Statement; PROVIDED that if any such information is identified by the Company or any Guarantor as being confidential or proprietary, each Person receiving such information shall take such actions as are reasonably necessary to protect the confidentiality of such information to the extent such action is otherwise not inconsistent with, an impairment of or in derogation of the rights and interests of any Inspector, Holder or Underwriter);</w:t>
      </w:r>
    </w:p>
    <w:p>
      <w:pPr>
        <w:spacing w:after="0" w:line="211" w:lineRule="exact"/>
        <w:rPr>
          <w:sz w:val="20"/>
          <w:szCs w:val="20"/>
          <w:color w:val="auto"/>
        </w:rPr>
      </w:pPr>
    </w:p>
    <w:p>
      <w:pPr>
        <w:ind w:right="1879" w:firstLine="956"/>
        <w:spacing w:after="0" w:line="237" w:lineRule="auto"/>
        <w:tabs>
          <w:tab w:leader="none" w:pos="1369"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reasonably requested by any Holder of Registrable Securities covered by a Registration Statement, promptly incorporate in a Prospectus supplement or post-effective amendment such information with respect to such Holder as such Holder reasonably requests to be included therein and make all required filings of such Prospectus supplement or such post-effective amendment as soon as the Company has received notification of the matters to be incorporated in such filing; and</w:t>
      </w:r>
    </w:p>
    <w:p>
      <w:pPr>
        <w:spacing w:after="0" w:line="211" w:lineRule="exact"/>
        <w:rPr>
          <w:rFonts w:ascii="Courier New" w:cs="Courier New" w:eastAsia="Courier New" w:hAnsi="Courier New"/>
          <w:sz w:val="18"/>
          <w:szCs w:val="18"/>
          <w:color w:val="auto"/>
        </w:rPr>
      </w:pPr>
    </w:p>
    <w:p>
      <w:pPr>
        <w:ind w:right="1779" w:firstLine="956"/>
        <w:spacing w:after="0" w:line="269" w:lineRule="auto"/>
        <w:tabs>
          <w:tab w:leader="none" w:pos="1369"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Shelf Registration, enter into such customary agreements and take all such other actions in connection therewith (including those requested by the Holders of a majority in principal amount of the Registrable Securities being sold) in order to expedite or facilitate the disposition of such Registrable Securities including, but not limited to, an Underwritten Offering and in such connection, (i) to the extent possible, make such representations and warranties to the Holders and any Underwriters of such Registrable Securities with respect to the business of the Company and its subsidiaries, the Registration Statement, Prospectus and documents incorporated by reference or deemed incorporated by reference, if any, in each case, in form, substance and scope as are customarily made by issuers to underwriters in underwritten offerings and confirm the same if and when requested, (ii) obtain opinions of counsel to the Company and the Guarantors (which counsel and opinions, in form, scope and substance, shall be reasonably satisfactory to the Holders and such Underwriters and their respective counsel) addressed to each selling Holder and Underwriter of Registrable Securities, covering the matters customarily covered in opinions requested in underwritten offerings, (iii) obtain "comfort" letters from the independent certified public accountants of the Company and the Guarantors (and, if necessary, any other certified public accountant of any subsidiary of the Company or any Guarantor, or of any business acquired by the Company or any Guarantor for which financial statements and financial data are or are required to be included in the Registration Statement) addressed to each selling Holder and Underwriter of Registrable Securities, such letters to be in customary form and covering matters of the type customarily covered in "comfort" letters in connection with underwritten offerings and (iv) deliver such documents and certificates as may be reasonably requested by the Holders of a majority in principal amount of the Registrable Securities being sold or the Underwriters, and which are customarily delivered in underwritten offerings, to evidence the continued validity of the representations and warranties of the Company and the Guarantors made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35" w:name="page136"/>
    <w:bookmarkEnd w:id="135"/>
    <w:p>
      <w:pPr>
        <w:ind w:right="2419"/>
        <w:spacing w:after="0" w:line="235" w:lineRule="auto"/>
        <w:rPr>
          <w:sz w:val="20"/>
          <w:szCs w:val="20"/>
          <w:color w:val="auto"/>
        </w:rPr>
      </w:pPr>
      <w:r>
        <w:rPr>
          <w:rFonts w:ascii="Courier New" w:cs="Courier New" w:eastAsia="Courier New" w:hAnsi="Courier New"/>
          <w:sz w:val="18"/>
          <w:szCs w:val="18"/>
          <w:color w:val="auto"/>
        </w:rPr>
        <w:t>pursuant to clause (i) above and to evidence compliance with any customary conditions contained in an underwriting agreement.</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the case of a Shelf Registration Statement, the Company may require each Holder of Registrable Securities to furnish to the Company such information regarding such Holder and the proposed disposition by such Holder of such Registrable Securities as the Company and the Guarantors may from time to time reasonably request in writing.</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the case of a Shelf Registration Statement, each Holder of Registrable Securities agrees that, upon receipt of any notice from the Company and the Guarantors of the happening of any event of the kind described in Section 3(e)(iii) or 3(e)(v) hereof, such Holder will forthwith discontinue disposition of Registrable Securities pursuant to a Registration Statement until such Holder's receipt of the copies of the supplemented or amended Prospectus contemplated by Section 3(i) hereof and, if so directed by the Company and the Guarantors, such Holder will deliver to the Company and the Guarantors all copies in its possession, other than permanent file copies then in such Holder's possession, of the Prospectus covering such Registrable Securities that is current at the time of receipt of such notice.</w:t>
      </w:r>
    </w:p>
    <w:p>
      <w:pPr>
        <w:spacing w:after="0" w:line="21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If the Company and the Guarantors shall give any such notice to suspend the disposition of Registrable Securities pursuant to a Registration Statement, the Company and the Guarantors shall extend the period during which the Registration Statement shall be maintained effective pursuant to this Agreement by the number of days during the period from and including the date of the giving of such notice to and including the date when the Holders shall have received copies of the supplemented or amended Prospectus necessary to resume such dispositions. The Company and the Guarantors may give any such notice only twice during any 365-day period and any such suspensions shall not exceed 60 days for each suspension and there shall not be more than two suspensions in effect during any 365-day period.</w:t>
      </w:r>
    </w:p>
    <w:p>
      <w:pPr>
        <w:spacing w:after="0" w:line="21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Holders of Registrable Securities covered by a Shelf Registration Statement who desire to do so may sell such Registrable Securities in an Underwritten Offering. In any such Underwritten Offering, the investment banker or investment bankers and manager or managers (the "Underwriters") that will administer the offering will be selected by the Majority Holders of the Registrable Securities included in such offering.</w:t>
      </w:r>
    </w:p>
    <w:p>
      <w:pPr>
        <w:spacing w:after="0" w:line="210" w:lineRule="exact"/>
        <w:rPr>
          <w:sz w:val="20"/>
          <w:szCs w:val="20"/>
          <w:color w:val="auto"/>
        </w:rPr>
      </w:pPr>
    </w:p>
    <w:p>
      <w:pPr>
        <w:ind w:right="1879" w:firstLine="956"/>
        <w:spacing w:after="0" w:line="272" w:lineRule="auto"/>
        <w:tabs>
          <w:tab w:leader="none" w:pos="1264"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PARTICIPATION OF BROKER-DEALERS IN EXCHANGE OFFER. (a) The Staff of the SEC has taken the position that any broker-dealer that receives Exchange Securities for its own account in the Exchange Offer in exchange for Securities that were acquired by such broker-dealer as a result of market-making or other trading activities (a "Participating Broker-Dealer") may be deemed to be an "underwriter" within the meaning of the Securities Act and must deliver a</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25" w:right="1440" w:bottom="1440" w:gutter="0" w:footer="0" w:header="0"/>
        </w:sectPr>
      </w:pPr>
    </w:p>
    <w:bookmarkStart w:id="136" w:name="page137"/>
    <w:bookmarkEnd w:id="136"/>
    <w:p>
      <w:pPr>
        <w:ind w:right="1779"/>
        <w:spacing w:after="0" w:line="235" w:lineRule="auto"/>
        <w:rPr>
          <w:sz w:val="20"/>
          <w:szCs w:val="20"/>
          <w:color w:val="auto"/>
        </w:rPr>
      </w:pPr>
      <w:r>
        <w:rPr>
          <w:rFonts w:ascii="Courier New" w:cs="Courier New" w:eastAsia="Courier New" w:hAnsi="Courier New"/>
          <w:sz w:val="18"/>
          <w:szCs w:val="18"/>
          <w:color w:val="auto"/>
        </w:rPr>
        <w:t>prospectus meeting the requirements of the Securities Act in connection with any resale of such Exchange Securities.</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Company and the Guarantors understand that it is the Staff's position that if the Prospectus contained in the Exchange Offer Registration Statement includes a plan of distribution containing a statement to the above effect and the means by which Participating Broker-Dealers may resell the Exchange Securities, without naming the Participating Broker-Dealers or specifying the amount of Exchange Securities owned by them, such Prospectus may be delivered by Participating Broker-Dealers to satisfy their prospectus delivery obligation under the Securities Act in connection with resales of Exchange Securities for their own accounts, so long as the Prospectus otherwise meets the requirements of the Securities Act.</w:t>
      </w:r>
    </w:p>
    <w:p>
      <w:pPr>
        <w:spacing w:after="0" w:line="215" w:lineRule="exact"/>
        <w:rPr>
          <w:sz w:val="20"/>
          <w:szCs w:val="20"/>
          <w:color w:val="auto"/>
        </w:rPr>
      </w:pPr>
    </w:p>
    <w:p>
      <w:pPr>
        <w:ind w:right="1879" w:firstLine="956"/>
        <w:spacing w:after="0" w:line="238" w:lineRule="auto"/>
        <w:tabs>
          <w:tab w:leader="none" w:pos="1369"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light of the above, and notwithstanding the other provisions of this Agreement, the Company and the Guarantors agree to amend or supplement the Prospectus contained in the Exchange Offer Registration Statement, as would otherwise be contemplated by Section 3(i), for a period of up to 180 days after the last Exchange Date (as such period may be extended pursuant to the penultimate paragraph of Section 3 of this Agreement), if requested by the Initial Purchasers or by one or more Participating Broker-Dealers, in order to expedite or facilitate the disposition of any Exchange Securities by Participating Broker-Dealers consistent with the positions of the Staff recited in Section 4(a) above. The Company and the Guarantors further agree that Participating Broker-Dealers shall be authorized to deliver such Prospectus during such period in connection with the resales contemplated by this Section 4.</w:t>
      </w:r>
    </w:p>
    <w:p>
      <w:pPr>
        <w:spacing w:after="0" w:line="207" w:lineRule="exact"/>
        <w:rPr>
          <w:rFonts w:ascii="Courier New" w:cs="Courier New" w:eastAsia="Courier New" w:hAnsi="Courier New"/>
          <w:sz w:val="18"/>
          <w:szCs w:val="18"/>
          <w:color w:val="auto"/>
        </w:rPr>
      </w:pPr>
    </w:p>
    <w:p>
      <w:pPr>
        <w:jc w:val="both"/>
        <w:ind w:right="1879" w:firstLine="956"/>
        <w:spacing w:after="0" w:line="236" w:lineRule="auto"/>
        <w:tabs>
          <w:tab w:leader="none" w:pos="1369"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Initial Purchasers shall have no liability to the Company, any Guarantor or any Holder with respect to any request that they may make pursuant to Section 4(b) above.</w:t>
      </w:r>
    </w:p>
    <w:p>
      <w:pPr>
        <w:spacing w:after="0" w:line="209" w:lineRule="exact"/>
        <w:rPr>
          <w:sz w:val="20"/>
          <w:szCs w:val="20"/>
          <w:color w:val="auto"/>
        </w:rPr>
      </w:pPr>
    </w:p>
    <w:p>
      <w:pPr>
        <w:ind w:right="1779" w:firstLine="956"/>
        <w:spacing w:after="0" w:line="270" w:lineRule="auto"/>
        <w:tabs>
          <w:tab w:leader="none" w:pos="1264"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AND CONTRIBUTION. (a) The Company and each Guarantor, jointly and severally, agree to indemnify and hold harmless each Initial Purchaser and each Holder, their respective affiliates and each Person, if any, who controls any Initial Purchaser or any Holder within the meaning of Section 15 of the Securities Act or Section 20 of the Exchange Act, from and against any and all losses, claims, damages and liabilities (including, without limitation, legal fees and other expenses incurred in connection with any suit, action or proceeding or any claim asserted), joint or several, caused by any untrue statement or alleged untrue statement of a material fact contained in any Registration Statement or any Prospectus, or caused by any omission or alleged omission to state therein a material fact required to be stated therein or necessary in order to make the statements therein, in the light of the circumstances under which they were made, not misleading, except insofar as such losses, claims, damages or liabilities are caused by any untrue statement or</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25" w:right="1440" w:bottom="1440" w:gutter="0" w:footer="0" w:header="0"/>
        </w:sectPr>
      </w:pPr>
    </w:p>
    <w:bookmarkStart w:id="137" w:name="page138"/>
    <w:bookmarkEnd w:id="137"/>
    <w:p>
      <w:pPr>
        <w:ind w:right="1879"/>
        <w:spacing w:after="0" w:line="237" w:lineRule="auto"/>
        <w:rPr>
          <w:sz w:val="20"/>
          <w:szCs w:val="20"/>
          <w:color w:val="auto"/>
        </w:rPr>
      </w:pPr>
      <w:r>
        <w:rPr>
          <w:rFonts w:ascii="Courier New" w:cs="Courier New" w:eastAsia="Courier New" w:hAnsi="Courier New"/>
          <w:sz w:val="18"/>
          <w:szCs w:val="18"/>
          <w:color w:val="auto"/>
        </w:rPr>
        <w:t>omission or alleged untrue statement or omission made in reliance upon and in conformity with any information relating to any Initial Purchaser or any Holder furnished to the Company in writing through J.P. Morgan Securities Inc. or any selling Holder expressly for use therein. In connection with any Underwritten Offering permitted by Section 3, the Company and the Guarantors will also indemnify the Underwriters, if any, selling brokers, dealers and similar securities industry professionals participating in the distribution, their respective affiliates and each Person who controls such Persons (within the meaning of the Securities Act and the Exchange Act) to the same extent as provided above with respect to the indemnification of the Holders, if requested in connection with any Registration Statement.</w:t>
      </w:r>
    </w:p>
    <w:p>
      <w:pPr>
        <w:spacing w:after="0" w:line="216" w:lineRule="exact"/>
        <w:rPr>
          <w:sz w:val="20"/>
          <w:szCs w:val="20"/>
          <w:color w:val="auto"/>
        </w:rPr>
      </w:pPr>
    </w:p>
    <w:p>
      <w:pPr>
        <w:ind w:right="1779" w:firstLine="956"/>
        <w:spacing w:after="0" w:line="238" w:lineRule="auto"/>
        <w:tabs>
          <w:tab w:leader="none" w:pos="1369"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Holder agrees, severally and not jointly, to indemnify and hold harmless the Company, the Guarantors, the Initial Purchasers and the other selling Holders, their respective affiliates, the directors of the Company and the Guarantors, each officer of the Company and the Guarantors who signed the Registration Statement and each Person, if any, who controls the Company, the Guarantors, any Initial Purchaser and any other selling Holder within the meaning of Section 15 of the Securities Act or Section 20 of the Exchange Act to the same extent as the indemnity set forth in paragraph (a) above, but only with respect to any losses, claims, damages or liabilities caused by any untrue statement or omission or alleged untrue statement or omission made in reliance upon and in conformity with any information relating to such Holder furnished to the Company in writing by such Holder expressly for use in any Registration Statement and any Prospectus.</w:t>
      </w:r>
    </w:p>
    <w:p>
      <w:pPr>
        <w:spacing w:after="0" w:line="207"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suit, action, proceeding (including any governmental or regulatory investigation), claim or demand shall be brought or asserted against any Person in respect of which indemnification may be sought pursuant to either paragraph (a) or (b) above, such Person (the "Indemnified Person") shall promptly notify the Person against whom such indemnification may be sought (the "Indemnifying Person") in writing; PROVIDED that the failure to notify the Indemnifying Person shall not relieve it from any liability that it may have under this Section 5 except to the extent that it has been materially prejudiced (through the forfeiture of substantive rights or defenses) by such failure; and PROVIDED, FURTHER, that the failure to notify the Indemnifying Person shall not relieve it from any liability that it may have to an Indemnified Person otherwise than under this Section 5. If any such proceeding shall be brought or asserted against an Indemnified Person and it shall have notified the Indemnifying Person thereof, the Indemnifying Person shall retain counsel reasonably satisfactory to the Indemnified Person to represent the Indemnified Person and any others entitled to indemnification pursuant to this Section 5 that the Indemnifying Person may designate in such proceeding and shall pay the fees and expenses of such counsel related to such proceeding. In any such proceeding, any Indemnified Person shall have the right to retain its own counsel, but the fees and expenses of such counsel shall be at the expense of such Indemnified Person unless (i) the Indemnifying Person and</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2" w:right="1440" w:bottom="1440" w:gutter="0" w:footer="0" w:header="0"/>
        </w:sectPr>
      </w:pPr>
    </w:p>
    <w:bookmarkStart w:id="138" w:name="page139"/>
    <w:bookmarkEnd w:id="138"/>
    <w:p>
      <w:pPr>
        <w:ind w:right="1779"/>
        <w:spacing w:after="0" w:line="268" w:lineRule="auto"/>
        <w:rPr>
          <w:sz w:val="20"/>
          <w:szCs w:val="20"/>
          <w:color w:val="auto"/>
        </w:rPr>
      </w:pPr>
      <w:r>
        <w:rPr>
          <w:rFonts w:ascii="Courier New" w:cs="Courier New" w:eastAsia="Courier New" w:hAnsi="Courier New"/>
          <w:sz w:val="16"/>
          <w:szCs w:val="16"/>
          <w:color w:val="auto"/>
        </w:rPr>
        <w:t>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which counsel shall be reasonably acceptable to the Company, and that all such fees and expenses shall be reimbursed as they are incurred; provided that the foregoing expense reimbursement shall not, as to any Holder, apply to the extent it is finally judicially determined that the Holder was grossly negligent or acted with willful misconduct and such gross negligence or willful misconduct related to the written information described in paragraph (b) furnished by such Holder to the Company for use in the Registration Statement and any Prospectus. Any such separate firm (x) for any Initial Purchaser, its affiliates and any control Persons of such Initial Purchaser shall be designated in writing by J.P. Morgan Securities Inc., (y) for any Holder, its affiliates and any control Persons of such Holder shall be designated in writing by the Majority Holders and (z) in all other cases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subject to the terms and conditions hereof. Notwithstanding the foregoing sentence, if at any time an Indemnified Person shall have requested that an Indemnifying Person reimburse the Indemnified Person for the reasonable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provided that the foregoing expense reimbursement shall not, as to any Holder, apply to the extent it is finally judicially determined that the Holder was grossly negligent or acted with willful misconduct and such gross negligence or willful misconduct related to the written information described in paragraph (b) furnished by such Holder to the Company for use in the Registration Statement and any Prospectus. No Indemnifying Person shall, without the written consent of the Indemnified Person, effect any settlement of any pending or threatened proceeding in respect of which any Indemnified Person is or could have been a party and indemnification could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2" w:right="1440" w:bottom="1440" w:gutter="0" w:footer="0" w:header="0"/>
        </w:sectPr>
      </w:pPr>
    </w:p>
    <w:bookmarkStart w:id="139" w:name="page140"/>
    <w:bookmarkEnd w:id="139"/>
    <w:p>
      <w:pPr>
        <w:ind w:right="1779"/>
        <w:spacing w:after="0" w:line="237" w:lineRule="auto"/>
        <w:rPr>
          <w:sz w:val="20"/>
          <w:szCs w:val="20"/>
          <w:color w:val="auto"/>
        </w:rPr>
      </w:pPr>
      <w:r>
        <w:rPr>
          <w:rFonts w:ascii="Courier New" w:cs="Courier New" w:eastAsia="Courier New" w:hAnsi="Courier New"/>
          <w:sz w:val="18"/>
          <w:szCs w:val="18"/>
          <w:color w:val="auto"/>
        </w:rPr>
        <w:t>sought hereunder by such Indemnified Person, unless such settlement (A) includes an unconditional release of such Indemnified Person in form and substance satisfactory to such Indemnified Person from all liability on claims that are the subject matter of such proceeding and (B) does not include any statement as to or any admission of fault, culpability or a failure to act by or on behalf of any Indemnified Person.</w:t>
      </w:r>
    </w:p>
    <w:p>
      <w:pPr>
        <w:spacing w:after="0" w:line="210" w:lineRule="exact"/>
        <w:rPr>
          <w:sz w:val="20"/>
          <w:szCs w:val="20"/>
          <w:color w:val="auto"/>
        </w:rPr>
      </w:pPr>
    </w:p>
    <w:p>
      <w:pPr>
        <w:ind w:right="1779" w:firstLine="956"/>
        <w:spacing w:after="0" w:line="269" w:lineRule="auto"/>
        <w:tabs>
          <w:tab w:leader="none" w:pos="1369"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indemnification provided for in paragraphs (a) and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Guarantors from the offering of the Securities and the Exchange Securities, on the one hand, and by the Holders from receiving Securities or Exchange Securities registered under the Securities Act, on the other hand, or (ii) if the allocation provided by clause (i) is not permitted by applicable law, in such proportion as is appropriate to reflect not only the relative benefits referred to in clause (i) but also the relative fault of the Company and the Guarantors on the one hand and the Holders on the other in connection with the statements or omissions that resulted in such losses, claims, damages or liabilities, as well as any other relevant equitable considerations. The relative fault of the Company and the Guarantors on the one hand and the Holders on the other shall be determined by reference to, among other things, whether the untrue or alleged untrue statement of a material fact or the omission or alleged omission to state a material fact relates to information supplied by the Company and the Guarantors or by the Holders and the parties' relative intent, knowledge, access to information and opportunity to correct or prevent such statement or omission.</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779" w:firstLine="956"/>
        <w:spacing w:after="0" w:line="270" w:lineRule="auto"/>
        <w:tabs>
          <w:tab w:leader="none" w:pos="1369"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the Guarantors and the Holders agree that it would not be just and equitable if contribution pursuant to this Section 5 were determined by PRO RATA allocation (even if the Holders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incurred by such Indemnified Person in connection with any such action or claim. Notwithstanding the provisions of this Section 5, in no event shall a Holder be required to contribute any amount in excess of the amount by which the total price at which the Securities or Exchange Securities sold by such Holder exceeds the amount of any damages that such Holder has otherwise been required to pay by reason of such untrue or alleged untrue statement or omission or alleged omission. No Person guilty of fraudulent misrepresentation (within the meaning</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140" w:name="page141"/>
    <w:bookmarkEnd w:id="140"/>
    <w:p>
      <w:pPr>
        <w:ind w:right="1999"/>
        <w:spacing w:after="0" w:line="235" w:lineRule="auto"/>
        <w:rPr>
          <w:sz w:val="20"/>
          <w:szCs w:val="20"/>
          <w:color w:val="auto"/>
        </w:rPr>
      </w:pPr>
      <w:r>
        <w:rPr>
          <w:rFonts w:ascii="Courier New" w:cs="Courier New" w:eastAsia="Courier New" w:hAnsi="Courier New"/>
          <w:sz w:val="18"/>
          <w:szCs w:val="18"/>
          <w:color w:val="auto"/>
        </w:rPr>
        <w:t>of Section 11(f) of the Securities Act) shall be entitled to contribution from any Person who was not guilty of such fraudulent misrepresentation.</w:t>
      </w:r>
    </w:p>
    <w:p>
      <w:pPr>
        <w:spacing w:after="0" w:line="208" w:lineRule="exact"/>
        <w:rPr>
          <w:sz w:val="20"/>
          <w:szCs w:val="20"/>
          <w:color w:val="auto"/>
        </w:rPr>
      </w:pPr>
    </w:p>
    <w:p>
      <w:pPr>
        <w:ind w:right="1999" w:firstLine="956"/>
        <w:spacing w:after="0" w:line="236" w:lineRule="auto"/>
        <w:tabs>
          <w:tab w:leader="none" w:pos="1369"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remedies provided for in this Section 5 are not exclusive and shall not limit any rights or remedies that may otherwise be available to any Indemnified Person at law or in equity.</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indemnity and contribution provisions contained in this Section 5 shall remain operative and in full force and effect regardless of (i) any termination of this Agreement, (ii) any investigation made by or on behalf of the Initial Purchasers or any Holder, their respective affiliates or any Person controlling any Initial Purchaser or any Holder, or by or on behalf of the Company or the Guarantors, their respective affiliates or the officers or directors of or any Person controlling the Company or the Guarantors, (iii) acceptance of any of the Exchange Securities and (iv) any sale of Registrable Securities pursuant to a Shelf Registration Statement.</w:t>
      </w:r>
    </w:p>
    <w:p>
      <w:pPr>
        <w:spacing w:after="0" w:line="208" w:lineRule="exact"/>
        <w:rPr>
          <w:sz w:val="20"/>
          <w:szCs w:val="20"/>
          <w:color w:val="auto"/>
        </w:rPr>
      </w:pPr>
    </w:p>
    <w:p>
      <w:pPr>
        <w:ind w:left="1900" w:hanging="944"/>
        <w:spacing w:after="0"/>
        <w:tabs>
          <w:tab w:leader="none" w:pos="1900"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879" w:firstLine="956"/>
        <w:spacing w:after="0" w:line="237" w:lineRule="auto"/>
        <w:tabs>
          <w:tab w:leader="none" w:pos="1369"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Inconsistent Agreements. The Company and the Guarantors represent, warrant and agree that (i) the rights granted to the Holders hereunder do not in any way conflict with and are not inconsistent with the rights granted to the holders of any other outstanding securities issued or guaranteed by the Company or any Guarantor under any other agreement and (ii) neither the Company nor any Guarantor has entered into, or on or after the date of this Agreement will enter into, any agreement that is inconsistent with the rights granted to the Holders of Registrable Securities in this Agreement or otherwise conflicts with the provisions hereof.</w:t>
      </w:r>
    </w:p>
    <w:p>
      <w:pPr>
        <w:spacing w:after="0" w:line="213"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and Waivers. The provisions of this Agreement, including the provisions of this sentence, may not be amended, modified or supplemented, and waivers or consents to departures from the provisions hereof may not be given unless the Company and the Guarantors have obtained the written consent of Holders of at least a majority in aggregate principal amount of the outstanding Registrable Securities affected by such amendment, modification, supplement, waiver or consent; PROVIDED that no amendment, modification, supplement, waiver or consent to any departure from the provisions of Section 5 hereof shall be effective as against any Holder of Registrable Securities unless consented to in writing by such Holder.</w:t>
      </w:r>
    </w:p>
    <w:p>
      <w:pPr>
        <w:spacing w:after="0" w:line="214"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All notices and other communications provided for or permitted hereunder shall be made in writing by hand-delivery, registered first-class mail, telecopier, or any courier guaranteeing overnight delivery (i) if to a Holder, at the most current address given by such Holder to the Company by means of a notice given in accordance with the provisions of this Section 6(c), which address initially is, with respect to the Initial Purchasers, the address set</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141" w:name="page142"/>
    <w:bookmarkEnd w:id="141"/>
    <w:p>
      <w:pPr>
        <w:ind w:right="1779"/>
        <w:spacing w:after="0" w:line="237" w:lineRule="auto"/>
        <w:rPr>
          <w:sz w:val="20"/>
          <w:szCs w:val="20"/>
          <w:color w:val="auto"/>
        </w:rPr>
      </w:pPr>
      <w:r>
        <w:rPr>
          <w:rFonts w:ascii="Courier New" w:cs="Courier New" w:eastAsia="Courier New" w:hAnsi="Courier New"/>
          <w:sz w:val="18"/>
          <w:szCs w:val="18"/>
          <w:color w:val="auto"/>
        </w:rPr>
        <w:t>forth in the Purchase Agreement; and (ii) if to the Company and the Guarantors, initially at the Company's address set forth in the Purchase Agreement and thereafter at such other address, notice of which is given in accordance with the provisions of this Section 6(c). All such notices and communications shall be deemed to have been duly given: at the time delivered by hand, if personally delivered; five Business Days after being deposited in the mail, postage prepaid, if mailed; when receipt is acknowledged, if telecopied; and on the next Business Day if timely delivered to an air courier guaranteeing overnight delivery. Copies of all such notices, demands or other communications shall be concurrently delivered by the Person giving the same to the Trustee, at the address specified in the Indenture.</w:t>
      </w:r>
    </w:p>
    <w:p>
      <w:pPr>
        <w:spacing w:after="0" w:line="216" w:lineRule="exact"/>
        <w:rPr>
          <w:sz w:val="20"/>
          <w:szCs w:val="20"/>
          <w:color w:val="auto"/>
        </w:rPr>
      </w:pPr>
    </w:p>
    <w:p>
      <w:pPr>
        <w:ind w:right="1779" w:firstLine="956"/>
        <w:spacing w:after="0" w:line="269" w:lineRule="auto"/>
        <w:tabs>
          <w:tab w:leader="none" w:pos="1369"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and Assigns. This Agreement shall inure to the benefit of and be binding upon the successors, assigns and transferees of each of the parties, including, without limitation and without the need for an express assignment, subsequent Holders; PROVIDED that nothing herein shall be deemed to permit any assignment, transfer or other disposition of Registrable Securities in violation of the terms of the Purchase Agreement or the Indenture. If any transferee of any Holder shall acquire Registrable Securities in any manner, whether by operation of law or otherwise, such Registrable Securities shall be held subject to all the terms of this Agreement, and by taking and holding such Registrable Securities such Person shall be conclusively deemed to have agreed to be bound by and to perform all of the terms and provisions of this Agreement and such Person shall be entitled to receive the benefits hereof. The Initial Purchasers (in their capacity as Initial Purchasers) shall have no liability or obligation to the Company or the Guarantors with respect to any failure by a Holder to comply with, or any breach by any Holder of, any of the obligations of such Holder under this Agreement.</w:t>
      </w:r>
    </w:p>
    <w:p>
      <w:pPr>
        <w:spacing w:after="0" w:line="396"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Purchases and Sales of Securities. The Company and the Guarantors shall not, and shall use their reasonable best efforts to cause their affiliates (as defined in Rule 405 under the Securities Act) not to, purchase and then resell or otherwise transfer any Registrable Securities.</w:t>
      </w:r>
    </w:p>
    <w:p>
      <w:pPr>
        <w:spacing w:after="0" w:line="207"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Beneficiaries. Each Holder shall be a third party beneficiary to the agreements made hereunder between the Company and the Guarantors, on the one hand, and the Initial Purchasers, on the other hand, and shall have the right to enforce such agreements directly to the extent it deems such enforcement necessary or advisable to protect its rights or the rights of other Holders hereunder.</w:t>
      </w:r>
    </w:p>
    <w:p>
      <w:pPr>
        <w:spacing w:after="0" w:line="209"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925" w:right="1440" w:bottom="1440" w:gutter="0" w:footer="0" w:header="0"/>
        </w:sectPr>
      </w:pPr>
    </w:p>
    <w:bookmarkStart w:id="142" w:name="page143"/>
    <w:bookmarkEnd w:id="142"/>
    <w:p>
      <w:pPr>
        <w:ind w:left="-956" w:right="2199" w:firstLine="956"/>
        <w:spacing w:after="0" w:line="290" w:lineRule="auto"/>
        <w:tabs>
          <w:tab w:leader="none" w:pos="413"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The headings in this Agreement are for convenience of reference only and shall not limit or otherwise affect the meaning hereof.</w:t>
      </w:r>
    </w:p>
    <w:p>
      <w:pPr>
        <w:spacing w:after="0" w:line="169" w:lineRule="exact"/>
        <w:rPr>
          <w:rFonts w:ascii="Courier New" w:cs="Courier New" w:eastAsia="Courier New" w:hAnsi="Courier New"/>
          <w:sz w:val="16"/>
          <w:szCs w:val="16"/>
          <w:color w:val="auto"/>
        </w:rPr>
      </w:pPr>
    </w:p>
    <w:p>
      <w:pPr>
        <w:ind w:left="-956" w:right="1779" w:firstLine="956"/>
        <w:spacing w:after="0" w:line="235" w:lineRule="auto"/>
        <w:tabs>
          <w:tab w:leader="none" w:pos="413"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shall be governed by and construed in accordance with the laws of the State of New York.</w:t>
      </w:r>
    </w:p>
    <w:p>
      <w:pPr>
        <w:spacing w:after="0" w:line="208" w:lineRule="exact"/>
        <w:rPr>
          <w:rFonts w:ascii="Courier New" w:cs="Courier New" w:eastAsia="Courier New" w:hAnsi="Courier New"/>
          <w:sz w:val="18"/>
          <w:szCs w:val="18"/>
          <w:color w:val="auto"/>
        </w:rPr>
      </w:pPr>
    </w:p>
    <w:p>
      <w:pPr>
        <w:ind w:left="-956" w:right="1779" w:firstLine="956"/>
        <w:spacing w:after="0" w:line="238" w:lineRule="auto"/>
        <w:tabs>
          <w:tab w:leader="none" w:pos="413"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 This Agreement contains the entire agreement between the parties relating to the subject matter hereof and supersedes all oral statements and prior writings with respect thereto. This Agreement may not be amended or modified except by a writing executed by each of the parties hereto. Section headings herein are for convenience only and are not a part of this Agreement. If any term, provision, covenant or restriction contained in this Agreement is held by a court of competent jurisdiction to be invalid, void or unenforceable or against public policy, the remainder of the terms, provisions, covenants and restrictions contained herein shall remain in full force and effect and shall in no way be affected, impaired or invalidated. The Company, the Guarantors and the Initial Purchasers shall endeavor in good faith negotiations to replace the invalid, void or unenforceable provisions with valid provisions the economic effect of which comes as close as possible to that of the invalid, void or unenforceable provisions.</w:t>
      </w:r>
    </w:p>
    <w:p>
      <w:pPr>
        <w:spacing w:after="0" w:line="202"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9263"/>
          </w:cols>
          <w:pgMar w:left="1196" w:top="723" w:right="1440" w:bottom="1440" w:gutter="0" w:footer="0" w:header="0"/>
        </w:sectPr>
      </w:pPr>
    </w:p>
    <w:bookmarkStart w:id="143" w:name="page144"/>
    <w:bookmarkEnd w:id="143"/>
    <w:p>
      <w:pPr>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Agreement as of the date first written above.</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4" w:lineRule="exact"/>
        <w:rPr>
          <w:sz w:val="20"/>
          <w:szCs w:val="20"/>
          <w:color w:val="auto"/>
        </w:rPr>
      </w:pPr>
    </w:p>
    <w:tbl>
      <w:tblPr>
        <w:tblLayout w:type="fixed"/>
        <w:tblInd w:w="370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900" w:type="dxa"/>
            <w:vAlign w:val="bottom"/>
          </w:tcPr>
          <w:p>
            <w:pPr>
              <w:ind w:left="200"/>
              <w:spacing w:after="0"/>
              <w:rPr>
                <w:sz w:val="20"/>
                <w:szCs w:val="20"/>
                <w:color w:val="auto"/>
              </w:rPr>
            </w:pPr>
            <w:r>
              <w:rPr>
                <w:rFonts w:ascii="Courier New" w:cs="Courier New" w:eastAsia="Courier New" w:hAnsi="Courier New"/>
                <w:sz w:val="18"/>
                <w:szCs w:val="18"/>
                <w:color w:val="auto"/>
              </w:rPr>
              <w:t>/s/ Patrick J. Norton</w:t>
            </w:r>
          </w:p>
        </w:tc>
      </w:tr>
      <w:tr>
        <w:trPr>
          <w:trHeight w:val="203"/>
        </w:trPr>
        <w:tc>
          <w:tcPr>
            <w:tcW w:w="4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Name: Patrick J. Norton</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Title:  Executive Vice President &amp; CFO</w:t>
            </w:r>
          </w:p>
        </w:tc>
      </w:tr>
      <w:tr>
        <w:trPr>
          <w:trHeight w:val="608"/>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SCOTTS MANUFACTURING COMPANY</w:t>
            </w:r>
          </w:p>
        </w:tc>
      </w:tr>
      <w:tr>
        <w:trPr>
          <w:trHeight w:val="608"/>
        </w:trPr>
        <w:tc>
          <w:tcPr>
            <w:tcW w:w="7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900" w:type="dxa"/>
            <w:vAlign w:val="bottom"/>
          </w:tcPr>
          <w:p>
            <w:pPr>
              <w:ind w:left="200"/>
              <w:spacing w:after="0"/>
              <w:rPr>
                <w:sz w:val="20"/>
                <w:szCs w:val="20"/>
                <w:color w:val="auto"/>
              </w:rPr>
            </w:pPr>
            <w:r>
              <w:rPr>
                <w:rFonts w:ascii="Courier New" w:cs="Courier New" w:eastAsia="Courier New" w:hAnsi="Courier New"/>
                <w:sz w:val="18"/>
                <w:szCs w:val="18"/>
                <w:color w:val="auto"/>
              </w:rPr>
              <w:t>/s/ Patrick J. Norton</w:t>
            </w:r>
          </w:p>
        </w:tc>
      </w:tr>
      <w:tr>
        <w:trPr>
          <w:trHeight w:val="203"/>
        </w:trPr>
        <w:tc>
          <w:tcPr>
            <w:tcW w:w="4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Name: Patrick J. Norton</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3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Executive Vice President &amp; CFO</w:t>
            </w:r>
          </w:p>
        </w:tc>
      </w:tr>
    </w:tbl>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SCOTTS TEMECULA</w:t>
      </w:r>
    </w:p>
    <w:p>
      <w:pPr>
        <w:ind w:left="3700"/>
        <w:spacing w:after="0" w:line="238" w:lineRule="auto"/>
        <w:rPr>
          <w:sz w:val="20"/>
          <w:szCs w:val="20"/>
          <w:color w:val="auto"/>
        </w:rPr>
      </w:pPr>
      <w:r>
        <w:rPr>
          <w:rFonts w:ascii="Courier New" w:cs="Courier New" w:eastAsia="Courier New" w:hAnsi="Courier New"/>
          <w:sz w:val="18"/>
          <w:szCs w:val="18"/>
          <w:color w:val="auto"/>
        </w:rPr>
        <w:t>OPERATIONS, LLC</w:t>
      </w:r>
    </w:p>
    <w:p>
      <w:pPr>
        <w:spacing w:after="0" w:line="200" w:lineRule="exact"/>
        <w:rPr>
          <w:sz w:val="20"/>
          <w:szCs w:val="20"/>
          <w:color w:val="auto"/>
        </w:rPr>
      </w:pPr>
    </w:p>
    <w:p>
      <w:pPr>
        <w:spacing w:after="0" w:line="204" w:lineRule="exact"/>
        <w:rPr>
          <w:sz w:val="20"/>
          <w:szCs w:val="20"/>
          <w:color w:val="auto"/>
        </w:rPr>
      </w:pPr>
    </w:p>
    <w:tbl>
      <w:tblPr>
        <w:tblLayout w:type="fixed"/>
        <w:tblInd w:w="3700" w:type="dxa"/>
        <w:tblCellMar>
          <w:top w:w="0" w:type="dxa"/>
          <w:left w:w="0" w:type="dxa"/>
          <w:bottom w:w="0" w:type="dxa"/>
          <w:right w:w="0" w:type="dxa"/>
        </w:tblCellMar>
      </w:tblPr>
      <w:tr>
        <w:trPr>
          <w:trHeight w:val="204"/>
        </w:trPr>
        <w:tc>
          <w:tcPr>
            <w:tcW w:w="320" w:type="dxa"/>
            <w:vAlign w:val="bottom"/>
          </w:tcPr>
          <w:p>
            <w:pPr>
              <w:spacing w:after="0"/>
              <w:rPr>
                <w:sz w:val="20"/>
                <w:szCs w:val="20"/>
                <w:color w:val="auto"/>
              </w:rPr>
            </w:pPr>
            <w:r>
              <w:rPr>
                <w:rFonts w:ascii="Courier New" w:cs="Courier New" w:eastAsia="Courier New" w:hAnsi="Courier New"/>
                <w:sz w:val="18"/>
                <w:szCs w:val="18"/>
                <w:color w:val="auto"/>
                <w:w w:val="92"/>
              </w:rPr>
              <w:t>By:</w:t>
            </w:r>
          </w:p>
        </w:tc>
        <w:tc>
          <w:tcPr>
            <w:tcW w:w="432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/s/ Patrick J. Norton</w:t>
            </w:r>
          </w:p>
        </w:tc>
      </w:tr>
      <w:tr>
        <w:trPr>
          <w:trHeight w:val="203"/>
        </w:trPr>
        <w:tc>
          <w:tcPr>
            <w:tcW w:w="320" w:type="dxa"/>
            <w:vAlign w:val="bottom"/>
          </w:tcPr>
          <w:p>
            <w:pPr>
              <w:spacing w:after="0"/>
              <w:rPr>
                <w:sz w:val="17"/>
                <w:szCs w:val="17"/>
                <w:color w:val="auto"/>
              </w:rPr>
            </w:pPr>
          </w:p>
        </w:tc>
        <w:tc>
          <w:tcPr>
            <w:tcW w:w="4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Name: Patrick J. Norton</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Title:  Executive Vice President &amp; CFO</w:t>
            </w:r>
          </w:p>
        </w:tc>
      </w:tr>
      <w:tr>
        <w:trPr>
          <w:trHeight w:val="608"/>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OMS INVESTMENTS, INC.</w:t>
            </w:r>
          </w:p>
        </w:tc>
      </w:tr>
      <w:tr>
        <w:trPr>
          <w:trHeight w:val="608"/>
        </w:trPr>
        <w:tc>
          <w:tcPr>
            <w:tcW w:w="320" w:type="dxa"/>
            <w:vAlign w:val="bottom"/>
          </w:tcPr>
          <w:p>
            <w:pPr>
              <w:spacing w:after="0"/>
              <w:rPr>
                <w:sz w:val="20"/>
                <w:szCs w:val="20"/>
                <w:color w:val="auto"/>
              </w:rPr>
            </w:pPr>
            <w:r>
              <w:rPr>
                <w:rFonts w:ascii="Courier New" w:cs="Courier New" w:eastAsia="Courier New" w:hAnsi="Courier New"/>
                <w:sz w:val="18"/>
                <w:szCs w:val="18"/>
                <w:color w:val="auto"/>
                <w:w w:val="92"/>
              </w:rPr>
              <w:t>By:</w:t>
            </w:r>
          </w:p>
        </w:tc>
        <w:tc>
          <w:tcPr>
            <w:tcW w:w="432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/s/ Patrick J. Norton</w:t>
            </w:r>
          </w:p>
        </w:tc>
      </w:tr>
      <w:tr>
        <w:trPr>
          <w:trHeight w:val="0"/>
        </w:trPr>
        <w:tc>
          <w:tcPr>
            <w:tcW w:w="320" w:type="dxa"/>
            <w:vAlign w:val="bottom"/>
          </w:tcPr>
          <w:p>
            <w:pPr>
              <w:spacing w:after="0" w:line="20" w:lineRule="exact"/>
              <w:rPr>
                <w:sz w:val="1"/>
                <w:szCs w:val="1"/>
                <w:color w:val="auto"/>
              </w:rPr>
            </w:pPr>
          </w:p>
        </w:tc>
        <w:tc>
          <w:tcPr>
            <w:tcW w:w="43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7"/>
              </w:rPr>
              <w:t>-----------------------------------------</w:t>
            </w:r>
          </w:p>
        </w:tc>
      </w:tr>
    </w:tbl>
    <w:p>
      <w:pPr>
        <w:spacing w:after="0" w:line="200" w:lineRule="exact"/>
        <w:rPr>
          <w:sz w:val="20"/>
          <w:szCs w:val="20"/>
          <w:color w:val="auto"/>
        </w:rPr>
      </w:pPr>
    </w:p>
    <w:p>
      <w:pPr>
        <w:spacing w:after="0" w:line="204" w:lineRule="exact"/>
        <w:rPr>
          <w:sz w:val="20"/>
          <w:szCs w:val="20"/>
          <w:color w:val="auto"/>
        </w:rPr>
      </w:pP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Executive Vice President &amp; CFO</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HYPONEX CORPORATION</w:t>
      </w:r>
    </w:p>
    <w:p>
      <w:pPr>
        <w:spacing w:after="0" w:line="200" w:lineRule="exact"/>
        <w:rPr>
          <w:sz w:val="20"/>
          <w:szCs w:val="20"/>
          <w:color w:val="auto"/>
        </w:rPr>
      </w:pPr>
    </w:p>
    <w:p>
      <w:pPr>
        <w:spacing w:after="0" w:line="204" w:lineRule="exact"/>
        <w:rPr>
          <w:sz w:val="20"/>
          <w:szCs w:val="20"/>
          <w:color w:val="auto"/>
        </w:rPr>
      </w:pPr>
    </w:p>
    <w:p>
      <w:pPr>
        <w:ind w:left="3700"/>
        <w:spacing w:after="0"/>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Patrick J. Norton</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Name: Patrick J. Norton</w:t>
      </w: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Executive Vice President &amp; CFO</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1128" w:right="1440" w:bottom="1440" w:gutter="0" w:footer="0" w:header="0"/>
        </w:sectPr>
      </w:pPr>
    </w:p>
    <w:bookmarkStart w:id="144" w:name="page145"/>
    <w:bookmarkEnd w:id="144"/>
    <w:p>
      <w:pPr>
        <w:ind w:left="2500"/>
        <w:spacing w:after="0"/>
        <w:rPr>
          <w:sz w:val="20"/>
          <w:szCs w:val="20"/>
          <w:color w:val="auto"/>
        </w:rPr>
      </w:pPr>
      <w:r>
        <w:rPr>
          <w:rFonts w:ascii="Courier New" w:cs="Courier New" w:eastAsia="Courier New" w:hAnsi="Courier New"/>
          <w:sz w:val="18"/>
          <w:szCs w:val="18"/>
          <w:color w:val="auto"/>
        </w:rPr>
        <w:t>EARTHGRO, INC.</w:t>
      </w:r>
    </w:p>
    <w:p>
      <w:pPr>
        <w:spacing w:after="0" w:line="200" w:lineRule="exact"/>
        <w:rPr>
          <w:sz w:val="20"/>
          <w:szCs w:val="20"/>
          <w:color w:val="auto"/>
        </w:rPr>
      </w:pPr>
    </w:p>
    <w:p>
      <w:pPr>
        <w:spacing w:after="0" w:line="204" w:lineRule="exact"/>
        <w:rPr>
          <w:sz w:val="20"/>
          <w:szCs w:val="20"/>
          <w:color w:val="auto"/>
        </w:rPr>
      </w:pPr>
    </w:p>
    <w:tbl>
      <w:tblPr>
        <w:tblLayout w:type="fixed"/>
        <w:tblInd w:w="250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900" w:type="dxa"/>
            <w:vAlign w:val="bottom"/>
          </w:tcPr>
          <w:p>
            <w:pPr>
              <w:ind w:left="200"/>
              <w:spacing w:after="0"/>
              <w:rPr>
                <w:sz w:val="20"/>
                <w:szCs w:val="20"/>
                <w:color w:val="auto"/>
              </w:rPr>
            </w:pPr>
            <w:r>
              <w:rPr>
                <w:rFonts w:ascii="Courier New" w:cs="Courier New" w:eastAsia="Courier New" w:hAnsi="Courier New"/>
                <w:sz w:val="18"/>
                <w:szCs w:val="18"/>
                <w:color w:val="auto"/>
              </w:rPr>
              <w:t>/s/ Patrick J. Norton</w:t>
            </w:r>
          </w:p>
        </w:tc>
      </w:tr>
      <w:tr>
        <w:trPr>
          <w:trHeight w:val="203"/>
        </w:trPr>
        <w:tc>
          <w:tcPr>
            <w:tcW w:w="4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Name: Patrick J. Norton</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Title:  Executive Vice President &amp; CFO</w:t>
            </w:r>
          </w:p>
        </w:tc>
      </w:tr>
      <w:tr>
        <w:trPr>
          <w:trHeight w:val="608"/>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SCOTTS PRODUCTS COMPANY</w:t>
            </w:r>
          </w:p>
        </w:tc>
      </w:tr>
      <w:tr>
        <w:trPr>
          <w:trHeight w:val="608"/>
        </w:trPr>
        <w:tc>
          <w:tcPr>
            <w:tcW w:w="7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900" w:type="dxa"/>
            <w:vAlign w:val="bottom"/>
          </w:tcPr>
          <w:p>
            <w:pPr>
              <w:ind w:left="200"/>
              <w:spacing w:after="0"/>
              <w:rPr>
                <w:sz w:val="20"/>
                <w:szCs w:val="20"/>
                <w:color w:val="auto"/>
              </w:rPr>
            </w:pPr>
            <w:r>
              <w:rPr>
                <w:rFonts w:ascii="Courier New" w:cs="Courier New" w:eastAsia="Courier New" w:hAnsi="Courier New"/>
                <w:sz w:val="18"/>
                <w:szCs w:val="18"/>
                <w:color w:val="auto"/>
              </w:rPr>
              <w:t>/s/ Patrick J. Norton</w:t>
            </w:r>
          </w:p>
        </w:tc>
      </w:tr>
      <w:tr>
        <w:trPr>
          <w:trHeight w:val="203"/>
        </w:trPr>
        <w:tc>
          <w:tcPr>
            <w:tcW w:w="4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Name: Patrick J. Norton</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3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Executive Vice President &amp; CFO</w:t>
            </w:r>
          </w:p>
        </w:tc>
      </w:tr>
    </w:tbl>
    <w:p>
      <w:pPr>
        <w:spacing w:after="0" w:line="200" w:lineRule="exact"/>
        <w:rPr>
          <w:sz w:val="20"/>
          <w:szCs w:val="20"/>
          <w:color w:val="auto"/>
        </w:rPr>
      </w:pPr>
    </w:p>
    <w:p>
      <w:pPr>
        <w:spacing w:after="0" w:line="204"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SCOTTS PROFESSIONAL</w:t>
      </w:r>
    </w:p>
    <w:p>
      <w:pPr>
        <w:ind w:left="2500"/>
        <w:spacing w:after="0" w:line="238" w:lineRule="auto"/>
        <w:rPr>
          <w:sz w:val="20"/>
          <w:szCs w:val="20"/>
          <w:color w:val="auto"/>
        </w:rPr>
      </w:pPr>
      <w:r>
        <w:rPr>
          <w:rFonts w:ascii="Courier New" w:cs="Courier New" w:eastAsia="Courier New" w:hAnsi="Courier New"/>
          <w:sz w:val="18"/>
          <w:szCs w:val="18"/>
          <w:color w:val="auto"/>
        </w:rPr>
        <w:t>PRODUCTS COMPANY</w:t>
      </w:r>
    </w:p>
    <w:p>
      <w:pPr>
        <w:spacing w:after="0" w:line="200" w:lineRule="exact"/>
        <w:rPr>
          <w:sz w:val="20"/>
          <w:szCs w:val="20"/>
          <w:color w:val="auto"/>
        </w:rPr>
      </w:pPr>
    </w:p>
    <w:p>
      <w:pPr>
        <w:spacing w:after="0" w:line="204" w:lineRule="exact"/>
        <w:rPr>
          <w:sz w:val="20"/>
          <w:szCs w:val="20"/>
          <w:color w:val="auto"/>
        </w:rPr>
      </w:pPr>
    </w:p>
    <w:p>
      <w:pPr>
        <w:ind w:left="2500"/>
        <w:spacing w:after="0"/>
        <w:tabs>
          <w:tab w:leader="none" w:pos="34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Patrick J. Norton</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Name: Patrick J. Norton</w:t>
      </w:r>
    </w:p>
    <w:p>
      <w:pPr>
        <w:ind w:left="2500"/>
        <w:spacing w:after="0"/>
        <w:tabs>
          <w:tab w:leader="none" w:pos="33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Executive Vice President &amp; CFO</w:t>
      </w:r>
    </w:p>
    <w:p>
      <w:pPr>
        <w:spacing w:after="0" w:line="200" w:lineRule="exact"/>
        <w:rPr>
          <w:sz w:val="20"/>
          <w:szCs w:val="20"/>
          <w:color w:val="auto"/>
        </w:rPr>
      </w:pPr>
    </w:p>
    <w:p>
      <w:pPr>
        <w:spacing w:after="0" w:line="204"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SCOTTS-SIERRA HORTICULTURAL</w:t>
      </w:r>
    </w:p>
    <w:p>
      <w:pPr>
        <w:ind w:left="2500"/>
        <w:spacing w:after="0" w:line="238" w:lineRule="auto"/>
        <w:rPr>
          <w:sz w:val="20"/>
          <w:szCs w:val="20"/>
          <w:color w:val="auto"/>
        </w:rPr>
      </w:pPr>
      <w:r>
        <w:rPr>
          <w:rFonts w:ascii="Courier New" w:cs="Courier New" w:eastAsia="Courier New" w:hAnsi="Courier New"/>
          <w:sz w:val="18"/>
          <w:szCs w:val="18"/>
          <w:color w:val="auto"/>
        </w:rPr>
        <w:t>PRODUCTS COMPANY</w:t>
      </w:r>
    </w:p>
    <w:p>
      <w:pPr>
        <w:spacing w:after="0" w:line="200" w:lineRule="exact"/>
        <w:rPr>
          <w:sz w:val="20"/>
          <w:szCs w:val="20"/>
          <w:color w:val="auto"/>
        </w:rPr>
      </w:pPr>
    </w:p>
    <w:p>
      <w:pPr>
        <w:spacing w:after="0" w:line="204" w:lineRule="exact"/>
        <w:rPr>
          <w:sz w:val="20"/>
          <w:szCs w:val="20"/>
          <w:color w:val="auto"/>
        </w:rPr>
      </w:pPr>
    </w:p>
    <w:p>
      <w:pPr>
        <w:ind w:left="2500"/>
        <w:spacing w:after="0"/>
        <w:tabs>
          <w:tab w:leader="none" w:pos="34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Patrick J. Norton</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Name: Patrick J. Norton</w:t>
      </w:r>
    </w:p>
    <w:p>
      <w:pPr>
        <w:ind w:left="2500"/>
        <w:spacing w:after="0"/>
        <w:tabs>
          <w:tab w:leader="none" w:pos="33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Executive Vice President &amp; CFO</w:t>
      </w:r>
    </w:p>
    <w:p>
      <w:pPr>
        <w:spacing w:after="0" w:line="200" w:lineRule="exact"/>
        <w:rPr>
          <w:sz w:val="20"/>
          <w:szCs w:val="20"/>
          <w:color w:val="auto"/>
        </w:rPr>
      </w:pPr>
    </w:p>
    <w:p>
      <w:pPr>
        <w:spacing w:after="0" w:line="204"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SCOTTS-SIERRA CROP</w:t>
      </w:r>
    </w:p>
    <w:p>
      <w:pPr>
        <w:ind w:left="2500"/>
        <w:spacing w:after="0" w:line="238" w:lineRule="auto"/>
        <w:rPr>
          <w:sz w:val="20"/>
          <w:szCs w:val="20"/>
          <w:color w:val="auto"/>
        </w:rPr>
      </w:pPr>
      <w:r>
        <w:rPr>
          <w:rFonts w:ascii="Courier New" w:cs="Courier New" w:eastAsia="Courier New" w:hAnsi="Courier New"/>
          <w:sz w:val="18"/>
          <w:szCs w:val="18"/>
          <w:color w:val="auto"/>
        </w:rPr>
        <w:t>PROTECTION COMPANY</w:t>
      </w:r>
    </w:p>
    <w:p>
      <w:pPr>
        <w:spacing w:after="0" w:line="200" w:lineRule="exact"/>
        <w:rPr>
          <w:sz w:val="20"/>
          <w:szCs w:val="20"/>
          <w:color w:val="auto"/>
        </w:rPr>
      </w:pPr>
    </w:p>
    <w:p>
      <w:pPr>
        <w:spacing w:after="0" w:line="204" w:lineRule="exact"/>
        <w:rPr>
          <w:sz w:val="20"/>
          <w:szCs w:val="20"/>
          <w:color w:val="auto"/>
        </w:rPr>
      </w:pPr>
    </w:p>
    <w:p>
      <w:pPr>
        <w:ind w:left="2500"/>
        <w:spacing w:after="0"/>
        <w:tabs>
          <w:tab w:leader="none" w:pos="34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Patrick J. Norton</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Name: Patrick J. Norton</w:t>
      </w:r>
    </w:p>
    <w:p>
      <w:pPr>
        <w:ind w:left="2500"/>
        <w:spacing w:after="0"/>
        <w:tabs>
          <w:tab w:leader="none" w:pos="33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Executive Vice President &amp; CFO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019"/>
          </w:cols>
          <w:pgMar w:left="1440" w:top="717" w:right="1440" w:bottom="1440" w:gutter="0" w:footer="0" w:header="0"/>
        </w:sectPr>
      </w:pPr>
    </w:p>
    <w:bookmarkStart w:id="145" w:name="page146"/>
    <w:bookmarkEnd w:id="145"/>
    <w:p>
      <w:pPr>
        <w:ind w:left="4120"/>
        <w:spacing w:after="0"/>
        <w:rPr>
          <w:sz w:val="20"/>
          <w:szCs w:val="20"/>
          <w:color w:val="auto"/>
        </w:rPr>
      </w:pPr>
      <w:r>
        <w:rPr>
          <w:rFonts w:ascii="Courier New" w:cs="Courier New" w:eastAsia="Courier New" w:hAnsi="Courier New"/>
          <w:sz w:val="18"/>
          <w:szCs w:val="18"/>
          <w:color w:val="auto"/>
        </w:rPr>
        <w:t>SCOTTS-SIERRA</w:t>
      </w:r>
    </w:p>
    <w:p>
      <w:pPr>
        <w:ind w:left="4120"/>
        <w:spacing w:after="0" w:line="238" w:lineRule="auto"/>
        <w:rPr>
          <w:sz w:val="20"/>
          <w:szCs w:val="20"/>
          <w:color w:val="auto"/>
        </w:rPr>
      </w:pPr>
      <w:r>
        <w:rPr>
          <w:rFonts w:ascii="Courier New" w:cs="Courier New" w:eastAsia="Courier New" w:hAnsi="Courier New"/>
          <w:sz w:val="18"/>
          <w:szCs w:val="18"/>
          <w:color w:val="auto"/>
        </w:rPr>
        <w:t>INVESTMENTS, INC.</w:t>
      </w:r>
    </w:p>
    <w:p>
      <w:pPr>
        <w:spacing w:after="0" w:line="200" w:lineRule="exact"/>
        <w:rPr>
          <w:sz w:val="20"/>
          <w:szCs w:val="20"/>
          <w:color w:val="auto"/>
        </w:rPr>
      </w:pPr>
    </w:p>
    <w:p>
      <w:pPr>
        <w:spacing w:after="0" w:line="204" w:lineRule="exact"/>
        <w:rPr>
          <w:sz w:val="20"/>
          <w:szCs w:val="20"/>
          <w:color w:val="auto"/>
        </w:rPr>
      </w:pPr>
    </w:p>
    <w:tbl>
      <w:tblPr>
        <w:tblLayout w:type="fixed"/>
        <w:tblInd w:w="4120" w:type="dxa"/>
        <w:tblCellMar>
          <w:top w:w="0" w:type="dxa"/>
          <w:left w:w="0" w:type="dxa"/>
          <w:bottom w:w="0" w:type="dxa"/>
          <w:right w:w="0" w:type="dxa"/>
        </w:tblCellMar>
      </w:tblPr>
      <w:tr>
        <w:trPr>
          <w:trHeight w:val="204"/>
        </w:trPr>
        <w:tc>
          <w:tcPr>
            <w:tcW w:w="320" w:type="dxa"/>
            <w:vAlign w:val="bottom"/>
          </w:tcPr>
          <w:p>
            <w:pPr>
              <w:spacing w:after="0"/>
              <w:rPr>
                <w:sz w:val="20"/>
                <w:szCs w:val="20"/>
                <w:color w:val="auto"/>
              </w:rPr>
            </w:pPr>
            <w:r>
              <w:rPr>
                <w:rFonts w:ascii="Courier New" w:cs="Courier New" w:eastAsia="Courier New" w:hAnsi="Courier New"/>
                <w:sz w:val="18"/>
                <w:szCs w:val="18"/>
                <w:color w:val="auto"/>
                <w:w w:val="92"/>
              </w:rPr>
              <w:t>By:</w:t>
            </w:r>
          </w:p>
        </w:tc>
        <w:tc>
          <w:tcPr>
            <w:tcW w:w="3900" w:type="dxa"/>
            <w:vAlign w:val="bottom"/>
          </w:tcPr>
          <w:p>
            <w:pPr>
              <w:ind w:left="620"/>
              <w:spacing w:after="0"/>
              <w:rPr>
                <w:sz w:val="20"/>
                <w:szCs w:val="20"/>
                <w:color w:val="auto"/>
              </w:rPr>
            </w:pPr>
            <w:r>
              <w:rPr>
                <w:rFonts w:ascii="Courier New" w:cs="Courier New" w:eastAsia="Courier New" w:hAnsi="Courier New"/>
                <w:sz w:val="18"/>
                <w:szCs w:val="18"/>
                <w:color w:val="auto"/>
              </w:rPr>
              <w:t>/s/ Patrick J. Norton</w:t>
            </w:r>
          </w:p>
        </w:tc>
      </w:tr>
      <w:tr>
        <w:trPr>
          <w:trHeight w:val="203"/>
        </w:trPr>
        <w:tc>
          <w:tcPr>
            <w:tcW w:w="320" w:type="dxa"/>
            <w:vAlign w:val="bottom"/>
          </w:tcPr>
          <w:p>
            <w:pPr>
              <w:spacing w:after="0"/>
              <w:rPr>
                <w:sz w:val="17"/>
                <w:szCs w:val="17"/>
                <w:color w:val="auto"/>
              </w:rPr>
            </w:pPr>
          </w:p>
        </w:tc>
        <w:tc>
          <w:tcPr>
            <w:tcW w:w="3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Name: Patrick J. Norton</w:t>
            </w: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Title:  Executive Vice President &amp; CFO</w:t>
            </w:r>
          </w:p>
        </w:tc>
      </w:tr>
      <w:tr>
        <w:trPr>
          <w:trHeight w:val="608"/>
        </w:trPr>
        <w:tc>
          <w:tcPr>
            <w:tcW w:w="4220" w:type="dxa"/>
            <w:vAlign w:val="bottom"/>
            <w:gridSpan w:val="2"/>
          </w:tcPr>
          <w:p>
            <w:pPr>
              <w:spacing w:after="0"/>
              <w:rPr>
                <w:sz w:val="20"/>
                <w:szCs w:val="20"/>
                <w:color w:val="auto"/>
              </w:rPr>
            </w:pPr>
            <w:r>
              <w:rPr>
                <w:rFonts w:ascii="Courier New" w:cs="Courier New" w:eastAsia="Courier New" w:hAnsi="Courier New"/>
                <w:sz w:val="18"/>
                <w:szCs w:val="18"/>
                <w:color w:val="auto"/>
              </w:rPr>
              <w:t>SWISS FARMS PRODUCTS, INC.</w:t>
            </w:r>
          </w:p>
        </w:tc>
      </w:tr>
      <w:tr>
        <w:trPr>
          <w:trHeight w:val="608"/>
        </w:trPr>
        <w:tc>
          <w:tcPr>
            <w:tcW w:w="320" w:type="dxa"/>
            <w:vAlign w:val="bottom"/>
          </w:tcPr>
          <w:p>
            <w:pPr>
              <w:spacing w:after="0"/>
              <w:rPr>
                <w:sz w:val="20"/>
                <w:szCs w:val="20"/>
                <w:color w:val="auto"/>
              </w:rPr>
            </w:pPr>
            <w:r>
              <w:rPr>
                <w:rFonts w:ascii="Courier New" w:cs="Courier New" w:eastAsia="Courier New" w:hAnsi="Courier New"/>
                <w:sz w:val="18"/>
                <w:szCs w:val="18"/>
                <w:color w:val="auto"/>
                <w:w w:val="92"/>
              </w:rPr>
              <w:t>By:</w:t>
            </w:r>
          </w:p>
        </w:tc>
        <w:tc>
          <w:tcPr>
            <w:tcW w:w="3900" w:type="dxa"/>
            <w:vAlign w:val="bottom"/>
          </w:tcPr>
          <w:p>
            <w:pPr>
              <w:ind w:left="620"/>
              <w:spacing w:after="0"/>
              <w:rPr>
                <w:sz w:val="20"/>
                <w:szCs w:val="20"/>
                <w:color w:val="auto"/>
              </w:rPr>
            </w:pPr>
            <w:r>
              <w:rPr>
                <w:rFonts w:ascii="Courier New" w:cs="Courier New" w:eastAsia="Courier New" w:hAnsi="Courier New"/>
                <w:sz w:val="18"/>
                <w:szCs w:val="18"/>
                <w:color w:val="auto"/>
              </w:rPr>
              <w:t>/s/ Patrick J. Norton</w:t>
            </w:r>
          </w:p>
        </w:tc>
      </w:tr>
    </w:tbl>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Name: Patrick J. Norton</w:t>
      </w:r>
    </w:p>
    <w:p>
      <w:pPr>
        <w:ind w:left="4120"/>
        <w:spacing w:after="0"/>
        <w:tabs>
          <w:tab w:leader="none" w:pos="4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Executive Vice President &amp; CFO</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MIRACLE-GRO LAWN</w:t>
      </w:r>
    </w:p>
    <w:p>
      <w:pPr>
        <w:ind w:left="4120"/>
        <w:spacing w:after="0" w:line="238" w:lineRule="auto"/>
        <w:rPr>
          <w:sz w:val="20"/>
          <w:szCs w:val="20"/>
          <w:color w:val="auto"/>
        </w:rPr>
      </w:pPr>
      <w:r>
        <w:rPr>
          <w:rFonts w:ascii="Courier New" w:cs="Courier New" w:eastAsia="Courier New" w:hAnsi="Courier New"/>
          <w:sz w:val="18"/>
          <w:szCs w:val="18"/>
          <w:color w:val="auto"/>
        </w:rPr>
        <w:t>PRODUCTS, INC.</w:t>
      </w:r>
    </w:p>
    <w:p>
      <w:pPr>
        <w:spacing w:after="0" w:line="200" w:lineRule="exact"/>
        <w:rPr>
          <w:sz w:val="20"/>
          <w:szCs w:val="20"/>
          <w:color w:val="auto"/>
        </w:rPr>
      </w:pPr>
    </w:p>
    <w:p>
      <w:pPr>
        <w:spacing w:after="0" w:line="204" w:lineRule="exact"/>
        <w:rPr>
          <w:sz w:val="20"/>
          <w:szCs w:val="20"/>
          <w:color w:val="auto"/>
        </w:rPr>
      </w:pPr>
    </w:p>
    <w:p>
      <w:pPr>
        <w:ind w:left="4120"/>
        <w:spacing w:after="0"/>
        <w:tabs>
          <w:tab w:leader="none" w:pos="5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Patrick J. Norton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Name: Patrick J. Norton</w:t>
      </w:r>
    </w:p>
    <w:p>
      <w:pPr>
        <w:ind w:left="4120"/>
        <w:spacing w:after="0"/>
        <w:tabs>
          <w:tab w:leader="none" w:pos="4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Executive Vice President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Confirmed and accepted as of the date first above written: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J.P. MORGAN SECURITIES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itself and on behalf of the</w:t>
      </w:r>
    </w:p>
    <w:p>
      <w:pPr>
        <w:ind w:left="120"/>
        <w:spacing w:after="0" w:line="238" w:lineRule="auto"/>
        <w:rPr>
          <w:sz w:val="20"/>
          <w:szCs w:val="20"/>
          <w:color w:val="auto"/>
        </w:rPr>
      </w:pPr>
      <w:r>
        <w:rPr>
          <w:rFonts w:ascii="Courier New" w:cs="Courier New" w:eastAsia="Courier New" w:hAnsi="Courier New"/>
          <w:sz w:val="18"/>
          <w:szCs w:val="18"/>
          <w:color w:val="auto"/>
        </w:rPr>
        <w:t>several Initial Purchasers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David Capaldi</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17" w:right="1440" w:bottom="1440" w:gutter="0" w:footer="0" w:header="0"/>
        </w:sectPr>
      </w:pPr>
    </w:p>
    <w:bookmarkStart w:id="146" w:name="page147"/>
    <w:bookmarkEnd w:id="146"/>
    <w:p>
      <w:pPr>
        <w:jc w:val="right"/>
        <w:ind w:right="1779"/>
        <w:spacing w:after="0"/>
        <w:rPr>
          <w:sz w:val="20"/>
          <w:szCs w:val="20"/>
          <w:color w:val="auto"/>
        </w:rPr>
      </w:pPr>
      <w:r>
        <w:rPr>
          <w:rFonts w:ascii="Courier New" w:cs="Courier New" w:eastAsia="Courier New" w:hAnsi="Courier New"/>
          <w:sz w:val="18"/>
          <w:szCs w:val="18"/>
          <w:color w:val="auto"/>
        </w:rPr>
        <w:t>Schedule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OMS Investments, Inc.</w:t>
      </w:r>
    </w:p>
    <w:p>
      <w:pPr>
        <w:spacing w:after="0" w:line="238" w:lineRule="auto"/>
        <w:rPr>
          <w:sz w:val="20"/>
          <w:szCs w:val="20"/>
          <w:color w:val="auto"/>
        </w:rPr>
      </w:pPr>
      <w:r>
        <w:rPr>
          <w:rFonts w:ascii="Courier New" w:cs="Courier New" w:eastAsia="Courier New" w:hAnsi="Courier New"/>
          <w:sz w:val="18"/>
          <w:szCs w:val="18"/>
          <w:color w:val="auto"/>
        </w:rPr>
        <w:t>Hyponex Corporation</w:t>
      </w:r>
    </w:p>
    <w:p>
      <w:pPr>
        <w:spacing w:after="0"/>
        <w:rPr>
          <w:sz w:val="20"/>
          <w:szCs w:val="20"/>
          <w:color w:val="auto"/>
        </w:rPr>
      </w:pPr>
      <w:r>
        <w:rPr>
          <w:rFonts w:ascii="Courier New" w:cs="Courier New" w:eastAsia="Courier New" w:hAnsi="Courier New"/>
          <w:sz w:val="18"/>
          <w:szCs w:val="18"/>
          <w:color w:val="auto"/>
        </w:rPr>
        <w:t>EarthGro, Inc.</w:t>
      </w:r>
    </w:p>
    <w:p>
      <w:pPr>
        <w:spacing w:after="0" w:line="237" w:lineRule="auto"/>
        <w:rPr>
          <w:sz w:val="20"/>
          <w:szCs w:val="20"/>
          <w:color w:val="auto"/>
        </w:rPr>
      </w:pPr>
      <w:r>
        <w:rPr>
          <w:rFonts w:ascii="Courier New" w:cs="Courier New" w:eastAsia="Courier New" w:hAnsi="Courier New"/>
          <w:sz w:val="18"/>
          <w:szCs w:val="18"/>
          <w:color w:val="auto"/>
        </w:rPr>
        <w:t>Scotts Products Co.</w:t>
      </w:r>
    </w:p>
    <w:p>
      <w:pPr>
        <w:spacing w:after="0" w:line="238" w:lineRule="auto"/>
        <w:rPr>
          <w:sz w:val="20"/>
          <w:szCs w:val="20"/>
          <w:color w:val="auto"/>
        </w:rPr>
      </w:pPr>
      <w:r>
        <w:rPr>
          <w:rFonts w:ascii="Courier New" w:cs="Courier New" w:eastAsia="Courier New" w:hAnsi="Courier New"/>
          <w:sz w:val="18"/>
          <w:szCs w:val="18"/>
          <w:color w:val="auto"/>
        </w:rPr>
        <w:t>Scotts Professional Products Co.</w:t>
      </w:r>
    </w:p>
    <w:p>
      <w:pPr>
        <w:spacing w:after="0"/>
        <w:rPr>
          <w:sz w:val="20"/>
          <w:szCs w:val="20"/>
          <w:color w:val="auto"/>
        </w:rPr>
      </w:pPr>
      <w:r>
        <w:rPr>
          <w:rFonts w:ascii="Courier New" w:cs="Courier New" w:eastAsia="Courier New" w:hAnsi="Courier New"/>
          <w:sz w:val="18"/>
          <w:szCs w:val="18"/>
          <w:color w:val="auto"/>
        </w:rPr>
        <w:t>Scotts-Sierra Horticultural Products Company</w:t>
      </w:r>
    </w:p>
    <w:p>
      <w:pPr>
        <w:spacing w:after="0" w:line="237" w:lineRule="auto"/>
        <w:rPr>
          <w:sz w:val="20"/>
          <w:szCs w:val="20"/>
          <w:color w:val="auto"/>
        </w:rPr>
      </w:pPr>
      <w:r>
        <w:rPr>
          <w:rFonts w:ascii="Courier New" w:cs="Courier New" w:eastAsia="Courier New" w:hAnsi="Courier New"/>
          <w:sz w:val="18"/>
          <w:szCs w:val="18"/>
          <w:color w:val="auto"/>
        </w:rPr>
        <w:t>Scotts-Sierra Crop Protection Company</w:t>
      </w:r>
    </w:p>
    <w:p>
      <w:pPr>
        <w:spacing w:after="0"/>
        <w:rPr>
          <w:sz w:val="20"/>
          <w:szCs w:val="20"/>
          <w:color w:val="auto"/>
        </w:rPr>
      </w:pPr>
      <w:r>
        <w:rPr>
          <w:rFonts w:ascii="Courier New" w:cs="Courier New" w:eastAsia="Courier New" w:hAnsi="Courier New"/>
          <w:sz w:val="18"/>
          <w:szCs w:val="18"/>
          <w:color w:val="auto"/>
        </w:rPr>
        <w:t>Scotts-Sierra Investments, Inc.</w:t>
      </w:r>
    </w:p>
    <w:p>
      <w:pPr>
        <w:spacing w:after="0" w:line="237" w:lineRule="auto"/>
        <w:rPr>
          <w:sz w:val="20"/>
          <w:szCs w:val="20"/>
          <w:color w:val="auto"/>
        </w:rPr>
      </w:pPr>
      <w:r>
        <w:rPr>
          <w:rFonts w:ascii="Courier New" w:cs="Courier New" w:eastAsia="Courier New" w:hAnsi="Courier New"/>
          <w:sz w:val="18"/>
          <w:szCs w:val="18"/>
          <w:color w:val="auto"/>
        </w:rPr>
        <w:t>Swiss Farms Products Inc.</w:t>
      </w:r>
    </w:p>
    <w:p>
      <w:pPr>
        <w:spacing w:after="0"/>
        <w:rPr>
          <w:sz w:val="20"/>
          <w:szCs w:val="20"/>
          <w:color w:val="auto"/>
        </w:rPr>
      </w:pPr>
      <w:r>
        <w:rPr>
          <w:rFonts w:ascii="Courier New" w:cs="Courier New" w:eastAsia="Courier New" w:hAnsi="Courier New"/>
          <w:sz w:val="18"/>
          <w:szCs w:val="18"/>
          <w:color w:val="auto"/>
        </w:rPr>
        <w:t>Scotts Manufacturing Company</w:t>
      </w:r>
    </w:p>
    <w:p>
      <w:pPr>
        <w:spacing w:after="0" w:line="237" w:lineRule="auto"/>
        <w:rPr>
          <w:sz w:val="20"/>
          <w:szCs w:val="20"/>
          <w:color w:val="auto"/>
        </w:rPr>
      </w:pPr>
      <w:r>
        <w:rPr>
          <w:rFonts w:ascii="Courier New" w:cs="Courier New" w:eastAsia="Courier New" w:hAnsi="Courier New"/>
          <w:sz w:val="18"/>
          <w:szCs w:val="18"/>
          <w:color w:val="auto"/>
        </w:rPr>
        <w:t>Scotts Temecula Operations, LLC</w:t>
      </w:r>
    </w:p>
    <w:p>
      <w:pPr>
        <w:spacing w:after="0" w:line="238" w:lineRule="auto"/>
        <w:rPr>
          <w:sz w:val="20"/>
          <w:szCs w:val="20"/>
          <w:color w:val="auto"/>
        </w:rPr>
      </w:pPr>
      <w:r>
        <w:rPr>
          <w:rFonts w:ascii="Courier New" w:cs="Courier New" w:eastAsia="Courier New" w:hAnsi="Courier New"/>
          <w:sz w:val="18"/>
          <w:szCs w:val="18"/>
          <w:color w:val="auto"/>
        </w:rPr>
        <w:t>Miracle-Gro Lawn Products, Inc.</w:t>
      </w:r>
    </w:p>
    <w:p>
      <w:pPr>
        <w:sectPr>
          <w:pgSz w:w="11900" w:h="16838" w:orient="portrait"/>
          <w:cols w:equalWidth="0" w:num="1">
            <w:col w:w="10219"/>
          </w:cols>
          <w:pgMar w:left="240" w:top="1122" w:right="1440" w:bottom="1440" w:gutter="0" w:footer="0" w:header="0"/>
        </w:sectPr>
      </w:pPr>
    </w:p>
    <w:bookmarkStart w:id="147" w:name="page148"/>
    <w:bookmarkEnd w:id="147"/>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[VORYS, SATER, SEYMOUR AND PEASE LLP LETTERHEAD]</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July 10,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Scotts Company</w:t>
      </w:r>
    </w:p>
    <w:p>
      <w:pPr>
        <w:spacing w:after="0" w:line="238" w:lineRule="auto"/>
        <w:rPr>
          <w:sz w:val="20"/>
          <w:szCs w:val="20"/>
          <w:color w:val="auto"/>
        </w:rPr>
      </w:pPr>
      <w:r>
        <w:rPr>
          <w:rFonts w:ascii="Courier New" w:cs="Courier New" w:eastAsia="Courier New" w:hAnsi="Courier New"/>
          <w:sz w:val="18"/>
          <w:szCs w:val="18"/>
          <w:color w:val="auto"/>
        </w:rPr>
        <w:t>14111 Scottslawn Road</w:t>
      </w:r>
    </w:p>
    <w:p>
      <w:pPr>
        <w:spacing w:after="0"/>
        <w:rPr>
          <w:sz w:val="20"/>
          <w:szCs w:val="20"/>
          <w:color w:val="auto"/>
        </w:rPr>
      </w:pPr>
      <w:r>
        <w:rPr>
          <w:rFonts w:ascii="Courier New" w:cs="Courier New" w:eastAsia="Courier New" w:hAnsi="Courier New"/>
          <w:sz w:val="18"/>
          <w:szCs w:val="18"/>
          <w:color w:val="auto"/>
        </w:rPr>
        <w:t>Marysville, Ohio 43041</w:t>
      </w:r>
    </w:p>
    <w:p>
      <w:pPr>
        <w:spacing w:after="0" w:line="200"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RE: REGISTRATION STATEMENT ON FORM S-4</w:t>
      </w:r>
    </w:p>
    <w:p>
      <w:pPr>
        <w:spacing w:after="0" w:line="238" w:lineRule="auto"/>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We have acted as counsel to The Scotts Company, an Ohio corporation (the "Company"), in connection with the proposed offer and exchange (the "Exchange Offer") by the Company of (i) $70,000,000 aggregate principal amount of the Company's 8.625% Senior Subordinated Notes due 2009 (the "New Notes"), which have been registered under the Securities Act of 1933, as amended (the "Securities Act"), for (ii) an equal principal amount at maturity of its outstanding 8.625% Senior Subordinated Notes due 2009 (the "Original Notes"). The New Notes will be issued pursuant to an indenture dated as of January 21, 1999 (the "Indenture") by and between the Company, the Guarantors signatories thereto (the "Guarantors") and State Street Bank and Trust Company, as Trustee.</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giving this opinion in connection with the Registration Statement on Form S-4 relating to the Exchange Offer and filed with Securities and Exchange Commission on the date hereof (the "Registration Statement"). This opinion is being furnished in accordance with the requirements of Item 601(b)(5) of Regulation S-K of the General Rules and Regulations promulgated under the Securities Act.</w:t>
      </w:r>
    </w:p>
    <w:p>
      <w:pPr>
        <w:spacing w:after="0" w:line="210"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In rendering this opinion, we have examined, among other things: (i) the Registration Statement; (ii) the Indenture; (iii) the form of the New Notes;</w:t>
      </w:r>
    </w:p>
    <w:p>
      <w:pPr>
        <w:ind w:right="1779" w:firstLine="8"/>
        <w:spacing w:after="0" w:line="237" w:lineRule="auto"/>
        <w:tabs>
          <w:tab w:leader="none" w:pos="527" w:val="left"/>
        </w:tabs>
        <w:numPr>
          <w:ilvl w:val="0"/>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Articles of Incorporation of the Company as currently in effect; (v) the Code of Regulations of the Company as currently in effect; and (vi) the resolutions adopted by the Board of Directors of the Company or the Executive Committee thereof relating to the Exchange Offer. We have also examined originals or copies, certified or otherwise identified to my satisfaction, of such records of the Company and such other documents, certificates and records as we have deemed necessary or appropriate as a basis for the opinions set forth herein.</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our examination, we have assumed the legal capacity of all natural persons, the genuineness of all signatures, the authenticity of all documents submitted to us as originals, the conformity to original documents of all documents submitted to us as certified or photostatic copies and the authenticity of the originals of such latter documents. In making our examination of documents executed by the parties other than the Company, we have assumed that such parties had the power, corporate or other, to enter into and perform all obligations thereunder and have also assumed the due authorization by all requisite action, corporation and other, and execution and delivery by such parties of such documents and the validity and binding effect thereof. As to any facts material to the opinions expressed herein which were not independently established or verified, we have relied upon oral or written statements and representations of officers and other representatives of the Company and others. In addition, we have assumed that the terms of the Original Notes and the New Notes have been established in accordance with the terms of the Indenture.</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Our opinion is subject to: (a) the effect of applicable bankruptcy, insolvency, reorganization, moratorium, fraudulent conveyance or other similar laws now or hereafter in effect</w:t>
      </w:r>
    </w:p>
    <w:p>
      <w:pPr>
        <w:sectPr>
          <w:pgSz w:w="11900" w:h="16838" w:orient="portrait"/>
          <w:cols w:equalWidth="0" w:num="1">
            <w:col w:w="10219"/>
          </w:cols>
          <w:pgMar w:left="240" w:top="541" w:right="1440" w:bottom="1440" w:gutter="0" w:footer="0" w:header="0"/>
        </w:sectPr>
      </w:pPr>
    </w:p>
    <w:bookmarkStart w:id="148" w:name="page149"/>
    <w:bookmarkEnd w:id="148"/>
    <w:p>
      <w:pPr>
        <w:ind w:right="1779"/>
        <w:spacing w:after="0" w:line="236" w:lineRule="auto"/>
        <w:rPr>
          <w:sz w:val="20"/>
          <w:szCs w:val="20"/>
          <w:color w:val="auto"/>
        </w:rPr>
      </w:pPr>
      <w:r>
        <w:rPr>
          <w:rFonts w:ascii="Courier New" w:cs="Courier New" w:eastAsia="Courier New" w:hAnsi="Courier New"/>
          <w:sz w:val="18"/>
          <w:szCs w:val="18"/>
          <w:color w:val="auto"/>
        </w:rPr>
        <w:t>relating to creditors' rights generally and (b) the limitations imposed by general principles of equity (regardless of whether enforceability is considered in a proceeding at law or in equity).</w:t>
      </w:r>
    </w:p>
    <w:p>
      <w:pPr>
        <w:spacing w:after="0" w:line="209"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We are members of the Bar of the State of Ohio, and we do not express any opinion as to the laws of any other jurisdiction. The opinions expressed herein are based upon the law and circumstances as they are in effect on the date hereof, and we assume no obligation to revise or supplement this letter in the event of future changes in the law or interpretation thereof with respect to circumstances or events that may occur subsequent to the date hereof.</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Based upon and subject to the foregoing, we are of the opinion that (i) the New Notes, when issued in accordance with the terms of the Indenture, duly executed by the Company, duly authenticated by the Trustee and issued and delivered against exchange of the Original Notes in accordance with the terms set forth in the Prospectus that forms a part of the Registration Statement, will constitute the legal and binding obligations of the Company and (ii) the guaranties of the New Notes by the Guarantors constitute the legal and binding obligations of each of the Guarantors, in each case, under the laws of the State of New York (which is the governing law with respect thereto).</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hereby consent to the use of our name in the Registration Statement under the caption "Legal Matters" (or, if amended, a corresponding heading) and to the filing of this opinion as Exhibit 5.1 to the Registration Statement. In giving this consent, we do not thereby admit that we come within the category of persons whose consent is required to be filed with the Registration Statement under the provisions of the Securities Act or the rules and regulations promulgated thereunder. This opinion may not be relied upon or reproduced or delivered in any other context or by any other person without our prior written consent.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VORYS, SATER, SEYMOUR AND PEASE LLP</w:t>
      </w:r>
    </w:p>
    <w:p>
      <w:pPr>
        <w:sectPr>
          <w:pgSz w:w="11900" w:h="16838" w:orient="portrait"/>
          <w:cols w:equalWidth="0" w:num="1">
            <w:col w:w="10219"/>
          </w:cols>
          <w:pgMar w:left="240" w:top="723" w:right="1440" w:bottom="1440" w:gutter="0" w:footer="0" w:header="0"/>
        </w:sectPr>
      </w:pPr>
    </w:p>
    <w:bookmarkStart w:id="149" w:name="page150"/>
    <w:bookmarkEnd w:id="149"/>
    <w:p>
      <w:pPr>
        <w:jc w:val="right"/>
        <w:ind w:right="1779"/>
        <w:spacing w:after="0"/>
        <w:rPr>
          <w:sz w:val="20"/>
          <w:szCs w:val="20"/>
          <w:color w:val="auto"/>
        </w:rPr>
      </w:pPr>
      <w:r>
        <w:rPr>
          <w:rFonts w:ascii="Courier New" w:cs="Courier New" w:eastAsia="Courier New" w:hAnsi="Courier New"/>
          <w:sz w:val="18"/>
          <w:szCs w:val="18"/>
          <w:color w:val="auto"/>
        </w:rPr>
        <w:t>EXHIBIT 12.1</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STATEMENT OF COMPUTATION OF RATIO OF</w:t>
      </w:r>
    </w:p>
    <w:p>
      <w:pPr>
        <w:ind w:left="2860"/>
        <w:spacing w:after="0" w:line="238" w:lineRule="auto"/>
        <w:rPr>
          <w:sz w:val="20"/>
          <w:szCs w:val="20"/>
          <w:color w:val="auto"/>
        </w:rPr>
      </w:pPr>
      <w:r>
        <w:rPr>
          <w:rFonts w:ascii="Courier New" w:cs="Courier New" w:eastAsia="Courier New" w:hAnsi="Courier New"/>
          <w:sz w:val="18"/>
          <w:szCs w:val="18"/>
          <w:color w:val="auto"/>
        </w:rPr>
        <w:t>EARNINGS TO FIXED CHARGES</w:t>
      </w:r>
    </w:p>
    <w:p>
      <w:pPr>
        <w:spacing w:after="0" w:line="202" w:lineRule="exact"/>
        <w:rPr>
          <w:sz w:val="20"/>
          <w:szCs w:val="20"/>
          <w:color w:val="auto"/>
        </w:rPr>
      </w:pPr>
    </w:p>
    <w:p>
      <w:pPr>
        <w:ind w:left="260" w:hanging="205"/>
        <w:spacing w:after="0"/>
        <w:tabs>
          <w:tab w:leader="none" w:pos="260"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SIX MONTHS</w:t>
      </w:r>
    </w:p>
    <w:p>
      <w:pPr>
        <w:ind w:left="60"/>
        <w:spacing w:after="0" w:line="237" w:lineRule="auto"/>
        <w:rPr>
          <w:sz w:val="20"/>
          <w:szCs w:val="20"/>
          <w:color w:val="auto"/>
        </w:rPr>
      </w:pPr>
      <w:r>
        <w:rPr>
          <w:rFonts w:ascii="Courier New" w:cs="Courier New" w:eastAsia="Courier New" w:hAnsi="Courier New"/>
          <w:sz w:val="18"/>
          <w:szCs w:val="18"/>
          <w:color w:val="auto"/>
        </w:rPr>
        <w:t>ENDED -------------------</w:t>
      </w:r>
    </w:p>
    <w:p>
      <w:pPr>
        <w:spacing w:after="0" w:line="5" w:lineRule="exact"/>
        <w:rPr>
          <w:sz w:val="20"/>
          <w:szCs w:val="20"/>
          <w:color w:val="auto"/>
        </w:rPr>
      </w:pPr>
    </w:p>
    <w:p>
      <w:pPr>
        <w:ind w:left="220" w:right="7539" w:hanging="165"/>
        <w:spacing w:after="0" w:line="268" w:lineRule="auto"/>
        <w:tabs>
          <w:tab w:leader="none" w:pos="378"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MARCH 31, MARCH 30, ($ IN MILLIONS) 1995 1996</w:t>
      </w:r>
    </w:p>
    <w:p>
      <w:pPr>
        <w:ind w:left="100"/>
        <w:spacing w:after="0" w:line="233" w:lineRule="auto"/>
        <w:rPr>
          <w:sz w:val="20"/>
          <w:szCs w:val="20"/>
          <w:color w:val="auto"/>
        </w:rPr>
      </w:pPr>
      <w:r>
        <w:rPr>
          <w:rFonts w:ascii="Courier New" w:cs="Courier New" w:eastAsia="Courier New" w:hAnsi="Courier New"/>
          <w:sz w:val="18"/>
          <w:szCs w:val="18"/>
          <w:color w:val="auto"/>
        </w:rPr>
        <w:t>1997 1998 1999 2000 2001</w:t>
      </w:r>
    </w:p>
    <w:p>
      <w:pPr>
        <w:ind w:left="60"/>
        <w:spacing w:after="0"/>
        <w:rPr>
          <w:sz w:val="20"/>
          <w:szCs w:val="20"/>
          <w:color w:val="auto"/>
        </w:rPr>
      </w:pPr>
      <w:r>
        <w:rPr>
          <w:rFonts w:ascii="Courier New" w:cs="Courier New" w:eastAsia="Courier New" w:hAnsi="Courier New"/>
          <w:sz w:val="18"/>
          <w:szCs w:val="18"/>
          <w:color w:val="auto"/>
        </w:rPr>
        <w:t>2001 2002 -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EARNINGS: Pretax income</w:t>
      </w:r>
    </w:p>
    <w:tbl>
      <w:tblPr>
        <w:tblLayout w:type="fixed"/>
        <w:tblInd w:w="60" w:type="dxa"/>
        <w:tblCellMar>
          <w:top w:w="0" w:type="dxa"/>
          <w:left w:w="0" w:type="dxa"/>
          <w:bottom w:w="0" w:type="dxa"/>
          <w:right w:w="0" w:type="dxa"/>
        </w:tblCellMar>
      </w:tblPr>
      <w:tr>
        <w:trPr>
          <w:trHeight w:val="203"/>
        </w:trPr>
        <w:tc>
          <w:tcPr>
            <w:tcW w:w="500" w:type="dxa"/>
            <w:vAlign w:val="bottom"/>
          </w:tcPr>
          <w:p>
            <w:pPr>
              <w:spacing w:after="0"/>
              <w:rPr>
                <w:sz w:val="17"/>
                <w:szCs w:val="17"/>
                <w:color w:val="auto"/>
              </w:rPr>
            </w:pPr>
          </w:p>
        </w:tc>
        <w:tc>
          <w:tcPr>
            <w:tcW w:w="1600" w:type="dxa"/>
            <w:vAlign w:val="bottom"/>
            <w:gridSpan w:val="6"/>
          </w:tcPr>
          <w:p>
            <w:pPr>
              <w:ind w:left="20"/>
              <w:spacing w:after="0" w:line="203" w:lineRule="exact"/>
              <w:rPr>
                <w:sz w:val="20"/>
                <w:szCs w:val="20"/>
                <w:color w:val="auto"/>
              </w:rPr>
            </w:pPr>
            <w:r>
              <w:rPr>
                <w:rFonts w:ascii="Courier New" w:cs="Courier New" w:eastAsia="Courier New" w:hAnsi="Courier New"/>
                <w:sz w:val="18"/>
                <w:szCs w:val="18"/>
                <w:color w:val="auto"/>
                <w:w w:val="96"/>
              </w:rPr>
              <w:t>from continuing</w:t>
            </w:r>
          </w:p>
        </w:tc>
        <w:tc>
          <w:tcPr>
            <w:tcW w:w="520" w:type="dxa"/>
            <w:vAlign w:val="bottom"/>
          </w:tcPr>
          <w:p>
            <w:pPr>
              <w:spacing w:after="0"/>
              <w:rPr>
                <w:sz w:val="17"/>
                <w:szCs w:val="17"/>
                <w:color w:val="auto"/>
              </w:rPr>
            </w:pPr>
          </w:p>
        </w:tc>
      </w:tr>
      <w:tr>
        <w:trPr>
          <w:trHeight w:val="203"/>
        </w:trPr>
        <w:tc>
          <w:tcPr>
            <w:tcW w:w="1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6"/>
              </w:rPr>
              <w:t>operations</w:t>
            </w:r>
          </w:p>
        </w:tc>
        <w:tc>
          <w:tcPr>
            <w:tcW w:w="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w:t>
            </w:r>
          </w:p>
        </w:tc>
        <w:tc>
          <w:tcPr>
            <w:tcW w:w="120" w:type="dxa"/>
            <w:vAlign w:val="bottom"/>
          </w:tcPr>
          <w:p>
            <w:pPr>
              <w:spacing w:after="0"/>
              <w:rPr>
                <w:sz w:val="17"/>
                <w:szCs w:val="17"/>
                <w:color w:val="auto"/>
              </w:rPr>
            </w:pP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$36.3 $</w:t>
            </w:r>
          </w:p>
        </w:tc>
      </w:tr>
      <w:tr>
        <w:trPr>
          <w:trHeight w:val="203"/>
        </w:trPr>
        <w:tc>
          <w:tcPr>
            <w:tcW w:w="5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c>
          <w:tcPr>
            <w:tcW w:w="6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$69.6</w:t>
            </w:r>
          </w:p>
        </w:tc>
        <w:tc>
          <w:tcPr>
            <w:tcW w:w="5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6"/>
              </w:rPr>
              <w:t>$61.9</w:t>
            </w:r>
          </w:p>
        </w:tc>
        <w:tc>
          <w:tcPr>
            <w:tcW w:w="8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$117.0</w:t>
            </w:r>
          </w:p>
        </w:tc>
      </w:tr>
      <w:tr>
        <w:trPr>
          <w:trHeight w:val="203"/>
        </w:trPr>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$116.3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28.7</w:t>
            </w:r>
          </w:p>
        </w:tc>
        <w:tc>
          <w:tcPr>
            <w:tcW w:w="120" w:type="dxa"/>
            <w:vAlign w:val="bottom"/>
          </w:tcPr>
          <w:p>
            <w:pPr>
              <w:spacing w:after="0"/>
              <w:rPr>
                <w:sz w:val="17"/>
                <w:szCs w:val="17"/>
                <w:color w:val="auto"/>
              </w:rPr>
            </w:pPr>
          </w:p>
        </w:tc>
        <w:tc>
          <w:tcPr>
            <w:tcW w:w="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$ 56.5</w:t>
            </w:r>
          </w:p>
        </w:tc>
      </w:tr>
      <w:tr>
        <w:trPr>
          <w:trHeight w:val="203"/>
        </w:trPr>
        <w:tc>
          <w:tcPr>
            <w:tcW w:w="500" w:type="dxa"/>
            <w:vAlign w:val="bottom"/>
          </w:tcPr>
          <w:p>
            <w:pPr>
              <w:spacing w:after="0"/>
              <w:rPr>
                <w:sz w:val="17"/>
                <w:szCs w:val="17"/>
                <w:color w:val="auto"/>
              </w:rPr>
            </w:pPr>
          </w:p>
        </w:tc>
        <w:tc>
          <w:tcPr>
            <w:tcW w:w="6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$29.0</w:t>
            </w:r>
          </w:p>
        </w:tc>
        <w:tc>
          <w:tcPr>
            <w:tcW w:w="9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Interest</w:t>
            </w:r>
          </w:p>
        </w:tc>
        <w:tc>
          <w:tcPr>
            <w:tcW w:w="520" w:type="dxa"/>
            <w:vAlign w:val="bottom"/>
          </w:tcPr>
          <w:p>
            <w:pPr>
              <w:spacing w:after="0"/>
              <w:rPr>
                <w:sz w:val="17"/>
                <w:szCs w:val="17"/>
                <w:color w:val="auto"/>
              </w:rPr>
            </w:pPr>
          </w:p>
        </w:tc>
      </w:tr>
      <w:tr>
        <w:trPr>
          <w:trHeight w:val="203"/>
        </w:trPr>
        <w:tc>
          <w:tcPr>
            <w:tcW w:w="1160" w:type="dxa"/>
            <w:vAlign w:val="bottom"/>
            <w:gridSpan w:val="3"/>
          </w:tcPr>
          <w:p>
            <w:pPr>
              <w:spacing w:after="0"/>
              <w:rPr>
                <w:sz w:val="20"/>
                <w:szCs w:val="20"/>
                <w:color w:val="auto"/>
              </w:rPr>
            </w:pPr>
            <w:r>
              <w:rPr>
                <w:rFonts w:ascii="Courier New" w:cs="Courier New" w:eastAsia="Courier New" w:hAnsi="Courier New"/>
                <w:sz w:val="14"/>
                <w:szCs w:val="14"/>
                <w:color w:val="auto"/>
                <w:w w:val="71"/>
              </w:rPr>
              <w:t>expense............</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$24.6</w:t>
            </w:r>
          </w:p>
        </w:tc>
      </w:tr>
      <w:tr>
        <w:trPr>
          <w:trHeight w:val="203"/>
        </w:trPr>
        <w:tc>
          <w:tcPr>
            <w:tcW w:w="5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w:t>
            </w:r>
          </w:p>
        </w:tc>
        <w:tc>
          <w:tcPr>
            <w:tcW w:w="11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25.2 32.2</w:t>
            </w:r>
          </w:p>
        </w:tc>
        <w:tc>
          <w:tcPr>
            <w:tcW w:w="1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79.1 93.9</w:t>
            </w:r>
          </w:p>
        </w:tc>
      </w:tr>
      <w:tr>
        <w:trPr>
          <w:trHeight w:val="203"/>
        </w:trPr>
        <w:tc>
          <w:tcPr>
            <w:tcW w:w="2620" w:type="dxa"/>
            <w:vAlign w:val="bottom"/>
            <w:gridSpan w:val="8"/>
          </w:tcPr>
          <w:p>
            <w:pPr>
              <w:ind w:left="100"/>
              <w:spacing w:after="0" w:line="203" w:lineRule="exact"/>
              <w:rPr>
                <w:sz w:val="20"/>
                <w:szCs w:val="20"/>
                <w:color w:val="auto"/>
              </w:rPr>
            </w:pPr>
            <w:r>
              <w:rPr>
                <w:rFonts w:ascii="Courier New" w:cs="Courier New" w:eastAsia="Courier New" w:hAnsi="Courier New"/>
                <w:sz w:val="18"/>
                <w:szCs w:val="18"/>
                <w:color w:val="auto"/>
              </w:rPr>
              <w:t>87.7 47.4 40.2 Interest</w:t>
            </w:r>
          </w:p>
        </w:tc>
      </w:tr>
      <w:tr>
        <w:trPr>
          <w:trHeight w:val="203"/>
        </w:trPr>
        <w:tc>
          <w:tcPr>
            <w:tcW w:w="2100" w:type="dxa"/>
            <w:vAlign w:val="bottom"/>
            <w:gridSpan w:val="7"/>
          </w:tcPr>
          <w:p>
            <w:pPr>
              <w:ind w:left="100"/>
              <w:spacing w:after="0" w:line="203" w:lineRule="exact"/>
              <w:rPr>
                <w:sz w:val="20"/>
                <w:szCs w:val="20"/>
                <w:color w:val="auto"/>
              </w:rPr>
            </w:pPr>
            <w:r>
              <w:rPr>
                <w:rFonts w:ascii="Courier New" w:cs="Courier New" w:eastAsia="Courier New" w:hAnsi="Courier New"/>
                <w:sz w:val="18"/>
                <w:szCs w:val="18"/>
                <w:color w:val="auto"/>
                <w:w w:val="96"/>
              </w:rPr>
              <w:t>factor on rents....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5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4.6</w:t>
            </w:r>
          </w:p>
        </w:tc>
        <w:tc>
          <w:tcPr>
            <w:tcW w:w="440" w:type="dxa"/>
            <w:vAlign w:val="bottom"/>
          </w:tcPr>
          <w:p>
            <w:pPr>
              <w:ind w:left="20"/>
              <w:spacing w:after="0" w:line="203" w:lineRule="exact"/>
              <w:rPr>
                <w:sz w:val="20"/>
                <w:szCs w:val="20"/>
                <w:color w:val="auto"/>
              </w:rPr>
            </w:pPr>
            <w:r>
              <w:rPr>
                <w:rFonts w:ascii="Courier New" w:cs="Courier New" w:eastAsia="Courier New" w:hAnsi="Courier New"/>
                <w:sz w:val="18"/>
                <w:szCs w:val="18"/>
                <w:color w:val="auto"/>
              </w:rPr>
              <w:t>4.1</w:t>
            </w:r>
          </w:p>
        </w:tc>
        <w:tc>
          <w:tcPr>
            <w:tcW w:w="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4.5</w:t>
            </w:r>
          </w:p>
        </w:tc>
        <w:tc>
          <w:tcPr>
            <w:tcW w:w="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6.1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w:t>
            </w:r>
          </w:p>
        </w:tc>
      </w:tr>
    </w:tbl>
    <w:p>
      <w:pPr>
        <w:jc w:val="center"/>
        <w:ind w:right="7479"/>
        <w:spacing w:after="0" w:line="238" w:lineRule="auto"/>
        <w:rPr>
          <w:sz w:val="20"/>
          <w:szCs w:val="20"/>
          <w:color w:val="auto"/>
        </w:rPr>
      </w:pPr>
      <w:r>
        <w:rPr>
          <w:rFonts w:ascii="Courier New" w:cs="Courier New" w:eastAsia="Courier New" w:hAnsi="Courier New"/>
          <w:sz w:val="18"/>
          <w:szCs w:val="18"/>
          <w:color w:val="auto"/>
        </w:rPr>
        <w:t>5.3 4.5 Losses incurred</w:t>
      </w:r>
    </w:p>
    <w:p>
      <w:pPr>
        <w:jc w:val="center"/>
        <w:ind w:right="7479"/>
        <w:spacing w:after="0"/>
        <w:rPr>
          <w:sz w:val="20"/>
          <w:szCs w:val="20"/>
          <w:color w:val="auto"/>
        </w:rPr>
      </w:pPr>
      <w:r>
        <w:rPr>
          <w:rFonts w:ascii="Courier New" w:cs="Courier New" w:eastAsia="Courier New" w:hAnsi="Courier New"/>
          <w:sz w:val="18"/>
          <w:szCs w:val="18"/>
          <w:color w:val="auto"/>
        </w:rPr>
        <w:t>by majority- owned</w:t>
      </w:r>
    </w:p>
    <w:p>
      <w:pPr>
        <w:jc w:val="center"/>
        <w:ind w:right="7479"/>
        <w:spacing w:after="0" w:line="237" w:lineRule="auto"/>
        <w:rPr>
          <w:sz w:val="20"/>
          <w:szCs w:val="20"/>
          <w:color w:val="auto"/>
        </w:rPr>
      </w:pPr>
      <w:r>
        <w:rPr>
          <w:rFonts w:ascii="Courier New" w:cs="Courier New" w:eastAsia="Courier New" w:hAnsi="Courier New"/>
          <w:sz w:val="18"/>
          <w:szCs w:val="18"/>
          <w:color w:val="auto"/>
        </w:rPr>
        <w:t>subsidiaries not</w:t>
      </w:r>
    </w:p>
    <w:p>
      <w:pPr>
        <w:spacing w:after="0" w:line="238" w:lineRule="auto"/>
        <w:rPr>
          <w:sz w:val="20"/>
          <w:szCs w:val="20"/>
          <w:color w:val="auto"/>
        </w:rPr>
      </w:pPr>
      <w:r>
        <w:rPr>
          <w:rFonts w:ascii="Courier New" w:cs="Courier New" w:eastAsia="Courier New" w:hAnsi="Courier New"/>
          <w:sz w:val="18"/>
          <w:szCs w:val="18"/>
          <w:color w:val="auto"/>
        </w:rPr>
        <w:t>recorded..................</w:t>
      </w:r>
    </w:p>
    <w:p>
      <w:pPr>
        <w:spacing w:after="0" w:line="5" w:lineRule="exact"/>
        <w:rPr>
          <w:sz w:val="20"/>
          <w:szCs w:val="20"/>
          <w:color w:val="auto"/>
        </w:rPr>
      </w:pPr>
    </w:p>
    <w:p>
      <w:pPr>
        <w:ind w:left="60" w:right="7539" w:firstLine="154"/>
        <w:spacing w:after="0" w:line="268" w:lineRule="auto"/>
        <w:tabs>
          <w:tab w:leader="none" w:pos="534" w:val="left"/>
        </w:tabs>
        <w:numPr>
          <w:ilvl w:val="1"/>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-0.5 -0.2 0.4 0.4 0.5 0.5 -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320" w:right="7539" w:hanging="265"/>
        <w:spacing w:after="0" w:line="268" w:lineRule="auto"/>
        <w:tabs>
          <w:tab w:leader="none" w:pos="267"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$65.8 $30.9 $98.9 $98.1 $202.0 $215.7 $123.3</w:t>
      </w:r>
    </w:p>
    <w:p>
      <w:pPr>
        <w:ind w:left="60"/>
        <w:spacing w:after="0" w:line="233" w:lineRule="auto"/>
        <w:rPr>
          <w:sz w:val="20"/>
          <w:szCs w:val="20"/>
          <w:color w:val="auto"/>
        </w:rPr>
      </w:pPr>
      <w:r>
        <w:rPr>
          <w:rFonts w:ascii="Courier New" w:cs="Courier New" w:eastAsia="Courier New" w:hAnsi="Courier New"/>
          <w:sz w:val="18"/>
          <w:szCs w:val="18"/>
          <w:color w:val="auto"/>
        </w:rPr>
        <w:t>$108.7 $73.2 -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480"/>
        <w:spacing w:after="0"/>
        <w:rPr>
          <w:sz w:val="20"/>
          <w:szCs w:val="20"/>
          <w:color w:val="auto"/>
        </w:rPr>
      </w:pPr>
      <w:r>
        <w:rPr>
          <w:rFonts w:ascii="Courier New" w:cs="Courier New" w:eastAsia="Courier New" w:hAnsi="Courier New"/>
          <w:sz w:val="18"/>
          <w:szCs w:val="18"/>
          <w:color w:val="auto"/>
        </w:rPr>
        <w:t>-- FIXED CHARGES:</w:t>
      </w:r>
    </w:p>
    <w:tbl>
      <w:tblPr>
        <w:tblLayout w:type="fixed"/>
        <w:tblInd w:w="60" w:type="dxa"/>
        <w:tblCellMar>
          <w:top w:w="0" w:type="dxa"/>
          <w:left w:w="0" w:type="dxa"/>
          <w:bottom w:w="0" w:type="dxa"/>
          <w:right w:w="0" w:type="dxa"/>
        </w:tblCellMar>
      </w:tblPr>
      <w:tr>
        <w:trPr>
          <w:trHeight w:val="202"/>
        </w:trPr>
        <w:tc>
          <w:tcPr>
            <w:tcW w:w="620" w:type="dxa"/>
            <w:vAlign w:val="bottom"/>
          </w:tcPr>
          <w:p>
            <w:pPr>
              <w:spacing w:after="0"/>
              <w:rPr>
                <w:sz w:val="17"/>
                <w:szCs w:val="17"/>
                <w:color w:val="auto"/>
              </w:rPr>
            </w:pPr>
          </w:p>
        </w:tc>
        <w:tc>
          <w:tcPr>
            <w:tcW w:w="1280" w:type="dxa"/>
            <w:vAlign w:val="bottom"/>
            <w:gridSpan w:val="2"/>
          </w:tcPr>
          <w:p>
            <w:pPr>
              <w:jc w:val="right"/>
              <w:ind w:right="72"/>
              <w:spacing w:after="0" w:line="202" w:lineRule="exact"/>
              <w:rPr>
                <w:sz w:val="20"/>
                <w:szCs w:val="20"/>
                <w:color w:val="auto"/>
              </w:rPr>
            </w:pPr>
            <w:r>
              <w:rPr>
                <w:rFonts w:ascii="Courier New" w:cs="Courier New" w:eastAsia="Courier New" w:hAnsi="Courier New"/>
                <w:sz w:val="18"/>
                <w:szCs w:val="18"/>
                <w:color w:val="auto"/>
              </w:rPr>
              <w:t>Interest</w:t>
            </w:r>
          </w:p>
        </w:tc>
        <w:tc>
          <w:tcPr>
            <w:tcW w:w="720" w:type="dxa"/>
            <w:vAlign w:val="bottom"/>
          </w:tcPr>
          <w:p>
            <w:pPr>
              <w:spacing w:after="0"/>
              <w:rPr>
                <w:sz w:val="17"/>
                <w:szCs w:val="17"/>
                <w:color w:val="auto"/>
              </w:rPr>
            </w:pPr>
          </w:p>
        </w:tc>
      </w:tr>
      <w:tr>
        <w:trPr>
          <w:trHeight w:val="203"/>
        </w:trPr>
        <w:tc>
          <w:tcPr>
            <w:tcW w:w="1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2"/>
              </w:rPr>
              <w:t>expense............</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w:t>
            </w:r>
          </w:p>
        </w:tc>
      </w:tr>
      <w:tr>
        <w:trPr>
          <w:trHeight w:val="203"/>
        </w:trPr>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$32.2</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$ 79.1</w:t>
            </w:r>
          </w:p>
        </w:tc>
      </w:tr>
    </w:tbl>
    <w:p>
      <w:pPr>
        <w:spacing w:after="0" w:line="4" w:lineRule="exact"/>
        <w:rPr>
          <w:sz w:val="20"/>
          <w:szCs w:val="20"/>
          <w:color w:val="auto"/>
        </w:rPr>
      </w:pPr>
    </w:p>
    <w:p>
      <w:pPr>
        <w:ind w:left="640" w:right="7799" w:hanging="321"/>
        <w:spacing w:after="0" w:line="268" w:lineRule="auto"/>
        <w:tabs>
          <w:tab w:leader="none" w:pos="535"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93.9 $ 87.7 $ 47.4 $40.2 Interest</w:t>
      </w:r>
    </w:p>
    <w:tbl>
      <w:tblPr>
        <w:tblLayout w:type="fixed"/>
        <w:tblInd w:w="60" w:type="dxa"/>
        <w:tblCellMar>
          <w:top w:w="0" w:type="dxa"/>
          <w:left w:w="0" w:type="dxa"/>
          <w:bottom w:w="0" w:type="dxa"/>
          <w:right w:w="0" w:type="dxa"/>
        </w:tblCellMar>
      </w:tblPr>
      <w:tr>
        <w:trPr>
          <w:trHeight w:val="199"/>
        </w:trPr>
        <w:tc>
          <w:tcPr>
            <w:tcW w:w="2040" w:type="dxa"/>
            <w:vAlign w:val="bottom"/>
          </w:tcPr>
          <w:p>
            <w:pPr>
              <w:spacing w:after="0" w:line="198" w:lineRule="exact"/>
              <w:rPr>
                <w:sz w:val="20"/>
                <w:szCs w:val="20"/>
                <w:color w:val="auto"/>
              </w:rPr>
            </w:pPr>
            <w:r>
              <w:rPr>
                <w:rFonts w:ascii="Courier New" w:cs="Courier New" w:eastAsia="Courier New" w:hAnsi="Courier New"/>
                <w:sz w:val="18"/>
                <w:szCs w:val="18"/>
                <w:color w:val="auto"/>
                <w:w w:val="98"/>
              </w:rPr>
              <w:t>capitalized........</w:t>
            </w:r>
          </w:p>
        </w:tc>
        <w:tc>
          <w:tcPr>
            <w:tcW w:w="5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0.2 -</w:t>
            </w:r>
          </w:p>
        </w:tc>
      </w:tr>
    </w:tbl>
    <w:p>
      <w:pPr>
        <w:ind w:left="260" w:hanging="205"/>
        <w:spacing w:after="0" w:line="238" w:lineRule="auto"/>
        <w:tabs>
          <w:tab w:leader="none" w:pos="260" w:val="left"/>
        </w:tabs>
        <w:numPr>
          <w:ilvl w:val="0"/>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0.4 0.8 1.0 2.1 3.1 1.2</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0.6 ----- ----- ----- ---</w:t>
      </w:r>
    </w:p>
    <w:p>
      <w:pPr>
        <w:ind w:left="380" w:hanging="324"/>
        <w:spacing w:after="0" w:line="238" w:lineRule="auto"/>
        <w:tabs>
          <w:tab w:leader="none" w:pos="380" w:val="left"/>
        </w:tabs>
        <w:numPr>
          <w:ilvl w:val="1"/>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960" w:hanging="641"/>
        <w:spacing w:after="0" w:line="238" w:lineRule="auto"/>
        <w:tabs>
          <w:tab w:leader="none" w:pos="960" w:val="left"/>
        </w:tabs>
        <w:numPr>
          <w:ilvl w:val="2"/>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Interest</w:t>
      </w:r>
    </w:p>
    <w:tbl>
      <w:tblPr>
        <w:tblLayout w:type="fixed"/>
        <w:tblInd w:w="100" w:type="dxa"/>
        <w:tblCellMar>
          <w:top w:w="0" w:type="dxa"/>
          <w:left w:w="0" w:type="dxa"/>
          <w:bottom w:w="0" w:type="dxa"/>
          <w:right w:w="0" w:type="dxa"/>
        </w:tblCellMar>
      </w:tblPr>
      <w:tr>
        <w:trPr>
          <w:trHeight w:val="203"/>
        </w:trPr>
        <w:tc>
          <w:tcPr>
            <w:tcW w:w="154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82"/>
              </w:rPr>
              <w:t>incurred.........</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24.8</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25.0</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25.6</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33.0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80.1 96.0</w:t>
            </w:r>
          </w:p>
        </w:tc>
      </w:tr>
    </w:tbl>
    <w:p>
      <w:pPr>
        <w:ind w:left="60"/>
        <w:spacing w:after="0" w:line="238" w:lineRule="auto"/>
        <w:rPr>
          <w:sz w:val="20"/>
          <w:szCs w:val="20"/>
          <w:color w:val="auto"/>
        </w:rPr>
      </w:pPr>
      <w:r>
        <w:rPr>
          <w:rFonts w:ascii="Courier New" w:cs="Courier New" w:eastAsia="Courier New" w:hAnsi="Courier New"/>
          <w:sz w:val="18"/>
          <w:szCs w:val="18"/>
          <w:color w:val="auto"/>
        </w:rPr>
        <w:t>90.8 48.6 40.8 -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tbl>
      <w:tblPr>
        <w:tblLayout w:type="fixed"/>
        <w:tblInd w:w="60" w:type="dxa"/>
        <w:tblCellMar>
          <w:top w:w="0" w:type="dxa"/>
          <w:left w:w="0" w:type="dxa"/>
          <w:bottom w:w="0" w:type="dxa"/>
          <w:right w:w="0" w:type="dxa"/>
        </w:tblCellMar>
      </w:tblPr>
      <w:tr>
        <w:trPr>
          <w:trHeight w:val="202"/>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gridSpan w:val="3"/>
          </w:tcPr>
          <w:p>
            <w:pPr>
              <w:jc w:val="center"/>
              <w:spacing w:after="0" w:line="202" w:lineRule="exact"/>
              <w:rPr>
                <w:sz w:val="20"/>
                <w:szCs w:val="20"/>
                <w:color w:val="auto"/>
              </w:rPr>
            </w:pPr>
            <w:r>
              <w:rPr>
                <w:rFonts w:ascii="Courier New" w:cs="Courier New" w:eastAsia="Courier New" w:hAnsi="Courier New"/>
                <w:sz w:val="18"/>
                <w:szCs w:val="18"/>
                <w:color w:val="auto"/>
                <w:w w:val="96"/>
              </w:rPr>
              <w:t>---- Rent</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260" w:type="dxa"/>
            <w:vAlign w:val="bottom"/>
            <w:gridSpan w:val="4"/>
          </w:tcPr>
          <w:p>
            <w:pPr>
              <w:spacing w:after="0"/>
              <w:rPr>
                <w:sz w:val="20"/>
                <w:szCs w:val="20"/>
                <w:color w:val="auto"/>
              </w:rPr>
            </w:pPr>
            <w:r>
              <w:rPr>
                <w:rFonts w:ascii="Courier New" w:cs="Courier New" w:eastAsia="Courier New" w:hAnsi="Courier New"/>
                <w:sz w:val="11"/>
                <w:szCs w:val="11"/>
                <w:color w:val="auto"/>
                <w:w w:val="75"/>
              </w:rPr>
              <w:t>expense..................</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14.7</w:t>
            </w:r>
          </w:p>
        </w:tc>
        <w:tc>
          <w:tcPr>
            <w:tcW w:w="10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14.0 12.3</w:t>
            </w:r>
          </w:p>
        </w:tc>
        <w:tc>
          <w:tcPr>
            <w:tcW w:w="10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13.5 18.5</w:t>
            </w:r>
          </w:p>
        </w:tc>
      </w:tr>
      <w:tr>
        <w:trPr>
          <w:trHeight w:val="203"/>
        </w:trPr>
        <w:tc>
          <w:tcPr>
            <w:tcW w:w="320" w:type="dxa"/>
            <w:vAlign w:val="bottom"/>
          </w:tcPr>
          <w:p>
            <w:pPr>
              <w:spacing w:after="0"/>
              <w:rPr>
                <w:sz w:val="17"/>
                <w:szCs w:val="17"/>
                <w:color w:val="auto"/>
              </w:rPr>
            </w:pPr>
          </w:p>
        </w:tc>
        <w:tc>
          <w:tcPr>
            <w:tcW w:w="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17.9</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22.0</w:t>
            </w:r>
          </w:p>
        </w:tc>
        <w:tc>
          <w:tcPr>
            <w:tcW w:w="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16.0</w:t>
            </w:r>
          </w:p>
        </w:tc>
        <w:tc>
          <w:tcPr>
            <w:tcW w:w="7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13.5</w:t>
            </w:r>
          </w:p>
        </w:tc>
      </w:tr>
      <w:tr>
        <w:trPr>
          <w:trHeight w:val="203"/>
        </w:trPr>
        <w:tc>
          <w:tcPr>
            <w:tcW w:w="320" w:type="dxa"/>
            <w:vAlign w:val="bottom"/>
          </w:tcPr>
          <w:p>
            <w:pPr>
              <w:spacing w:after="0"/>
              <w:rPr>
                <w:sz w:val="17"/>
                <w:szCs w:val="17"/>
                <w:color w:val="auto"/>
              </w:rPr>
            </w:pPr>
          </w:p>
        </w:tc>
        <w:tc>
          <w:tcPr>
            <w:tcW w:w="2300" w:type="dxa"/>
            <w:vAlign w:val="bottom"/>
            <w:gridSpan w:val="7"/>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Estimated interest</w:t>
            </w:r>
          </w:p>
        </w:tc>
      </w:tr>
      <w:tr>
        <w:trPr>
          <w:trHeight w:val="203"/>
        </w:trPr>
        <w:tc>
          <w:tcPr>
            <w:tcW w:w="1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5"/>
              </w:rPr>
              <w:t>factor.....</w:t>
            </w:r>
          </w:p>
        </w:tc>
        <w:tc>
          <w:tcPr>
            <w:tcW w:w="13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33% 33% 33%</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33%</w:t>
            </w:r>
          </w:p>
        </w:tc>
        <w:tc>
          <w:tcPr>
            <w:tcW w:w="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33%</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33%</w:t>
            </w:r>
          </w:p>
        </w:tc>
        <w:tc>
          <w:tcPr>
            <w:tcW w:w="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33%</w:t>
            </w:r>
          </w:p>
        </w:tc>
        <w:tc>
          <w:tcPr>
            <w:tcW w:w="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33%</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 -</w:t>
            </w:r>
          </w:p>
        </w:tc>
      </w:tr>
    </w:tbl>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260"/>
        <w:spacing w:after="0"/>
        <w:rPr>
          <w:sz w:val="20"/>
          <w:szCs w:val="20"/>
          <w:color w:val="auto"/>
        </w:rPr>
      </w:pPr>
      <w:r>
        <w:rPr>
          <w:rFonts w:ascii="Courier New" w:cs="Courier New" w:eastAsia="Courier New" w:hAnsi="Courier New"/>
          <w:sz w:val="18"/>
          <w:szCs w:val="18"/>
          <w:color w:val="auto"/>
        </w:rPr>
        <w:t>------------ Interest</w:t>
      </w:r>
    </w:p>
    <w:p>
      <w:pPr>
        <w:jc w:val="center"/>
        <w:ind w:right="7479"/>
        <w:spacing w:after="0" w:line="237" w:lineRule="auto"/>
        <w:rPr>
          <w:sz w:val="20"/>
          <w:szCs w:val="20"/>
          <w:color w:val="auto"/>
        </w:rPr>
      </w:pPr>
      <w:r>
        <w:rPr>
          <w:rFonts w:ascii="Courier New" w:cs="Courier New" w:eastAsia="Courier New" w:hAnsi="Courier New"/>
          <w:sz w:val="18"/>
          <w:szCs w:val="18"/>
          <w:color w:val="auto"/>
        </w:rPr>
        <w:t>factor on</w:t>
      </w:r>
    </w:p>
    <w:p>
      <w:pPr>
        <w:ind w:left="100"/>
        <w:spacing w:after="0"/>
        <w:rPr>
          <w:sz w:val="20"/>
          <w:szCs w:val="20"/>
          <w:color w:val="auto"/>
        </w:rPr>
      </w:pPr>
      <w:r>
        <w:rPr>
          <w:rFonts w:ascii="Courier New" w:cs="Courier New" w:eastAsia="Courier New" w:hAnsi="Courier New"/>
          <w:sz w:val="18"/>
          <w:szCs w:val="18"/>
          <w:color w:val="auto"/>
        </w:rPr>
        <w:t>rents...................</w:t>
      </w:r>
    </w:p>
    <w:p>
      <w:pPr>
        <w:sectPr>
          <w:pgSz w:w="11900" w:h="16838" w:orient="portrait"/>
          <w:cols w:equalWidth="0" w:num="1">
            <w:col w:w="10219"/>
          </w:cols>
          <w:pgMar w:left="240" w:top="541" w:right="1440" w:bottom="0" w:gutter="0" w:footer="0" w:header="0"/>
        </w:sectPr>
      </w:pPr>
    </w:p>
    <w:bookmarkStart w:id="150" w:name="page151"/>
    <w:bookmarkEnd w:id="150"/>
    <w:tbl>
      <w:tblPr>
        <w:tblLayout w:type="fixed"/>
        <w:tblInd w:w="5" w:type="dxa"/>
        <w:tblCellMar>
          <w:top w:w="0" w:type="dxa"/>
          <w:left w:w="0" w:type="dxa"/>
          <w:bottom w:w="0" w:type="dxa"/>
          <w:right w:w="0" w:type="dxa"/>
        </w:tblCellMar>
      </w:tblPr>
      <w:tr>
        <w:trPr>
          <w:trHeight w:val="204"/>
        </w:trPr>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4.9</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4.6</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4.1</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4.5</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6.1</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5.9</w:t>
            </w:r>
          </w:p>
        </w:tc>
      </w:tr>
      <w:tr>
        <w:trPr>
          <w:trHeight w:val="203"/>
        </w:trPr>
        <w:tc>
          <w:tcPr>
            <w:tcW w:w="262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6"/>
              </w:rPr>
              <w:t>7.3 5.3 4.5 - -----------</w:t>
            </w:r>
          </w:p>
        </w:tc>
      </w:tr>
    </w:tbl>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5" w:type="dxa"/>
        <w:tblCellMar>
          <w:top w:w="0" w:type="dxa"/>
          <w:left w:w="0" w:type="dxa"/>
          <w:bottom w:w="0" w:type="dxa"/>
          <w:right w:w="0" w:type="dxa"/>
        </w:tblCellMar>
      </w:tblPr>
      <w:tr>
        <w:trPr>
          <w:trHeight w:val="204"/>
        </w:trPr>
        <w:tc>
          <w:tcPr>
            <w:tcW w:w="58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 Total</w:t>
            </w:r>
          </w:p>
        </w:tc>
        <w:tc>
          <w:tcPr>
            <w:tcW w:w="600" w:type="dxa"/>
            <w:vAlign w:val="bottom"/>
          </w:tcPr>
          <w:p>
            <w:pPr>
              <w:ind w:left="80"/>
              <w:spacing w:after="0"/>
              <w:rPr>
                <w:sz w:val="20"/>
                <w:szCs w:val="20"/>
                <w:color w:val="auto"/>
              </w:rPr>
            </w:pPr>
            <w:r>
              <w:rPr>
                <w:rFonts w:ascii="Courier New" w:cs="Courier New" w:eastAsia="Courier New" w:hAnsi="Courier New"/>
                <w:sz w:val="18"/>
                <w:szCs w:val="18"/>
                <w:color w:val="auto"/>
                <w:w w:val="92"/>
              </w:rPr>
              <w:t>fixed</w:t>
            </w:r>
          </w:p>
        </w:tc>
        <w:tc>
          <w:tcPr>
            <w:tcW w:w="620" w:type="dxa"/>
            <w:vAlign w:val="bottom"/>
          </w:tcPr>
          <w:p>
            <w:pPr>
              <w:spacing w:after="0"/>
              <w:rPr>
                <w:sz w:val="17"/>
                <w:szCs w:val="17"/>
                <w:color w:val="auto"/>
              </w:rPr>
            </w:pPr>
          </w:p>
        </w:tc>
      </w:tr>
      <w:tr>
        <w:trPr>
          <w:trHeight w:val="203"/>
        </w:trPr>
        <w:tc>
          <w:tcPr>
            <w:tcW w:w="14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charges.....</w:t>
            </w:r>
          </w:p>
        </w:tc>
        <w:tc>
          <w:tcPr>
            <w:tcW w:w="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$29.7</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$29.7</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$37.5</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86.2</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$101.9</w:t>
            </w:r>
          </w:p>
        </w:tc>
      </w:tr>
    </w:tbl>
    <w:p>
      <w:pPr>
        <w:spacing w:after="0" w:line="4" w:lineRule="exact"/>
        <w:rPr>
          <w:sz w:val="20"/>
          <w:szCs w:val="20"/>
          <w:color w:val="auto"/>
        </w:rPr>
      </w:pPr>
    </w:p>
    <w:p>
      <w:pPr>
        <w:ind w:left="205" w:hanging="205"/>
        <w:spacing w:after="0"/>
        <w:tabs>
          <w:tab w:leader="none" w:pos="205"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98.1 $ 53.9 $45.3 - ---</w:t>
      </w:r>
    </w:p>
    <w:p>
      <w:pPr>
        <w:spacing w:after="0" w:line="21"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65"/>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Ratio of</w:t>
      </w:r>
    </w:p>
    <w:p>
      <w:pPr>
        <w:spacing w:after="0" w:line="4" w:lineRule="exact"/>
        <w:rPr>
          <w:rFonts w:ascii="Courier New" w:cs="Courier New" w:eastAsia="Courier New" w:hAnsi="Courier New"/>
          <w:sz w:val="16"/>
          <w:szCs w:val="16"/>
          <w:color w:val="auto"/>
        </w:rPr>
      </w:pPr>
    </w:p>
    <w:p>
      <w:pPr>
        <w:jc w:val="center"/>
        <w:ind w:left="5" w:right="75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to fixed charges 2.2 1.0 3.3 2.6 2.3 2.1 1.3 2.0 1.6 - -----------</w:t>
      </w: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65"/>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ectPr>
          <w:pgSz w:w="11900" w:h="16838" w:orient="portrait"/>
          <w:cols w:equalWidth="0" w:num="1">
            <w:col w:w="10164"/>
          </w:cols>
          <w:pgMar w:left="295" w:top="136" w:right="1440" w:bottom="1440" w:gutter="0" w:footer="0" w:header="0"/>
        </w:sectPr>
      </w:pPr>
    </w:p>
    <w:bookmarkStart w:id="151" w:name="page152"/>
    <w:bookmarkEnd w:id="151"/>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hereby consent to the incorporation by reference in this Registration Statement on Form S-4 of The Scotts Company of our report dated October 29, 2001, except for Note 22, as to which the date is December 12, 2001, and paragraph 5 of Note 18, as to which the date is June 5, 2002, and Note 20, as to which the date is June 18, 2002 relating to the financial statements, which appears in the The Scotts Company's Current Report on Form 8-K dated June 24, 2002. We also consent to the incorporation by reference of our report dated October 29, 2001 relating to the financial statement schedule, which appears in The Scotts Company's Annual Report on Form 10-K for the fiscal year ended September 30, 2001. We also consent to the references to us under the heading "Experts" in such Registration Statement on Form S-4.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Columbus, Ohio</w:t>
      </w:r>
    </w:p>
    <w:p>
      <w:pPr>
        <w:spacing w:after="0" w:line="238" w:lineRule="auto"/>
        <w:rPr>
          <w:sz w:val="20"/>
          <w:szCs w:val="20"/>
          <w:color w:val="auto"/>
        </w:rPr>
      </w:pPr>
      <w:r>
        <w:rPr>
          <w:rFonts w:ascii="Courier New" w:cs="Courier New" w:eastAsia="Courier New" w:hAnsi="Courier New"/>
          <w:sz w:val="18"/>
          <w:szCs w:val="18"/>
          <w:color w:val="auto"/>
        </w:rPr>
        <w:t>July 9, 2002</w:t>
      </w:r>
    </w:p>
    <w:p>
      <w:pPr>
        <w:sectPr>
          <w:pgSz w:w="11900" w:h="16838" w:orient="portrait"/>
          <w:cols w:equalWidth="0" w:num="1">
            <w:col w:w="10219"/>
          </w:cols>
          <w:pgMar w:left="240" w:top="946" w:right="1440" w:bottom="1440" w:gutter="0" w:footer="0" w:header="0"/>
        </w:sectPr>
      </w:pPr>
    </w:p>
    <w:bookmarkStart w:id="152" w:name="page153"/>
    <w:bookmarkEnd w:id="152"/>
    <w:p>
      <w:pPr>
        <w:ind w:left="7180"/>
        <w:spacing w:after="0"/>
        <w:rPr>
          <w:sz w:val="20"/>
          <w:szCs w:val="20"/>
          <w:color w:val="auto"/>
        </w:rPr>
      </w:pPr>
      <w:r>
        <w:rPr>
          <w:rFonts w:ascii="Courier New" w:cs="Courier New" w:eastAsia="Courier New" w:hAnsi="Courier New"/>
          <w:sz w:val="16"/>
          <w:szCs w:val="16"/>
          <w:color w:val="auto"/>
        </w:rPr>
        <w:t>EXHIBIT 99.1</w:t>
      </w:r>
    </w:p>
    <w:p>
      <w:pPr>
        <w:spacing w:after="0" w:line="21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LETTER OF TRANSMITTAL</w:t>
      </w:r>
    </w:p>
    <w:p>
      <w:pPr>
        <w:ind w:left="3060"/>
        <w:spacing w:after="0" w:line="238" w:lineRule="auto"/>
        <w:rPr>
          <w:sz w:val="20"/>
          <w:szCs w:val="20"/>
          <w:color w:val="auto"/>
        </w:rPr>
      </w:pPr>
      <w:r>
        <w:rPr>
          <w:rFonts w:ascii="Courier New" w:cs="Courier New" w:eastAsia="Courier New" w:hAnsi="Courier New"/>
          <w:sz w:val="18"/>
          <w:szCs w:val="18"/>
          <w:color w:val="auto"/>
        </w:rPr>
        <w:t>TO TENDER FOR EXCHANGE</w:t>
      </w:r>
    </w:p>
    <w:p>
      <w:pPr>
        <w:ind w:left="1580"/>
        <w:spacing w:after="0"/>
        <w:rPr>
          <w:sz w:val="20"/>
          <w:szCs w:val="20"/>
          <w:color w:val="auto"/>
        </w:rPr>
      </w:pPr>
      <w:r>
        <w:rPr>
          <w:rFonts w:ascii="Courier New" w:cs="Courier New" w:eastAsia="Courier New" w:hAnsi="Courier New"/>
          <w:sz w:val="18"/>
          <w:szCs w:val="18"/>
          <w:color w:val="auto"/>
        </w:rPr>
        <w:t>8.625% SERIES A SENIOR SUBORDINATED NOTES DUE 2009</w:t>
      </w:r>
    </w:p>
    <w:p>
      <w:pPr>
        <w:ind w:left="3380"/>
        <w:spacing w:after="0" w:line="237" w:lineRule="auto"/>
        <w:rPr>
          <w:sz w:val="20"/>
          <w:szCs w:val="20"/>
          <w:color w:val="auto"/>
        </w:rPr>
      </w:pPr>
      <w:r>
        <w:rPr>
          <w:rFonts w:ascii="Courier New" w:cs="Courier New" w:eastAsia="Courier New" w:hAnsi="Courier New"/>
          <w:sz w:val="18"/>
          <w:szCs w:val="18"/>
          <w:color w:val="auto"/>
        </w:rPr>
        <w:t>IN EXCHANGE FOR</w:t>
      </w:r>
    </w:p>
    <w:p>
      <w:pPr>
        <w:ind w:left="1580"/>
        <w:spacing w:after="0" w:line="238" w:lineRule="auto"/>
        <w:rPr>
          <w:sz w:val="20"/>
          <w:szCs w:val="20"/>
          <w:color w:val="auto"/>
        </w:rPr>
      </w:pPr>
      <w:r>
        <w:rPr>
          <w:rFonts w:ascii="Courier New" w:cs="Courier New" w:eastAsia="Courier New" w:hAnsi="Courier New"/>
          <w:sz w:val="18"/>
          <w:szCs w:val="18"/>
          <w:color w:val="auto"/>
        </w:rPr>
        <w:t>8.625% SERIES B SENIOR SUBORDINATED NOTES DUE 2009</w:t>
      </w:r>
    </w:p>
    <w:p>
      <w:pPr>
        <w:ind w:left="2860"/>
        <w:spacing w:after="0"/>
        <w:rPr>
          <w:sz w:val="20"/>
          <w:szCs w:val="20"/>
          <w:color w:val="auto"/>
        </w:rPr>
      </w:pPr>
      <w:r>
        <w:rPr>
          <w:rFonts w:ascii="Courier New" w:cs="Courier New" w:eastAsia="Courier New" w:hAnsi="Courier New"/>
          <w:sz w:val="18"/>
          <w:szCs w:val="18"/>
          <w:color w:val="auto"/>
        </w:rPr>
        <w:t>PURSUANT TO THE PROSPECTUS</w:t>
      </w:r>
    </w:p>
    <w:p>
      <w:pPr>
        <w:ind w:left="3060"/>
        <w:spacing w:after="0" w:line="237" w:lineRule="auto"/>
        <w:tabs>
          <w:tab w:leader="none" w:pos="462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 2002</w:t>
      </w:r>
    </w:p>
    <w:p>
      <w:pPr>
        <w:spacing w:after="0" w:line="207" w:lineRule="exact"/>
        <w:rPr>
          <w:sz w:val="20"/>
          <w:szCs w:val="20"/>
          <w:color w:val="auto"/>
        </w:rPr>
      </w:pPr>
    </w:p>
    <w:p>
      <w:pPr>
        <w:jc w:val="center"/>
        <w:ind w:right="1779"/>
        <w:spacing w:after="0" w:line="237" w:lineRule="auto"/>
        <w:rPr>
          <w:sz w:val="20"/>
          <w:szCs w:val="20"/>
          <w:color w:val="auto"/>
        </w:rPr>
      </w:pPr>
      <w:r>
        <w:rPr>
          <w:rFonts w:ascii="Courier New" w:cs="Courier New" w:eastAsia="Courier New" w:hAnsi="Courier New"/>
          <w:sz w:val="18"/>
          <w:szCs w:val="18"/>
          <w:color w:val="auto"/>
        </w:rPr>
        <w:t>THE EXCHANGE OFFER WILL EXPIRE AT 5:00 P.M., NEW YORK CITY TIME, ON                , 2002, UNLESS EXTENDED (SUCH TIME AND DATE, AS THE SAME MAY BE EXTENDED FROM TIME TO TIME, THE "EXPIRATION DATE"). TENDERS MAY BE WITHDRAWN AT ANY TIME PRIOR THE EXPIRATION DATE.</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Exchange Agent for the Exchange Offer is: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STATE STREET BANK AND TRUST COMPANY</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Registered or Certified Mail or Hand or Overnight Delivery:</w:t>
      </w:r>
    </w:p>
    <w:p>
      <w:pPr>
        <w:sectPr>
          <w:pgSz w:w="11900" w:h="16838" w:orient="portrait"/>
          <w:cols w:equalWidth="0" w:num="1">
            <w:col w:w="10219"/>
          </w:cols>
          <w:pgMar w:left="240" w:top="547" w:right="1440" w:bottom="1440" w:gutter="0" w:footer="0" w:header="0"/>
        </w:sectPr>
      </w:pP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State Street Bank and Trust Company</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Two International Place, Fourth Floor, Boston, MA 02110</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Attention: Corporate Trust Department</w:t>
      </w:r>
    </w:p>
    <w:p>
      <w:pPr>
        <w:ind w:left="740"/>
        <w:spacing w:after="0" w:line="238" w:lineRule="auto"/>
        <w:rPr>
          <w:sz w:val="20"/>
          <w:szCs w:val="20"/>
          <w:color w:val="auto"/>
        </w:rPr>
      </w:pPr>
      <w:r>
        <w:rPr>
          <w:rFonts w:ascii="Courier New" w:cs="Courier New" w:eastAsia="Courier New" w:hAnsi="Courier New"/>
          <w:sz w:val="18"/>
          <w:szCs w:val="18"/>
          <w:color w:val="auto"/>
        </w:rPr>
        <w:t>Facsimile Transmissions: (Eligible Institutions Only)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2">
            <w:col w:w="7060" w:space="540"/>
            <w:col w:w="2619"/>
          </w:cols>
          <w:pgMar w:left="240" w:top="547" w:right="1440" w:bottom="1440" w:gutter="0" w:footer="0" w:header="0"/>
          <w:type w:val="continuous"/>
        </w:sectPr>
      </w:pPr>
    </w:p>
    <w:p>
      <w:pPr>
        <w:spacing w:after="0" w:line="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DELIVERY OF THIS LETTER OF TRANSMITTAL TO AN ADDRESS OTHER THAN AS SET FORTH ABOVE OR TRANSMISSION TO A FACSIMILE NUMBER OTHER THAN AS SET FORTH ABOVE WILL NOT CONSTITUTE VALID DELIVERY TO THE EXCHANGE AGENT.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gridSpan w:val="2"/>
          </w:tcPr>
          <w:p>
            <w:pPr>
              <w:ind w:left="540"/>
              <w:spacing w:after="0"/>
              <w:rPr>
                <w:sz w:val="20"/>
                <w:szCs w:val="20"/>
                <w:color w:val="auto"/>
              </w:rPr>
            </w:pPr>
            <w:r>
              <w:rPr>
                <w:rFonts w:ascii="Courier New" w:cs="Courier New" w:eastAsia="Courier New" w:hAnsi="Courier New"/>
                <w:sz w:val="18"/>
                <w:szCs w:val="18"/>
                <w:color w:val="auto"/>
                <w:w w:val="98"/>
              </w:rPr>
              <w:t>The undersigned acknowledges receipt</w:t>
            </w:r>
          </w:p>
        </w:tc>
        <w:tc>
          <w:tcPr>
            <w:tcW w:w="3640" w:type="dxa"/>
            <w:vAlign w:val="bottom"/>
          </w:tcPr>
          <w:p>
            <w:pPr>
              <w:ind w:left="60"/>
              <w:spacing w:after="0"/>
              <w:rPr>
                <w:sz w:val="20"/>
                <w:szCs w:val="20"/>
                <w:color w:val="auto"/>
              </w:rPr>
            </w:pPr>
            <w:r>
              <w:rPr>
                <w:rFonts w:ascii="Courier New" w:cs="Courier New" w:eastAsia="Courier New" w:hAnsi="Courier New"/>
                <w:sz w:val="18"/>
                <w:szCs w:val="18"/>
                <w:color w:val="auto"/>
              </w:rPr>
              <w:t>of the Prospectus dated</w:t>
            </w:r>
          </w:p>
        </w:tc>
        <w:tc>
          <w:tcPr>
            <w:tcW w:w="4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73"/>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2002 (the "Prospectus"), of</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Scotts Company, an Ohio corporation (the</w:t>
            </w:r>
          </w:p>
        </w:tc>
        <w:tc>
          <w:tcPr>
            <w:tcW w:w="42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"Company"), and this Letter</w:t>
            </w:r>
          </w:p>
        </w:tc>
        <w:tc>
          <w:tcPr>
            <w:tcW w:w="55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of Transmittal (the "Letter of Transmittal"), which</w:t>
            </w:r>
          </w:p>
        </w:tc>
      </w:tr>
      <w:tr>
        <w:trPr>
          <w:trHeight w:val="203"/>
        </w:trPr>
        <w:tc>
          <w:tcPr>
            <w:tcW w:w="8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together with the Prospectus constitutes the Company's offer (the "Exchange</w:t>
            </w:r>
          </w:p>
        </w:tc>
        <w:tc>
          <w:tcPr>
            <w:tcW w:w="420" w:type="dxa"/>
            <w:vAlign w:val="bottom"/>
          </w:tcPr>
          <w:p>
            <w:pPr>
              <w:spacing w:after="0"/>
              <w:rPr>
                <w:sz w:val="17"/>
                <w:szCs w:val="17"/>
                <w:color w:val="auto"/>
              </w:rPr>
            </w:pPr>
          </w:p>
        </w:tc>
      </w:tr>
      <w:tr>
        <w:trPr>
          <w:trHeight w:val="203"/>
        </w:trPr>
        <w:tc>
          <w:tcPr>
            <w:tcW w:w="8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Offer") to exchange $1,000 principal amount of its 8.625% Series B Senior</w:t>
            </w:r>
          </w:p>
        </w:tc>
        <w:tc>
          <w:tcPr>
            <w:tcW w:w="42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Subordinated Notes due 2009</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(the "Exchange Notes") for each $1,000 principal</w:t>
            </w:r>
          </w:p>
        </w:tc>
        <w:tc>
          <w:tcPr>
            <w:tcW w:w="420" w:type="dxa"/>
            <w:vAlign w:val="bottom"/>
          </w:tcPr>
          <w:p>
            <w:pPr>
              <w:spacing w:after="0"/>
              <w:rPr>
                <w:sz w:val="17"/>
                <w:szCs w:val="17"/>
                <w:color w:val="auto"/>
              </w:rPr>
            </w:pPr>
          </w:p>
        </w:tc>
      </w:tr>
      <w:tr>
        <w:trPr>
          <w:trHeight w:val="203"/>
        </w:trPr>
        <w:tc>
          <w:tcPr>
            <w:tcW w:w="4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amount of its outstanding 8.625% Series A</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Senior Subordinated Notes due 2009</w:t>
            </w:r>
          </w:p>
        </w:tc>
        <w:tc>
          <w:tcPr>
            <w:tcW w:w="420" w:type="dxa"/>
            <w:vAlign w:val="bottom"/>
          </w:tcPr>
          <w:p>
            <w:pPr>
              <w:spacing w:after="0"/>
              <w:rPr>
                <w:sz w:val="17"/>
                <w:szCs w:val="17"/>
                <w:color w:val="auto"/>
              </w:rPr>
            </w:pPr>
          </w:p>
        </w:tc>
      </w:tr>
      <w:tr>
        <w:trPr>
          <w:trHeight w:val="203"/>
        </w:trPr>
        <w:tc>
          <w:tcPr>
            <w:tcW w:w="4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"Original Notes"). Recipients of the</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Prospectus should read the</w:t>
            </w:r>
          </w:p>
        </w:tc>
        <w:tc>
          <w:tcPr>
            <w:tcW w:w="420" w:type="dxa"/>
            <w:vAlign w:val="bottom"/>
          </w:tcPr>
          <w:p>
            <w:pPr>
              <w:spacing w:after="0"/>
              <w:rPr>
                <w:sz w:val="17"/>
                <w:szCs w:val="17"/>
                <w:color w:val="auto"/>
              </w:rPr>
            </w:pPr>
          </w:p>
        </w:tc>
      </w:tr>
      <w:tr>
        <w:trPr>
          <w:trHeight w:val="203"/>
        </w:trPr>
        <w:tc>
          <w:tcPr>
            <w:tcW w:w="4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requirements described in such Prospectus</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 respect to eligibility to</w:t>
            </w:r>
          </w:p>
        </w:tc>
        <w:tc>
          <w:tcPr>
            <w:tcW w:w="42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participate in the Exchange</w:t>
            </w:r>
          </w:p>
        </w:tc>
        <w:tc>
          <w:tcPr>
            <w:tcW w:w="55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Offer. Capitalized terms used but not defined herein</w:t>
            </w:r>
          </w:p>
        </w:tc>
      </w:tr>
    </w:tbl>
    <w:p>
      <w:pPr>
        <w:spacing w:after="0" w:line="238" w:lineRule="auto"/>
        <w:rPr>
          <w:sz w:val="20"/>
          <w:szCs w:val="20"/>
          <w:color w:val="auto"/>
        </w:rPr>
      </w:pPr>
      <w:r>
        <w:rPr>
          <w:rFonts w:ascii="Courier New" w:cs="Courier New" w:eastAsia="Courier New" w:hAnsi="Courier New"/>
          <w:sz w:val="18"/>
          <w:szCs w:val="18"/>
          <w:color w:val="auto"/>
        </w:rPr>
        <w:t>have the meaning given to them in the Prospectus.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undersigned hereby tenders the Original Notes described in the box entitled "Description of Original Notes" below pursuant to the terms and conditions described in the Prospectus and this Letter of Transmittal. The undersigned is the registered holder of all the Original Notes (the "Holder") and the undersigned represents that it has received from each beneficial owner of Original Notes (the "Beneficial Owners") a duly completed and executed form of "Instruction to Registered Holder from Beneficial Owner" accompanying this Letter of Transmittal, instructing the undersigned to take the action described in this Letter of Transmittal.</w:t>
      </w:r>
    </w:p>
    <w:p>
      <w:pPr>
        <w:spacing w:after="0" w:line="214"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PLEASE READ THIS ENTIRE LETTER OF TRANSMITTAL CAREFULLY BEFORE COMPLETING ANY BOX BELOW.</w:t>
      </w:r>
    </w:p>
    <w:p>
      <w:pPr>
        <w:sectPr>
          <w:pgSz w:w="11900" w:h="16838" w:orient="portrait"/>
          <w:cols w:equalWidth="0" w:num="1">
            <w:col w:w="10219"/>
          </w:cols>
          <w:pgMar w:left="240" w:top="547" w:right="1440" w:bottom="1440" w:gutter="0" w:footer="0" w:header="0"/>
          <w:type w:val="continuous"/>
        </w:sectPr>
      </w:pPr>
    </w:p>
    <w:bookmarkStart w:id="153" w:name="page154"/>
    <w:bookmarkEnd w:id="153"/>
    <w:p>
      <w:pPr>
        <w:ind w:right="1779" w:firstLine="527"/>
        <w:spacing w:after="0" w:line="238" w:lineRule="auto"/>
        <w:rPr>
          <w:sz w:val="20"/>
          <w:szCs w:val="20"/>
          <w:color w:val="auto"/>
        </w:rPr>
      </w:pPr>
      <w:r>
        <w:rPr>
          <w:rFonts w:ascii="Courier New" w:cs="Courier New" w:eastAsia="Courier New" w:hAnsi="Courier New"/>
          <w:sz w:val="18"/>
          <w:szCs w:val="18"/>
          <w:color w:val="auto"/>
        </w:rPr>
        <w:t>This Letter of Transmittal is to be used by a Holder (i) if certificates representing Original Notes are to be forwarded herewith and (ii) if a tender is made pursuant to the guaranteed delivery procedures in the section of the Prospectus entitled "The Exchange Offer -- Guaranteed Delivery Procedures." Holders that are tendering by book-entry transfer to the Exchange Agent's account at DTC can execute the tender through ATOP for which the Exchange Offer will be eligible. DTC participants that are accepting the Exchange Offer must transmit their acceptance to DTC which will verify the acceptance and execute a book-entry delivery to the Exchange Agent's account at DTC. DTC will then send an agent's message forming part of a book-entry transfer in which the participant agrees to be bound by the terms of the Letter of Transmittal (an "Agent's Message") to the Exchange Agent for its acceptance. Transmission of the Agent's Message by DTC will satisfy the terms of the Exchange Offer as to execution and delivery of a Letter of Transmittal by the participant identified in the Agent's Message.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Beneficial Owner whose Original Notes are registered in the name of a broker, dealer, commercial bank, trust company or other nominee and who wishes to tender should contact such Holder promptly and instruct such Holder to tender on behalf of the Beneficial Owner. If such Beneficial Owner wishes to tender on its own behalf, such Beneficial Owner must, prior to completing and executing this Letter of Transmittal and delivering its Original Notes, either make appropriate arrangements to register ownership of the Original Notes in such Beneficial Owner's name or obtain a properly completed bond power from the Holder. The transfer of record ownership may take considerable time.</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properly complete this Letter of Transmittal, a Holder must (i) complete the box entitled "Description of Original Notes," (ii) if appropriate, check and complete the boxes relating to book-entry transfer, guaranteed delivery, Special Issuance Instructions and Special Delivery Instructions, (iii) sign the Letter of Transmittal by completing the box entitled "Sign Here To Tender Your Notes" and (iv) complete the Substitute Form W-9. Each Holder should carefully read the detailed instructions below prior to completing the Letter of Transmittal.</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Holders of Original Notes who desire to tender their Original Notes for exchange and (i) whose Original Notes are not immediately available or (ii) who cannot deliver their Original Notes, this Letter of Transmittal and all other documents required hereby to the Exchange Agent on or prior to the Expiration Date, must tender the Original Notes pursuant to the guaranteed delivery procedures set forth in the section of the Prospectus entitled "The Exchange Offer -- Guaranteed Delivery Procedures." See Instruction 2.</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Holders of Original Notes who wish to tender their Original Notes for exchange must complete columns (1) through (3) in the box below entitled "Description of Original Notes," and sign the box below entitled "Sign Here To Tender Your Notes." If only those columns are completed, such Holder will have tendered for exchange all Original Notes listed in column (3) below. If the Holder wishes to tender for exchange less than all of such Original Notes, column (4) must be completed in full. In such case, such Holder should refer to Instruction 5.</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Exchange Offer may be extended, terminated or amended, as provided in the Prospectus. During any such extension of the Exchange Offer, all Original Notes previously tendered and not withdrawn pursuant to the Exchange Offer will remain subject to such Exchange Offer.</w:t>
      </w:r>
    </w:p>
    <w:p>
      <w:pPr>
        <w:spacing w:after="0" w:line="207" w:lineRule="exact"/>
        <w:rPr>
          <w:sz w:val="20"/>
          <w:szCs w:val="20"/>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The undersigned hereby tenders for exchange the Original Notes described in the box entitled "Description of Original Notes" below pursuant to the terms and conditions described in the Prospectus and this Letter of Transmittal.</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154" w:name="page155"/>
    <w:bookmarkEnd w:id="154"/>
    <w:p>
      <w:pPr>
        <w:ind w:left="260" w:hanging="205"/>
        <w:spacing w:after="0"/>
        <w:tabs>
          <w:tab w:leader="none" w:pos="260"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DESCRIPTION</w:t>
      </w:r>
    </w:p>
    <w:p>
      <w:pPr>
        <w:spacing w:after="0" w:line="16" w:lineRule="exact"/>
        <w:rPr>
          <w:rFonts w:ascii="Courier New" w:cs="Courier New" w:eastAsia="Courier New" w:hAnsi="Courier New"/>
          <w:sz w:val="18"/>
          <w:szCs w:val="18"/>
          <w:color w:val="auto"/>
        </w:rPr>
      </w:pP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ORIGINAL</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NOTES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100" w:right="9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PRINCIPAL AMOUNT OF NAME(S)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ADDRESS(ES)</w:t>
      </w:r>
    </w:p>
    <w:p>
      <w:pPr>
        <w:spacing w:after="0" w:line="16" w:lineRule="exact"/>
        <w:rPr>
          <w:rFonts w:ascii="Courier New" w:cs="Courier New" w:eastAsia="Courier New" w:hAnsi="Courier New"/>
          <w:sz w:val="18"/>
          <w:szCs w:val="18"/>
          <w:color w:val="auto"/>
        </w:rPr>
      </w:pP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REGISTERED</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OWNER(S)</w:t>
      </w:r>
    </w:p>
    <w:p>
      <w:pPr>
        <w:spacing w:after="0" w:line="4" w:lineRule="exact"/>
        <w:rPr>
          <w:rFonts w:ascii="Courier New" w:cs="Courier New" w:eastAsia="Courier New" w:hAnsi="Courier New"/>
          <w:sz w:val="18"/>
          <w:szCs w:val="18"/>
          <w:color w:val="auto"/>
        </w:rPr>
      </w:pPr>
    </w:p>
    <w:p>
      <w:pPr>
        <w:jc w:val="center"/>
        <w:ind w:left="60" w:right="9059" w:hanging="4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CERTIFICATE ORIGINAL NOTES (PLEASE FILL IN, IF BLANK, EXACTLY AS NAME(S) APPEAR(S)</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ORIGINAL</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NOTES(S))</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NUMBER(S)*</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TENDERED**</w:t>
      </w:r>
    </w:p>
    <w:p>
      <w:pPr>
        <w:ind w:left="260" w:hanging="205"/>
        <w:spacing w:after="0" w:line="238" w:lineRule="auto"/>
        <w:tabs>
          <w:tab w:leader="none" w:pos="260"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right"/>
        <w:ind w:left="160" w:right="9219" w:firstLine="53"/>
        <w:spacing w:after="0" w:line="268" w:lineRule="auto"/>
        <w:tabs>
          <w:tab w:leader="none" w:pos="634" w:val="left"/>
        </w:tabs>
        <w:numPr>
          <w:ilvl w:val="1"/>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need</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more</w:t>
      </w:r>
    </w:p>
    <w:p>
      <w:pPr>
        <w:jc w:val="center"/>
        <w:ind w:right="9059"/>
        <w:spacing w:after="0"/>
        <w:rPr>
          <w:sz w:val="20"/>
          <w:szCs w:val="20"/>
          <w:color w:val="auto"/>
        </w:rPr>
      </w:pPr>
      <w:r>
        <w:rPr>
          <w:rFonts w:ascii="Courier New" w:cs="Courier New" w:eastAsia="Courier New" w:hAnsi="Courier New"/>
          <w:sz w:val="18"/>
          <w:szCs w:val="18"/>
          <w:color w:val="auto"/>
        </w:rPr>
        <w:t>space,</w:t>
      </w:r>
    </w:p>
    <w:p>
      <w:pPr>
        <w:jc w:val="center"/>
        <w:ind w:right="9059"/>
        <w:spacing w:after="0" w:line="237" w:lineRule="auto"/>
        <w:rPr>
          <w:sz w:val="20"/>
          <w:szCs w:val="20"/>
          <w:color w:val="auto"/>
        </w:rPr>
      </w:pPr>
      <w:r>
        <w:rPr>
          <w:rFonts w:ascii="Courier New" w:cs="Courier New" w:eastAsia="Courier New" w:hAnsi="Courier New"/>
          <w:sz w:val="18"/>
          <w:szCs w:val="18"/>
          <w:color w:val="auto"/>
        </w:rPr>
        <w:t>attach a</w:t>
      </w:r>
    </w:p>
    <w:p>
      <w:pPr>
        <w:jc w:val="center"/>
        <w:ind w:right="9059"/>
        <w:spacing w:after="0" w:line="238" w:lineRule="auto"/>
        <w:rPr>
          <w:sz w:val="20"/>
          <w:szCs w:val="20"/>
          <w:color w:val="auto"/>
        </w:rPr>
      </w:pPr>
      <w:r>
        <w:rPr>
          <w:rFonts w:ascii="Courier New" w:cs="Courier New" w:eastAsia="Courier New" w:hAnsi="Courier New"/>
          <w:sz w:val="18"/>
          <w:szCs w:val="18"/>
          <w:color w:val="auto"/>
        </w:rPr>
        <w:t>list and</w:t>
      </w:r>
    </w:p>
    <w:p>
      <w:pPr>
        <w:jc w:val="center"/>
        <w:ind w:right="9059"/>
        <w:spacing w:after="0"/>
        <w:rPr>
          <w:sz w:val="20"/>
          <w:szCs w:val="20"/>
          <w:color w:val="auto"/>
        </w:rPr>
      </w:pPr>
      <w:r>
        <w:rPr>
          <w:rFonts w:ascii="Courier New" w:cs="Courier New" w:eastAsia="Courier New" w:hAnsi="Courier New"/>
          <w:sz w:val="18"/>
          <w:szCs w:val="18"/>
          <w:color w:val="auto"/>
        </w:rPr>
        <w:t>sign the</w:t>
      </w:r>
    </w:p>
    <w:p>
      <w:pPr>
        <w:jc w:val="center"/>
        <w:ind w:right="9059"/>
        <w:spacing w:after="0" w:line="237" w:lineRule="auto"/>
        <w:rPr>
          <w:sz w:val="20"/>
          <w:szCs w:val="20"/>
          <w:color w:val="auto"/>
        </w:rPr>
      </w:pPr>
      <w:r>
        <w:rPr>
          <w:rFonts w:ascii="Courier New" w:cs="Courier New" w:eastAsia="Courier New" w:hAnsi="Courier New"/>
          <w:sz w:val="18"/>
          <w:szCs w:val="18"/>
          <w:color w:val="auto"/>
        </w:rPr>
        <w:t>list)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60" w:hanging="205"/>
        <w:spacing w:after="0" w:line="238" w:lineRule="auto"/>
        <w:tabs>
          <w:tab w:leader="none" w:pos="260" w:val="left"/>
        </w:tabs>
        <w:numPr>
          <w:ilvl w:val="0"/>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TOTAL</w:t>
      </w:r>
    </w:p>
    <w:p>
      <w:pPr>
        <w:sectPr>
          <w:pgSz w:w="11900" w:h="16838" w:orient="portrait"/>
          <w:cols w:equalWidth="0" w:num="1">
            <w:col w:w="10219"/>
          </w:cols>
          <w:pgMar w:left="240" w:top="717" w:right="1440" w:bottom="0" w:gutter="0" w:footer="0" w:header="0"/>
        </w:sectPr>
      </w:pPr>
    </w:p>
    <w:bookmarkStart w:id="155" w:name="page156"/>
    <w:bookmarkEnd w:id="155"/>
    <w:p>
      <w:pPr>
        <w:jc w:val="center"/>
        <w:ind w:right="9059"/>
        <w:spacing w:after="0"/>
        <w:rPr>
          <w:sz w:val="20"/>
          <w:szCs w:val="20"/>
          <w:color w:val="auto"/>
        </w:rPr>
      </w:pPr>
      <w:r>
        <w:rPr>
          <w:rFonts w:ascii="Courier New" w:cs="Courier New" w:eastAsia="Courier New" w:hAnsi="Courier New"/>
          <w:sz w:val="18"/>
          <w:szCs w:val="18"/>
          <w:color w:val="auto"/>
        </w:rPr>
        <w:t>AMOUNT</w:t>
      </w:r>
    </w:p>
    <w:p>
      <w:pPr>
        <w:jc w:val="center"/>
        <w:ind w:right="9059"/>
        <w:spacing w:after="0" w:line="238" w:lineRule="auto"/>
        <w:rPr>
          <w:sz w:val="20"/>
          <w:szCs w:val="20"/>
          <w:color w:val="auto"/>
        </w:rPr>
      </w:pPr>
      <w:r>
        <w:rPr>
          <w:rFonts w:ascii="Courier New" w:cs="Courier New" w:eastAsia="Courier New" w:hAnsi="Courier New"/>
          <w:sz w:val="18"/>
          <w:szCs w:val="18"/>
          <w:color w:val="auto"/>
        </w:rPr>
        <w:t>TENDERED:</w:t>
      </w:r>
    </w:p>
    <w:p>
      <w:pPr>
        <w:ind w:left="260" w:hanging="205"/>
        <w:spacing w:after="0"/>
        <w:tabs>
          <w:tab w:leader="none" w:pos="260" w:val="left"/>
        </w:tabs>
        <w:numPr>
          <w:ilvl w:val="0"/>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Need</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be</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completed</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book-</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entry</w:t>
      </w:r>
    </w:p>
    <w:p>
      <w:pPr>
        <w:ind w:left="160"/>
        <w:spacing w:after="0"/>
        <w:rPr>
          <w:sz w:val="20"/>
          <w:szCs w:val="20"/>
          <w:color w:val="auto"/>
        </w:rPr>
      </w:pPr>
      <w:r>
        <w:rPr>
          <w:rFonts w:ascii="Courier New" w:cs="Courier New" w:eastAsia="Courier New" w:hAnsi="Courier New"/>
          <w:sz w:val="18"/>
          <w:szCs w:val="18"/>
          <w:color w:val="auto"/>
        </w:rPr>
        <w:t>holders.</w:t>
      </w:r>
    </w:p>
    <w:p>
      <w:pPr>
        <w:ind w:left="580" w:hanging="314"/>
        <w:spacing w:after="0" w:line="237" w:lineRule="auto"/>
        <w:tabs>
          <w:tab w:leader="none" w:pos="580"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Original</w:t>
      </w:r>
    </w:p>
    <w:p>
      <w:pPr>
        <w:jc w:val="center"/>
        <w:ind w:right="9059"/>
        <w:spacing w:after="0"/>
        <w:rPr>
          <w:sz w:val="20"/>
          <w:szCs w:val="20"/>
          <w:color w:val="auto"/>
        </w:rPr>
      </w:pPr>
      <w:r>
        <w:rPr>
          <w:rFonts w:ascii="Courier New" w:cs="Courier New" w:eastAsia="Courier New" w:hAnsi="Courier New"/>
          <w:sz w:val="18"/>
          <w:szCs w:val="18"/>
          <w:color w:val="auto"/>
        </w:rPr>
        <w:t>Notes held</w:t>
      </w:r>
    </w:p>
    <w:p>
      <w:pPr>
        <w:jc w:val="center"/>
        <w:ind w:right="9059"/>
        <w:spacing w:after="0" w:line="237" w:lineRule="auto"/>
        <w:rPr>
          <w:sz w:val="20"/>
          <w:szCs w:val="20"/>
          <w:color w:val="auto"/>
        </w:rPr>
      </w:pPr>
      <w:r>
        <w:rPr>
          <w:rFonts w:ascii="Courier New" w:cs="Courier New" w:eastAsia="Courier New" w:hAnsi="Courier New"/>
          <w:sz w:val="18"/>
          <w:szCs w:val="18"/>
          <w:color w:val="auto"/>
        </w:rPr>
        <w:t>shall be</w:t>
      </w:r>
    </w:p>
    <w:p>
      <w:pPr>
        <w:jc w:val="center"/>
        <w:ind w:right="9059"/>
        <w:spacing w:after="0" w:line="238" w:lineRule="auto"/>
        <w:rPr>
          <w:sz w:val="20"/>
          <w:szCs w:val="20"/>
          <w:color w:val="auto"/>
        </w:rPr>
      </w:pPr>
      <w:r>
        <w:rPr>
          <w:rFonts w:ascii="Courier New" w:cs="Courier New" w:eastAsia="Courier New" w:hAnsi="Courier New"/>
          <w:sz w:val="18"/>
          <w:szCs w:val="18"/>
          <w:color w:val="auto"/>
        </w:rPr>
        <w:t>deemed</w:t>
      </w:r>
    </w:p>
    <w:p>
      <w:pPr>
        <w:jc w:val="center"/>
        <w:ind w:right="9059"/>
        <w:spacing w:after="0"/>
        <w:rPr>
          <w:sz w:val="20"/>
          <w:szCs w:val="20"/>
          <w:color w:val="auto"/>
        </w:rPr>
      </w:pPr>
      <w:r>
        <w:rPr>
          <w:rFonts w:ascii="Courier New" w:cs="Courier New" w:eastAsia="Courier New" w:hAnsi="Courier New"/>
          <w:sz w:val="18"/>
          <w:szCs w:val="18"/>
          <w:color w:val="auto"/>
        </w:rPr>
        <w:t>tendered</w:t>
      </w:r>
    </w:p>
    <w:p>
      <w:pPr>
        <w:jc w:val="center"/>
        <w:ind w:right="9059"/>
        <w:spacing w:after="0" w:line="237" w:lineRule="auto"/>
        <w:rPr>
          <w:sz w:val="20"/>
          <w:szCs w:val="20"/>
          <w:color w:val="auto"/>
        </w:rPr>
      </w:pPr>
      <w:r>
        <w:rPr>
          <w:rFonts w:ascii="Courier New" w:cs="Courier New" w:eastAsia="Courier New" w:hAnsi="Courier New"/>
          <w:sz w:val="18"/>
          <w:szCs w:val="18"/>
          <w:color w:val="auto"/>
        </w:rPr>
        <w:t>unless a</w:t>
      </w:r>
    </w:p>
    <w:p>
      <w:pPr>
        <w:jc w:val="center"/>
        <w:ind w:right="9059"/>
        <w:spacing w:after="0"/>
        <w:rPr>
          <w:sz w:val="20"/>
          <w:szCs w:val="20"/>
          <w:color w:val="auto"/>
        </w:rPr>
      </w:pPr>
      <w:r>
        <w:rPr>
          <w:rFonts w:ascii="Courier New" w:cs="Courier New" w:eastAsia="Courier New" w:hAnsi="Courier New"/>
          <w:sz w:val="18"/>
          <w:szCs w:val="18"/>
          <w:color w:val="auto"/>
        </w:rPr>
        <w:t>lesser</w:t>
      </w:r>
    </w:p>
    <w:p>
      <w:pPr>
        <w:jc w:val="center"/>
        <w:ind w:right="9059"/>
        <w:spacing w:after="0" w:line="237" w:lineRule="auto"/>
        <w:rPr>
          <w:sz w:val="20"/>
          <w:szCs w:val="20"/>
          <w:color w:val="auto"/>
        </w:rPr>
      </w:pPr>
      <w:r>
        <w:rPr>
          <w:rFonts w:ascii="Courier New" w:cs="Courier New" w:eastAsia="Courier New" w:hAnsi="Courier New"/>
          <w:sz w:val="18"/>
          <w:szCs w:val="18"/>
          <w:color w:val="auto"/>
        </w:rPr>
        <w:t>number is</w:t>
      </w:r>
    </w:p>
    <w:p>
      <w:pPr>
        <w:jc w:val="center"/>
        <w:ind w:right="9059"/>
        <w:spacing w:after="0"/>
        <w:rPr>
          <w:sz w:val="20"/>
          <w:szCs w:val="20"/>
          <w:color w:val="auto"/>
        </w:rPr>
      </w:pPr>
      <w:r>
        <w:rPr>
          <w:rFonts w:ascii="Courier New" w:cs="Courier New" w:eastAsia="Courier New" w:hAnsi="Courier New"/>
          <w:sz w:val="18"/>
          <w:szCs w:val="18"/>
          <w:color w:val="auto"/>
        </w:rPr>
        <w:t>specified</w:t>
      </w:r>
    </w:p>
    <w:p>
      <w:pPr>
        <w:jc w:val="center"/>
        <w:ind w:right="9059"/>
        <w:spacing w:after="0" w:line="237" w:lineRule="auto"/>
        <w:rPr>
          <w:sz w:val="20"/>
          <w:szCs w:val="20"/>
          <w:color w:val="auto"/>
        </w:rPr>
      </w:pPr>
      <w:r>
        <w:rPr>
          <w:rFonts w:ascii="Courier New" w:cs="Courier New" w:eastAsia="Courier New" w:hAnsi="Courier New"/>
          <w:sz w:val="18"/>
          <w:szCs w:val="18"/>
          <w:color w:val="auto"/>
        </w:rPr>
        <w:t>in this</w:t>
      </w:r>
    </w:p>
    <w:p>
      <w:pPr>
        <w:jc w:val="center"/>
        <w:ind w:right="9059"/>
        <w:spacing w:after="0" w:line="238" w:lineRule="auto"/>
        <w:rPr>
          <w:sz w:val="20"/>
          <w:szCs w:val="20"/>
          <w:color w:val="auto"/>
        </w:rPr>
      </w:pPr>
      <w:r>
        <w:rPr>
          <w:rFonts w:ascii="Courier New" w:cs="Courier New" w:eastAsia="Courier New" w:hAnsi="Courier New"/>
          <w:sz w:val="18"/>
          <w:szCs w:val="18"/>
          <w:color w:val="auto"/>
        </w:rPr>
        <w:t>column.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52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CHECK HERE IF TENDERED ORIGINAL NOTES ARE ENCLOSED HEREWITH.</w:t>
      </w:r>
    </w:p>
    <w:p>
      <w:pPr>
        <w:spacing w:after="0" w:line="207" w:lineRule="exact"/>
        <w:rPr>
          <w:sz w:val="20"/>
          <w:szCs w:val="20"/>
          <w:color w:val="auto"/>
        </w:rPr>
      </w:pPr>
    </w:p>
    <w:p>
      <w:pPr>
        <w:ind w:left="540" w:right="1879" w:hanging="532"/>
        <w:spacing w:after="0" w:line="237" w:lineRule="auto"/>
        <w:tabs>
          <w:tab w:leader="none" w:pos="224"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HERE AND ENCLOSE A PHOTOCOPY OF THE NOTICE OF GUARANTEED DELIVERY IF TENDERED ORIGINAL NOTES ARE BEING DELIVERED PURSUANT TO A NOTICE OF GUARANTEED DELIVERY PREVIOUSLY SENT TO THE EXCHANGE AGENT AND COMPLETE THE FOLLOWING (FOR USE BY ELIGIBLE INSTITUTIONS ONLY):</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Name(s) of Registered Holder(s)</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Window Ticket Number (if any)</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 of Execution of Notice of Guaranteed Delivery</w:t>
      </w:r>
    </w:p>
    <w:p>
      <w:pPr>
        <w:spacing w:after="0" w:line="4"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Name of Institution which Guaranteed Delivery</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Guaranteed Delivery is to be made by Book-Entry Transfer:</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Name of Tendering Institution</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DTC Book-Entry Account Number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Transaction Code Number</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2199" w:hanging="532"/>
        <w:spacing w:after="0" w:line="236" w:lineRule="auto"/>
        <w:tabs>
          <w:tab w:leader="none" w:pos="224"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HERE IF YOU ARE A BROKER-DEALER AND WISH TO RECEIVE 10 ADDITIONAL COPIES OF THE PROSPECTUS AND 10 COPIES OF ANY AMENDMENTS OR SUPPLEMENTS THERETO.</w:t>
      </w:r>
    </w:p>
    <w:p>
      <w:pPr>
        <w:sectPr>
          <w:pgSz w:w="11900" w:h="16838" w:orient="portrait"/>
          <w:cols w:equalWidth="0" w:num="1">
            <w:col w:w="10219"/>
          </w:cols>
          <w:pgMar w:left="240" w:top="136" w:right="1440" w:bottom="0" w:gutter="0" w:footer="0" w:header="0"/>
        </w:sectPr>
      </w:pPr>
    </w:p>
    <w:bookmarkStart w:id="156" w:name="page157"/>
    <w:bookmarkEnd w:id="156"/>
    <w:p>
      <w:pPr>
        <w:ind w:left="540"/>
        <w:spacing w:after="0"/>
        <w:rPr>
          <w:sz w:val="20"/>
          <w:szCs w:val="20"/>
          <w:color w:val="auto"/>
        </w:rPr>
      </w:pPr>
      <w:r>
        <w:rPr>
          <w:rFonts w:ascii="Courier New" w:cs="Courier New" w:eastAsia="Courier New" w:hAnsi="Courier New"/>
          <w:sz w:val="18"/>
          <w:szCs w:val="18"/>
          <w:color w:val="auto"/>
        </w:rPr>
        <w:t>Name: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Address: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Only Holders are entitled to tender their Original Notes for exchange in the Exchange Offer. Any financial institution that is a participant in DTC's system and whose name appears on a security position listing as the record owner of the Original Notes and who wishes to make book-entry delivery of Original Notes as described above must complete and execute a participant's letter (which will be distributed to participants by DTC) instructing DTC's nominee to tender such Original Notes for exchange. Persons who are Beneficial Owners of Original Notes but are not Holders and who seek to tender Original Notes should (i) contact the Holder and instruct such Holder to tender on his or her behalf, (ii) obtain and include with this Letter of Transmittal, Original Notes properly endorsed for transfer by the Holder or accompanied by a properly completed bond power from the Holder, with signatures on the endorsement or bond power guaranteed by a firm that is an eligible guarantor institution within the meaning</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36" w:right="1440" w:bottom="1440" w:gutter="0" w:footer="0" w:header="0"/>
        </w:sectPr>
      </w:pPr>
    </w:p>
    <w:bookmarkStart w:id="157" w:name="page158"/>
    <w:bookmarkEnd w:id="157"/>
    <w:p>
      <w:pPr>
        <w:ind w:right="1779"/>
        <w:spacing w:after="0" w:line="237" w:lineRule="auto"/>
        <w:rPr>
          <w:sz w:val="20"/>
          <w:szCs w:val="20"/>
          <w:color w:val="auto"/>
        </w:rPr>
      </w:pPr>
      <w:r>
        <w:rPr>
          <w:rFonts w:ascii="Courier New" w:cs="Courier New" w:eastAsia="Courier New" w:hAnsi="Courier New"/>
          <w:sz w:val="18"/>
          <w:szCs w:val="18"/>
          <w:color w:val="auto"/>
        </w:rPr>
        <w:t>of Rule 17Ad-5 under the Exchange Act, including a firm that is a member of a registered national securities exchange, a member of the National Association of Securities Dealers, Inc., a commercial bank or trading company having an office in the United States or certain other eligible guarantors (each, an "Eligible Institution"), or (iii) effect a record transfer of such Original Notes from the Holder to such Beneficial Owner and comply with the requirements applicable to Holders for tendering Original Notes prior to the Expiration Date. See the section of the Prospectus entitled "The Exchange Offer -- Procedures for Tendering."</w:t>
      </w:r>
    </w:p>
    <w:p>
      <w:pPr>
        <w:spacing w:after="0" w:line="20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 MUST BE PROVIDED BELOW.</w:t>
      </w:r>
    </w:p>
    <w:p>
      <w:pPr>
        <w:jc w:val="center"/>
        <w:ind w:right="1779"/>
        <w:spacing w:after="0" w:line="238" w:lineRule="auto"/>
        <w:rPr>
          <w:sz w:val="20"/>
          <w:szCs w:val="20"/>
          <w:color w:val="auto"/>
        </w:rPr>
      </w:pPr>
      <w:r>
        <w:rPr>
          <w:rFonts w:ascii="Courier New" w:cs="Courier New" w:eastAsia="Courier New" w:hAnsi="Courier New"/>
          <w:sz w:val="18"/>
          <w:szCs w:val="18"/>
          <w:color w:val="auto"/>
        </w:rPr>
        <w:t>PLEASE READ THE ACCOMPANYING INSTRUCTIONS CAREFULLY.</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SPECIAL ISSUANCE INSTRUCTIONS</w:t>
      </w:r>
    </w:p>
    <w:p>
      <w:pPr>
        <w:ind w:left="2540"/>
        <w:spacing w:after="0" w:line="238" w:lineRule="auto"/>
        <w:rPr>
          <w:sz w:val="20"/>
          <w:szCs w:val="20"/>
          <w:color w:val="auto"/>
        </w:rPr>
      </w:pPr>
      <w:r>
        <w:rPr>
          <w:rFonts w:ascii="Courier New" w:cs="Courier New" w:eastAsia="Courier New" w:hAnsi="Courier New"/>
          <w:sz w:val="18"/>
          <w:szCs w:val="18"/>
          <w:color w:val="auto"/>
        </w:rPr>
        <w:t>(SEE INSTRUCTIONS 1, 6, 7 AND 8)</w:t>
      </w:r>
    </w:p>
    <w:p>
      <w:pPr>
        <w:spacing w:after="0" w:line="207"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To be completed ONLY (i) if Exchange Notes issued in exchange for the Original Notes, certificates for Original Notes in a principal amount not exchanged for Exchange Notes or Original Notes (if any) not tendered for exchange are to be issued in the name of someone other than the undersigned or</w:t>
      </w:r>
    </w:p>
    <w:p>
      <w:pPr>
        <w:spacing w:after="0" w:line="1" w:lineRule="exact"/>
        <w:rPr>
          <w:sz w:val="20"/>
          <w:szCs w:val="20"/>
          <w:color w:val="auto"/>
        </w:rPr>
      </w:pPr>
    </w:p>
    <w:p>
      <w:pPr>
        <w:ind w:right="1999" w:firstLine="8"/>
        <w:spacing w:after="0" w:line="235" w:lineRule="auto"/>
        <w:tabs>
          <w:tab w:leader="none" w:pos="527"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Original Notes tendered by book-entry transfer which are not exchanged are to be returned by credit to an account maintained at DTC.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 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Name(s)</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(Please Type or Print)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1" w:lineRule="exact"/>
        <w:rPr>
          <w:sz w:val="20"/>
          <w:szCs w:val="20"/>
          <w:color w:val="auto"/>
        </w:rPr>
      </w:pPr>
    </w:p>
    <w:p>
      <w:pPr>
        <w:ind w:left="220" w:hanging="212"/>
        <w:spacing w:after="0"/>
        <w:tabs>
          <w:tab w:leader="none" w:pos="220" w:val="left"/>
        </w:tabs>
        <w:numPr>
          <w:ilvl w:val="0"/>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(Include Zip Code)</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Taxpayer Identification or Social Security Number</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SPECIAL DELIVERY INSTRUCTIONS</w:t>
      </w:r>
    </w:p>
    <w:p>
      <w:pPr>
        <w:ind w:left="2540"/>
        <w:spacing w:after="0" w:line="238" w:lineRule="auto"/>
        <w:rPr>
          <w:sz w:val="20"/>
          <w:szCs w:val="20"/>
          <w:color w:val="auto"/>
        </w:rPr>
      </w:pPr>
      <w:r>
        <w:rPr>
          <w:rFonts w:ascii="Courier New" w:cs="Courier New" w:eastAsia="Courier New" w:hAnsi="Courier New"/>
          <w:sz w:val="18"/>
          <w:szCs w:val="18"/>
          <w:color w:val="auto"/>
        </w:rPr>
        <w:t>(SEE INSTRUCTIONS 1, 6, 7 AND 8)</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 be completed ONLY if the Exchange Notes issued in exchange for Original Notes, certificates for Original Notes in a principal amount not exchanged for Exchange Notes or Original Notes (if any) not tendered for exchange are to be mailed or delivered (i) to someone other than the undersigned or (ii) to the undersigned at an address other than the address shown below the undersigned's signature.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Mail or deliver 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Name(s)</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(Please Type or Print)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1" w:lineRule="exact"/>
        <w:rPr>
          <w:sz w:val="20"/>
          <w:szCs w:val="20"/>
          <w:color w:val="auto"/>
        </w:rPr>
      </w:pPr>
    </w:p>
    <w:p>
      <w:pPr>
        <w:ind w:left="220" w:hanging="212"/>
        <w:spacing w:after="0"/>
        <w:tabs>
          <w:tab w:leader="none" w:pos="220"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(Include Zip Code)</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Taxpayer Identification or Social Security Number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2"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Upon the terms and subject to the conditions of the Exchange Offer, the undersigned hereby tenders to the Company for exchange the Original Notes indicated above. Subject to, and effective upon, acceptance for exchange of the Original Notes tendered for exchange herewith, the undersigned will have irrevocably sold, assigned, transferred and exchanged, to the Company, all right, title and interest in, to and under all of the Original Notes tendered for exchange hereby, and hereby will have appointed the Exchange Agent as the true and lawful agent and attorney-in-fact (with full knowledge that the Exchange Agent also acts as agent of the Company) of such Holder with respect to such Original Notes, with full power of substitution to (i) deliver certificates representing such Original Notes, or transfer ownership of such Original Notes on the account books maintained by DTC (together, in any such case, with all accompanying evidences of transfer and authenticity), to the Company, (ii) present and deliver such Original Notes for transfer on the books of the Company and (iii) receive all benefits and otherwise exercise all rights and incidents of beneficial ownership with respect to such Original Notes, all in accordance with the terms of the Exchange Offer. The power of attorney granted in this paragraph shall be deemed to be irrevocable and coupled with an interest.</w:t>
      </w:r>
    </w:p>
    <w:p>
      <w:pPr>
        <w:spacing w:after="0" w:line="39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undersigned hereby represents and warrants that it has full power and authority to tender, exchange, assign and transfer the Original Notes; and that when such Original Notes are accepted for exchange by the Company, the Company will acquire good and marketable title thereto, free and clear of all liens, restrictions, charges and encumbrances and not subject to any adverse claims. The undersigned further warrants that it will, upon request, execute and deliver any additional documents deemed by the Exchange Agent or the Company to be necessary or desirable to complete the exchange, assignment and transfer of the Original Notes tendered for exchange hereby. The undersigned further agrees that acceptance of any and all validly tendered Original Notes by the Company and the issuance of Exchange Notes in exchange therefor shall constitute performance in full by the Company of its obligations under the Registration Rights Agreement.</w:t>
      </w:r>
    </w:p>
    <w:p>
      <w:pPr>
        <w:spacing w:after="0" w:line="18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By tendering, the undersigned hereby further represents to the Company that</w:t>
      </w:r>
    </w:p>
    <w:p>
      <w:pPr>
        <w:spacing w:after="0" w:line="21" w:lineRule="exact"/>
        <w:rPr>
          <w:sz w:val="20"/>
          <w:szCs w:val="20"/>
          <w:color w:val="auto"/>
        </w:rPr>
      </w:pPr>
    </w:p>
    <w:p>
      <w:pPr>
        <w:ind w:right="1779" w:firstLine="8"/>
        <w:spacing w:after="0" w:line="269" w:lineRule="auto"/>
        <w:tabs>
          <w:tab w:leader="none" w:pos="421"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Notes to be acquired by the undersigned in exchange for the Original Notes tendered hereby and any Beneficial Owner(s) of such Original Notes in connection with the Exchange Offer will be acquired by the undersigned and such Beneficial Owner(s) in the ordinary course of their respective businesses, (ii) the undersigned is not engaged in, and does not intend to engage in, a distribution of the Exchange Notes, (iii) the undersigned and each Beneficial Owner acknowledge and agree that any person who is a broker-dealer registered under the Exchange Act or is participating in the Exchange Offer for the purpose of distributing the Exchange Notes must comply with the registration and prospectus delivery requirements of Section 10 of the Securities Act in connection with a secondary resale transaction of the Exchange Notes acquired by such person and cannot rely on the position of the staff of the Commission set forth in certain no-action letters, (iv) the undersigned and each Beneficial Owner understand that a secondary resale transaction described in clause (iii) above and any resales of Exchange Notes obtained by the undersigned in exchange for the Original Notes acquired by the undersigned directly from the Company should be covered by an effective registration statement containing the selling security holder information required by Item 507 or Item 508, as applicable, of Regulation S-K of the Commission and (v) neither the undersigned nor any Beneficial Owner is an "affiliate," as defined under Rule 405 under the Securities Act, of the Company.</w:t>
      </w:r>
    </w:p>
    <w:p>
      <w:pPr>
        <w:spacing w:after="0" w:line="200" w:lineRule="exact"/>
        <w:rPr>
          <w:sz w:val="20"/>
          <w:szCs w:val="20"/>
          <w:color w:val="auto"/>
        </w:rPr>
      </w:pPr>
    </w:p>
    <w:p>
      <w:pPr>
        <w:spacing w:after="0" w:line="39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159" w:name="page160"/>
    <w:bookmarkEnd w:id="159"/>
    <w:p>
      <w:pPr>
        <w:ind w:right="1779" w:firstLine="527"/>
        <w:spacing w:after="0" w:line="271" w:lineRule="auto"/>
        <w:rPr>
          <w:sz w:val="20"/>
          <w:szCs w:val="20"/>
          <w:color w:val="auto"/>
        </w:rPr>
      </w:pPr>
      <w:r>
        <w:rPr>
          <w:rFonts w:ascii="Courier New" w:cs="Courier New" w:eastAsia="Courier New" w:hAnsi="Courier New"/>
          <w:sz w:val="16"/>
          <w:szCs w:val="16"/>
          <w:color w:val="auto"/>
        </w:rPr>
        <w:t>If the undersigned is a broker-dealer that will receive Exchange Notes for its own account in exchange for Original Notes that were acquired as a result of market-making activities or other trading activities, it acknowledges that it will deliver a prospectus meeting the requirements of Section 10 of the Securities Act in connection with any resale of such Exchange Notes; however, by so acknowledging and by delivering such prospectus, the undersigned will not be deemed to admit that it is an "underwriter" within the meaning of the Securities Act. A broker-dealer may not participate in the Exchange Offer with respect to the Original Notes acquired other than as a result of market-making activities or other trading activities.</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purposes of the Exchange Offer, the Company will be deemed to have accepted for exchange, and to have exchanged, validly tendered Original Notes, if, as and when the Company gives oral or written notice thereof to the Exchange Agent. Tenders of Original Notes for exchange may be withdrawn at any time prior to 5:00 p.m., New York City time, on the Expiration Date. See "The Exchange Offer -- Withdrawal of Tenders" in the Prospectus. Any Original Notes tendered by the undersigned and not accepted for exchange will be returned to the undersigned at the address set forth above unless otherwise indicated in the box above entitled "Special Delivery Instructions" as promptly as practicable after the Expiration Date.</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undersigned acknowledges that the Company's acceptance of Original Notes validly tendered for exchange pursuant to any one of the procedures described in the section of the Prospectus entitled "The Exchange Offer" and in the instructions hereto will constitute a binding agreement between the undersigned and the Company upon the terms and subject to the conditions of the Exchange Offer.</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Unless otherwise indicated in the box entitled "Special Issuance Instructions," please return any Original Notes not tendered for exchange in the name(s) of the undersigned. Similarly, unless otherwise indicated in the box entitled "Special Delivery Instructions," please mail any certificates for Original Notes not tendered or exchanged (and accompanying documents, as appropriate) to the undersigned at the address shown below the undersigned's signature(s). In the event that both "Special Issuance Instructions" and "Special Delivery Instructions" are completed, please issue the certificates representing the Exchange Notes issued in exchange for the Original Notes accepted for exchange in the name(s) of, and return any Original Notes not tendered for exchange or not exchanged to, the person(s) so indicated. The undersigned recognizes that the Company has no obligation pursuant to the "Special Issuance Instructions" and "Special Delivery Instructions" to transfer any Original Notes from the name of the Holder(s) thereof if the Company does not accept for exchange any of the Original Notes so tendered for exchange or if such transfer would not be in compliance with any transfer restrictions applicable to such Original Note(s).</w:t>
      </w:r>
    </w:p>
    <w:p>
      <w:pPr>
        <w:spacing w:after="0" w:line="209"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IN ORDER TO VALIDLY TENDER ORIGINAL NOTES FOR EXCHANGE, HOLDERS MUST COMPLETE, EXECUTE, AND DELIVER THIS LETTER OF TRANSMITTAL.</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as stated in the Prospectus, all authority herein conferred or agreed to be conferred shall survive the death, incapacity or dissolution of the undersigned, and any obligation of the undersigned hereunder shall be binding upon the heirs, personal representatives, successors and assigns of the undersigned. Except as otherwise stated in the Prospectus, this tender for exchange of Original Notes is irrevocable.</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60" w:name="page161"/>
    <w:bookmarkEnd w:id="160"/>
    <w:p>
      <w:pPr>
        <w:jc w:val="center"/>
        <w:ind w:right="1879"/>
        <w:spacing w:after="0"/>
        <w:rPr>
          <w:sz w:val="20"/>
          <w:szCs w:val="20"/>
          <w:color w:val="auto"/>
        </w:rPr>
      </w:pPr>
      <w:r>
        <w:rPr>
          <w:rFonts w:ascii="Courier New" w:cs="Courier New" w:eastAsia="Courier New" w:hAnsi="Courier New"/>
          <w:sz w:val="18"/>
          <w:szCs w:val="18"/>
          <w:color w:val="auto"/>
        </w:rPr>
        <w:t>HOLDER(S) SIGN HERE TO TENDER YOUR ORIGINAL NOTES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(PLEASE COMPLETE SUBSTITUTE FORM W-9 IN THIS LETTER OF TRANSMITTAL)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(Signature(s) of Holder(s))</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__________ , 2002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(Must be signed by registered Holder(s) exactly as name(s) appear(s) on Certificate(s) for the Original Notes hereby tendered or on a security position listing, or by any person(s) authorized to become the registered Holder(s) by endorsements and documents transmitted herewith (including such opinions of counsel, certificates and other information as may be required by Scotts for the Original Notes to comply with any restrictions on transfer applicable to the Original Notes). If signature is by an attorney-in-fact, executor, administrator, trustee, guardian, officer of a corporation or another acting in a fiduciary capacity or representative capacity, please provide the following information. See Instruction 6.)</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161" w:name="page162"/>
    <w:bookmarkEnd w:id="161"/>
    <w:p>
      <w:pPr>
        <w:spacing w:after="0"/>
        <w:rPr>
          <w:sz w:val="20"/>
          <w:szCs w:val="20"/>
          <w:color w:val="auto"/>
        </w:rPr>
      </w:pPr>
      <w:r>
        <w:rPr>
          <w:rFonts w:ascii="Courier New" w:cs="Courier New" w:eastAsia="Courier New" w:hAnsi="Courier New"/>
          <w:sz w:val="18"/>
          <w:szCs w:val="18"/>
          <w:color w:val="auto"/>
        </w:rPr>
        <w:t>Name(s):</w:t>
      </w:r>
    </w:p>
    <w:p>
      <w:pPr>
        <w:spacing w:after="0" w:line="207" w:lineRule="exact"/>
        <w:rPr>
          <w:sz w:val="20"/>
          <w:szCs w:val="20"/>
          <w:color w:val="auto"/>
        </w:rPr>
      </w:pPr>
    </w:p>
    <w:p>
      <w:pPr>
        <w:ind w:left="220" w:hanging="212"/>
        <w:spacing w:after="0"/>
        <w:tabs>
          <w:tab w:leader="none" w:pos="220"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Type or Print)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Capacity (full title):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7" w:lineRule="exact"/>
        <w:rPr>
          <w:sz w:val="20"/>
          <w:szCs w:val="20"/>
          <w:color w:val="auto"/>
        </w:rPr>
      </w:pPr>
    </w:p>
    <w:p>
      <w:pPr>
        <w:ind w:left="220" w:hanging="212"/>
        <w:spacing w:after="0"/>
        <w:tabs>
          <w:tab w:leader="none" w:pos="220"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(Include Zip Code)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place of business (if different from address listed above: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Daytime Area Code and Telephone No.:</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Taxpayer Identification or Social Security No.:</w:t>
      </w:r>
    </w:p>
    <w:p>
      <w:pPr>
        <w:ind w:left="4960"/>
        <w:spacing w:after="0" w:line="237" w:lineRule="auto"/>
        <w:rPr>
          <w:sz w:val="20"/>
          <w:szCs w:val="20"/>
          <w:color w:val="auto"/>
        </w:rPr>
      </w:pPr>
      <w:r>
        <w:rPr>
          <w:rFonts w:ascii="Courier New" w:cs="Courier New" w:eastAsia="Courier New" w:hAnsi="Courier New"/>
          <w:sz w:val="18"/>
          <w:szCs w:val="18"/>
          <w:color w:val="auto"/>
        </w:rPr>
        <w:t>---------------------------------</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(See Substitute Form W-9 Included Herein)</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GUARANTEE OF SIGNATURE(S)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(Signature(s) Must Be Guaranteed If Required by Instruction 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Signature:</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(Please Type or Print)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Firm:</w:t>
      </w:r>
    </w:p>
    <w:p>
      <w:pPr>
        <w:ind w:left="1380"/>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Address:</w:t>
      </w:r>
    </w:p>
    <w:p>
      <w:pPr>
        <w:ind w:left="860"/>
        <w:spacing w:after="0"/>
        <w:rPr>
          <w:sz w:val="20"/>
          <w:szCs w:val="20"/>
          <w:color w:val="auto"/>
        </w:rPr>
      </w:pPr>
      <w:r>
        <w:rPr>
          <w:rFonts w:ascii="Courier New" w:cs="Courier New" w:eastAsia="Courier New" w:hAnsi="Courier New"/>
          <w:sz w:val="18"/>
          <w:szCs w:val="18"/>
          <w:color w:val="auto"/>
        </w:rPr>
        <w:t>------------------------------------------------------------------------</w:t>
      </w:r>
    </w:p>
    <w:p>
      <w:pPr>
        <w:ind w:left="3280"/>
        <w:spacing w:after="0" w:line="237" w:lineRule="auto"/>
        <w:rPr>
          <w:sz w:val="20"/>
          <w:szCs w:val="20"/>
          <w:color w:val="auto"/>
        </w:rPr>
      </w:pPr>
      <w:r>
        <w:rPr>
          <w:rFonts w:ascii="Courier New" w:cs="Courier New" w:eastAsia="Courier New" w:hAnsi="Courier New"/>
          <w:sz w:val="18"/>
          <w:szCs w:val="18"/>
          <w:color w:val="auto"/>
        </w:rPr>
        <w:t>(Include Zip Code)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Area Code and Telephone No.:</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____________ , 2002</w:t>
      </w:r>
    </w:p>
    <w:p>
      <w:pPr>
        <w:spacing w:after="0" w:line="20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62" w:name="page163"/>
    <w:bookmarkEnd w:id="162"/>
    <w:p>
      <w:pPr>
        <w:jc w:val="center"/>
        <w:ind w:right="1779"/>
        <w:spacing w:after="0"/>
        <w:rPr>
          <w:sz w:val="20"/>
          <w:szCs w:val="20"/>
          <w:color w:val="auto"/>
        </w:rPr>
      </w:pPr>
      <w:r>
        <w:rPr>
          <w:rFonts w:ascii="Courier New" w:cs="Courier New" w:eastAsia="Courier New" w:hAnsi="Courier New"/>
          <w:sz w:val="18"/>
          <w:szCs w:val="18"/>
          <w:color w:val="auto"/>
        </w:rPr>
        <w:t>INSTRUCTIONS</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FORMING PART OF THE TERMS AND CONDITIONS OF THE EXCHANGE OFFER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GUARANTEE OF SIGNATURES.</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Except as otherwise provided below, all signatures on this Letter of Transmittal must be guaranteed by an institution which is (1) a member of a registered national securities exchange or of the National Association of Securities Dealers, Inc., (2) a commercial bank or trust company having an office or correspondent in the United States, or (3) an Eligible Institution that is a member of one of the following recognized Signature Guarantee Programs:</w:t>
      </w:r>
    </w:p>
    <w:p>
      <w:pPr>
        <w:spacing w:after="0" w:line="205" w:lineRule="exact"/>
        <w:rPr>
          <w:sz w:val="20"/>
          <w:szCs w:val="20"/>
          <w:color w:val="auto"/>
        </w:rPr>
      </w:pPr>
    </w:p>
    <w:p>
      <w:pPr>
        <w:ind w:left="1480" w:hanging="419"/>
        <w:spacing w:after="0"/>
        <w:tabs>
          <w:tab w:leader="none" w:pos="1480" w:val="left"/>
        </w:tabs>
        <w:numPr>
          <w:ilvl w:val="0"/>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Transfer Agents Medallion Program (STAMP);</w:t>
      </w:r>
    </w:p>
    <w:p>
      <w:pPr>
        <w:spacing w:after="0" w:line="206"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New York Stock Exchange Medallion Signature Program (MSP); or</w:t>
      </w:r>
    </w:p>
    <w:p>
      <w:pPr>
        <w:spacing w:after="0" w:line="218"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 Exchange Medallion Program (SEMP).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Signatures on this Letter of Transmittal need not be guaranteed (i) if this Letter of Transmittal is signed by the Holder(s) of the Original Notes tendered herewith and such Holder(s) have not completed the box entitled "Special Issuance Instructions" or the box entitled "Special Delivery Instructions" on this Letter of Transmittal or (ii) if such Original Notes are tendered for the account of an Eligible Institution. In all other cases, all signatures must be guaranteed by an Eligible Institution.</w:t>
      </w:r>
    </w:p>
    <w:p>
      <w:pPr>
        <w:spacing w:after="0" w:line="211" w:lineRule="exact"/>
        <w:rPr>
          <w:sz w:val="20"/>
          <w:szCs w:val="20"/>
          <w:color w:val="auto"/>
        </w:rPr>
      </w:pPr>
    </w:p>
    <w:p>
      <w:pPr>
        <w:ind w:right="2619" w:firstLine="8"/>
        <w:spacing w:after="0" w:line="235" w:lineRule="auto"/>
        <w:tabs>
          <w:tab w:leader="none" w:pos="316"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THIS LETTER OF TRANSMITTAL AND ORIGINAL NOTES; GUARANTEED DELIVERY PROCEDURES.</w:t>
      </w:r>
    </w:p>
    <w:p>
      <w:pPr>
        <w:spacing w:after="0" w:line="208"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This Letter of Transmittal is to be completed by Holders if certificates representing Original Notes are to be forwarded herewith. All physically delivered Original Notes, as well as a properly completed and duly executed Letter of Transmittal (or manually signed facsimile thereof) and any other required documents, must be received by the Exchange Agent at its address set forth herein prior to the Expiration Date or the tendering holder must comply with the guaranteed delivery procedures set forth below. Delivery of the documents to DTC does not constitute delivery to the Exchange Agent.</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method of delivery of Original Notes, this Letter of Transmittal and all other required documents to the Exchange Agent is at the election and risk of the Holder. Except as otherwise provided below, the delivery will be deemed made only when actually received or confirmed by the Exchange Agent. Instead of delivery by mail, it is recommended that Holders use an overnight or hand delivery service, properly insured. In all cases, sufficient time should be allowed to assure delivery to the Exchange Agent before the Expiration Date. Neither this Letter of Transmittal nor any Original Notes should be sent to the Company. Holders may request their respective brokers, dealers, commercial banks, trust companies or nominees to effect the above transactions for such Holders.</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Holders of Original Notes who elect to tender Original Notes and (i) whose Original Notes are not immediately available or (ii) who cannot deliver the Original Notes, this Letter of Transmittal or other required documents to the Exchange Agent prior the Expiration Date must tender their Original Notes according to the guaranteed delivery procedures set forth in the Prospectus. Holders may have such tender effected if:</w:t>
      </w:r>
    </w:p>
    <w:p>
      <w:pPr>
        <w:spacing w:after="0" w:line="204" w:lineRule="exact"/>
        <w:rPr>
          <w:sz w:val="20"/>
          <w:szCs w:val="20"/>
          <w:color w:val="auto"/>
        </w:rPr>
      </w:pPr>
    </w:p>
    <w:p>
      <w:pPr>
        <w:ind w:left="1480" w:hanging="419"/>
        <w:spacing w:after="0"/>
        <w:tabs>
          <w:tab w:leader="none" w:pos="1480" w:val="left"/>
        </w:tabs>
        <w:numPr>
          <w:ilvl w:val="0"/>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tender is made through an Eligible Institution;</w:t>
      </w:r>
    </w:p>
    <w:p>
      <w:pPr>
        <w:spacing w:after="0" w:line="206" w:lineRule="exact"/>
        <w:rPr>
          <w:rFonts w:ascii="Courier New" w:cs="Courier New" w:eastAsia="Courier New" w:hAnsi="Courier New"/>
          <w:sz w:val="18"/>
          <w:szCs w:val="18"/>
          <w:color w:val="auto"/>
        </w:rPr>
      </w:pPr>
    </w:p>
    <w:p>
      <w:pPr>
        <w:ind w:left="540" w:right="1999" w:firstLine="521"/>
        <w:spacing w:after="0" w:line="236" w:lineRule="auto"/>
        <w:tabs>
          <w:tab w:leader="none" w:pos="1488" w:val="left"/>
        </w:tabs>
        <w:numPr>
          <w:ilvl w:val="0"/>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5:00 p.m., New York City time, on the Expiration Date, the Exchange Agent has received from such Eligible Institution a properly completed and duly executed Notice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163" w:name="page164"/>
    <w:bookmarkEnd w:id="163"/>
    <w:p>
      <w:pPr>
        <w:ind w:left="540" w:right="1779"/>
        <w:spacing w:after="0" w:line="270" w:lineRule="auto"/>
        <w:rPr>
          <w:sz w:val="20"/>
          <w:szCs w:val="20"/>
          <w:color w:val="auto"/>
        </w:rPr>
      </w:pPr>
      <w:r>
        <w:rPr>
          <w:rFonts w:ascii="Courier New" w:cs="Courier New" w:eastAsia="Courier New" w:hAnsi="Courier New"/>
          <w:sz w:val="16"/>
          <w:szCs w:val="16"/>
          <w:color w:val="auto"/>
        </w:rPr>
        <w:t>of Guaranteed Delivery, setting forth the name and address of the Holder, the certificate number(s) of such Original Notes, whether the notes tendered are Series B Notes or Series C Notes, and the principal amount of Original Notes tendered for exchange, stating that tender is being made thereby and guaranteeing that, within three New York Stock Exchange trading days after the Expiration Date, this Letter of Transmittal (or facsimile thereof), together with the certificate(s) representing such Original Notes (or a Book-Entry Confirmation), in proper form for transfer, and any other documents required by this Letter of Transmittal, will be deposited by such Eligible Institution with the Exchange Agent; and</w:t>
      </w:r>
    </w:p>
    <w:p>
      <w:pPr>
        <w:spacing w:after="0" w:line="189" w:lineRule="exact"/>
        <w:rPr>
          <w:sz w:val="20"/>
          <w:szCs w:val="20"/>
          <w:color w:val="auto"/>
        </w:rPr>
      </w:pPr>
    </w:p>
    <w:p>
      <w:pPr>
        <w:ind w:left="540" w:right="1879" w:firstLine="521"/>
        <w:spacing w:after="0" w:line="237" w:lineRule="auto"/>
        <w:tabs>
          <w:tab w:leader="none" w:pos="1488"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properly executed Letter of Transmittal (or facsimile thereof), as well as the certificate(s) for all tendered Original Notes in proper form for transfer or a Book-Entry Confirmation, together with any other 8 documents required by this Letter of Transmittal, are received by the Exchange Agent within five New York Stock Exchange trading days after the Expiration Date.</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 alternative, conditional or contingent tenders will be accepted. All tendering Holders, by execution of this Letter of Transmittal (or facsimile thereof), waive any right to receive notice of the acceptance of their Original Notes for exchange.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INADEQUATE SPACE.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the space provided in the box entitled "Description of Original Notes" above is inadequate, the certificate numbers and principal amounts of Original Notes being tendered should be listed on a separate signed schedule affixed hereto.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WITHDRAWALS.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 tender of Original Notes may be withdrawn at any time prior to the Expiration Date by delivery of written notice of withdrawal (or facsimile thereof) to the Exchange Agent at the address set forth on the cover of this Letter of Transmittal. To be effective, a notice of withdrawal of Original Notes must (i) specify the name of the person who tendered the Original Notes to be withdrawn (the "Depositor"), (ii) identify the Original Notes to be withdrawn (including the certificate number(s) and the aggregate principal amount of Original Notes to be withdrawn), and (iii) be signed by the Holder in the same manner as the original signature on the Letter of Transmittal by which such Original Notes were tendered (including any required signature guarantees). All questions as to the validity, form and eligibility (including time of receipt) of such notices will be determined by the Company in its sole discretion, whose determination shall be final and binding on all parties. Any Original Notes so withdrawn will thereafter be deemed not validly tendered for purposes of the Exchange Offer and no Exchange Notes will be issued with respect thereto unless the Original Notes so withdrawn are validly retendered. Properly withdrawn Original Notes may be retendered by following one of the procedures described in the section of the Prospectus entitled "The Exchange Offer -- Procedures for Tendering" at any time prior to the Expiration Date.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PARTIAL TENDERS.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Tenders of Original Notes will be accepted only in integral multiples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 principal amount. If a tender for exchange is to be made with respect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less than the entire principal amount of any Original Notes, fill 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amount of Original Notes which are tendered for exchange in column (4)</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box entitled "Description of Original Notes," as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64" w:name="page165"/>
    <w:bookmarkEnd w:id="164"/>
    <w:p>
      <w:pPr>
        <w:ind w:right="1879"/>
        <w:spacing w:after="0" w:line="237" w:lineRule="auto"/>
        <w:rPr>
          <w:sz w:val="20"/>
          <w:szCs w:val="20"/>
          <w:color w:val="auto"/>
        </w:rPr>
      </w:pPr>
      <w:r>
        <w:rPr>
          <w:rFonts w:ascii="Courier New" w:cs="Courier New" w:eastAsia="Courier New" w:hAnsi="Courier New"/>
          <w:sz w:val="18"/>
          <w:szCs w:val="18"/>
          <w:color w:val="auto"/>
        </w:rPr>
        <w:t>more fully described in the footnotes thereto. In the case of a partial tender for exchange, a new certificate, in fully registered form, for the remainder of the principal amount of the Original Notes, will be sent to the Holders unless otherwise indicated in the appropriate box on this Letter of Transmittal as promptly as practicable after the expiration or termination of the Exchange Offer.</w:t>
      </w:r>
    </w:p>
    <w:p>
      <w:pPr>
        <w:spacing w:after="0" w:line="210" w:lineRule="exact"/>
        <w:rPr>
          <w:sz w:val="20"/>
          <w:szCs w:val="20"/>
          <w:color w:val="auto"/>
        </w:rPr>
      </w:pPr>
    </w:p>
    <w:p>
      <w:pPr>
        <w:ind w:right="3159" w:firstLine="8"/>
        <w:spacing w:after="0" w:line="235" w:lineRule="auto"/>
        <w:tabs>
          <w:tab w:leader="none" w:pos="316"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SIGNATURES ON THIS LETTER OF TRANSMITTAL, POWERS OF ATTORNEY AND ENDORSEMENTS.</w:t>
      </w:r>
    </w:p>
    <w:p>
      <w:pPr>
        <w:spacing w:after="0" w:line="208" w:lineRule="exact"/>
        <w:rPr>
          <w:rFonts w:ascii="Courier New" w:cs="Courier New" w:eastAsia="Courier New" w:hAnsi="Courier New"/>
          <w:sz w:val="18"/>
          <w:szCs w:val="18"/>
          <w:color w:val="auto"/>
        </w:rPr>
      </w:pPr>
    </w:p>
    <w:p>
      <w:pPr>
        <w:ind w:right="1779" w:firstLine="535"/>
        <w:spacing w:after="0" w:line="236" w:lineRule="auto"/>
        <w:tabs>
          <w:tab w:leader="none" w:pos="948" w:val="left"/>
        </w:tabs>
        <w:numPr>
          <w:ilvl w:val="1"/>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signature(s) of the Holder on this Letter of Transmittal must correspond with the name(s) as written on the face of the Original Notes without alternation, enlargement or any change whatsoever.</w:t>
      </w:r>
    </w:p>
    <w:p>
      <w:pPr>
        <w:spacing w:after="0" w:line="208" w:lineRule="exact"/>
        <w:rPr>
          <w:rFonts w:ascii="Courier New" w:cs="Courier New" w:eastAsia="Courier New" w:hAnsi="Courier New"/>
          <w:sz w:val="18"/>
          <w:szCs w:val="18"/>
          <w:color w:val="auto"/>
        </w:rPr>
      </w:pPr>
    </w:p>
    <w:p>
      <w:pPr>
        <w:ind w:right="2199" w:firstLine="535"/>
        <w:spacing w:after="0" w:line="235" w:lineRule="auto"/>
        <w:tabs>
          <w:tab w:leader="none" w:pos="948" w:val="left"/>
        </w:tabs>
        <w:numPr>
          <w:ilvl w:val="1"/>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tendered Original Notes are owned of record by two or more joint owners, all such owners must sign this Letter of Transmittal.</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tendered Original Notes are registered in different names on several certificates, it will be necessary to complete, sign and submit as many separate copies of this Letter of Transmittal and any necessary or required documents as there are different registrations or certificates.</w:t>
      </w:r>
    </w:p>
    <w:p>
      <w:pPr>
        <w:spacing w:after="0" w:line="207" w:lineRule="exact"/>
        <w:rPr>
          <w:rFonts w:ascii="Courier New" w:cs="Courier New" w:eastAsia="Courier New" w:hAnsi="Courier New"/>
          <w:sz w:val="18"/>
          <w:szCs w:val="18"/>
          <w:color w:val="auto"/>
        </w:rPr>
      </w:pPr>
    </w:p>
    <w:p>
      <w:pPr>
        <w:ind w:right="1879" w:firstLine="535"/>
        <w:spacing w:after="0" w:line="271" w:lineRule="auto"/>
        <w:tabs>
          <w:tab w:leader="none" w:pos="948" w:val="left"/>
        </w:tabs>
        <w:numPr>
          <w:ilvl w:val="1"/>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this Letter of Transmittal is signed by the Holder listed and transmitted hereby, no endorsements of Original Notes or bond powers are required. If, however, Original Notes not tendered or not accepted, are to be issued or returned in the name of a person other than the Holder, then the Original Notes transmitted hereby must be endorsed or accompanied by a properly completed bond power, in a form satisfactory to the Company, in either case signed exactly as the name(s) of the Holder(s) appear(s) on the Original Notes. Signatures on such Original Notes or bond powers must be guaranteed by an Eligible Institution (unless signed by an Eligible Institution).</w:t>
      </w:r>
    </w:p>
    <w:p>
      <w:pPr>
        <w:spacing w:after="0" w:line="183"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1"/>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Letter of Transmittal or Original Notes or bond powers are signed by trustees, executors, administrators, guardians, attorneys-in-fact, officers of corporations or others acting in a fiduciary or representative capacity, such persons should so indicate when signing, and unless waived by the Company, evidence satisfactory to the Company of their authority to so act must be submitted with this Letter of Transmittal.</w:t>
      </w:r>
    </w:p>
    <w:p>
      <w:pPr>
        <w:spacing w:after="0" w:line="209"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Letter of Transmittal is signed by a person other than the Holder listed, the Original Notes must be endorsed or accompanied by a properly completed bond power, in either case signed by such Holder exactly as the name(s) of the Holder appear(s) on the certificates. Signatures on such Original Notes or bond powers must be guaranteed by an Eligible Institution (unless signed by an Eligible Institution).</w:t>
      </w:r>
    </w:p>
    <w:p>
      <w:pPr>
        <w:spacing w:after="0" w:line="204"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TAXES.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as set forth in this Instruction 7, the Company will pay all transfer taxes, if any, applicable to the exchange of Original Notes pursuant to the Exchange Offer. If, however, a transfer tax is imposed for any reason other than the exchange of Original Notes pursuant to the Exchange Offer, then the amount of such transfer taxes (whether imposed on the Holder or any other persons) will be payable by the tendering holder. If satisfactory evidence of payment of such taxes or exemptions therefrom is not submitted with this Letter of Transmittal, the amount of such transfer taxes will be billed directly to such tendering holder.</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65" w:name="page166"/>
    <w:bookmarkEnd w:id="165"/>
    <w:p>
      <w:pPr>
        <w:spacing w:after="0"/>
        <w:rPr>
          <w:sz w:val="20"/>
          <w:szCs w:val="20"/>
          <w:color w:val="auto"/>
        </w:rPr>
      </w:pPr>
      <w:r>
        <w:rPr>
          <w:rFonts w:ascii="Courier New" w:cs="Courier New" w:eastAsia="Courier New" w:hAnsi="Courier New"/>
          <w:sz w:val="18"/>
          <w:szCs w:val="18"/>
          <w:color w:val="auto"/>
        </w:rPr>
        <w:t>8. SPECIAL ISSUANCE AND DELIVERY INSTRUCTIONS.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the Exchange Notes are to be issued, or if any Original Notes not tendered for exchange are to be issued or sent to someone other than the Holder or to an address other than that shown above, the appropriate boxes on this Letter of Transmittal should be completed. Holders of Original Notes tendering Original Notes by book-entry transfer may request that Original Notes not accepted be credited to such account maintained at DTC as such Holder may designate.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IRREGULARITIES.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All questions as to the validity, form, eligibility (including time of receipt), compliance with conditions, acceptance and withdrawal of tendered Original Notes will be determined by the Company in its sole discretion, which determination shall be final and binding. The Company reserves the absolute right to reject any and all Original Notes not properly tendered or any Original Notes the Company's acceptance of which would, in the opinion of counsel for the Company, be unlawful. The Company also reserves the right to waive any defects, irregularities or conditions of tender as to particular Original Notes. The Company's interpretation of the terms and conditions of the Exchange Offer (including the instructions in the Letter of Transmittal) will be final and binding on all parties. Unless waived, any defects or irregularities in connection with tenders of Original Notes must be cured within such time as the Company shall determine. Although the Company intends to notify Holders of defects or irregularities with respect to tenders of Original Notes, neither the Company, the Exchange Agent nor any other person shall incur any liability for failure to give such notification. Tenders of Original Notes will not be deemed to have been made until such defects or irregularities have been cured or waived. Any Original Notes received by the Exchange Agent that are not properly tendered and as to which the defects or irregularities have not been cured or waived will be returned by the Exchange Agent to the tendering holders, unless otherwise provided in this Letter of Transmittal, as soon as practicable following the Expiration Date.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WAIVER OF CONDITIONS.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Company reserves the absolute right to waive, amend or modify certain of the specified conditions as described under "The Exchange</w:t>
      </w:r>
    </w:p>
    <w:p>
      <w:pPr>
        <w:spacing w:after="0" w:line="6"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Offer -- Conditions" in the Prospectus in the case of any Original Notes tendered (except as otherwise provided in the Prospectus).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MUTILATED, LOST, STOLEN OR DESTROYED ORIGINAL NOTES.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Any tendering Holder whose Original Notes have been mutilated, lost, stolen or destroyed, should contact the Exchange Agent at the address indicated herein for further instructions.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REQUESTS FOR INFORMATION OR ADDITIONAL COPIES.</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Requests for information or for additional copies of the Prospectus and this Letter of Transmittal may be directed to the Exchange Agent at the address or telephone number set forth on the cover of this Letter of Transmittal.</w:t>
      </w:r>
    </w:p>
    <w:p>
      <w:pPr>
        <w:spacing w:after="0" w:line="178"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IMPORTANT: THIS LETTER OF TRANSMITTAL (OR A FACSIMILE THEREOF) TOGETHER WITH CERTIFICATES, OR CONFIRMATION OF BOOK-ENTRY OR THE NOTICE OF GUARANTEED DELIVERY, AND ALL OTHER REQUIRED DOCUMENTS MUST BE RECEIVED BY THE EXCHANGE AGENT PRIOR THE EXPIRATION DATE.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166" w:name="page167"/>
    <w:bookmarkEnd w:id="166"/>
    <w:p>
      <w:pPr>
        <w:jc w:val="center"/>
        <w:ind w:right="1879"/>
        <w:spacing w:after="0"/>
        <w:rPr>
          <w:sz w:val="20"/>
          <w:szCs w:val="20"/>
          <w:color w:val="auto"/>
        </w:rPr>
      </w:pPr>
      <w:r>
        <w:rPr>
          <w:rFonts w:ascii="Courier New" w:cs="Courier New" w:eastAsia="Courier New" w:hAnsi="Courier New"/>
          <w:sz w:val="18"/>
          <w:szCs w:val="18"/>
          <w:color w:val="auto"/>
        </w:rPr>
        <w:t>IMPORTANT INFORMATION</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Under current federal income tax law, a Holder whose tendered Original Notes are accepted for exchange may be subject to backup withholding unless the Holder provides the Company (as payor), through the Exchange Agent, with either</w:t>
      </w:r>
    </w:p>
    <w:p>
      <w:pPr>
        <w:spacing w:after="0" w:line="1" w:lineRule="exact"/>
        <w:rPr>
          <w:sz w:val="20"/>
          <w:szCs w:val="20"/>
          <w:color w:val="auto"/>
        </w:rPr>
      </w:pPr>
    </w:p>
    <w:p>
      <w:pPr>
        <w:ind w:right="1779" w:firstLine="8"/>
        <w:spacing w:after="0" w:line="237" w:lineRule="auto"/>
        <w:tabs>
          <w:tab w:leader="none" w:pos="421"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Holder's correct taxpayer identification number ("TIN") on Substitute Form W-9 attached hereto, certifying that the TIN provided on Substitute Form W-9 is correct (or that such Holder is awaiting a TIN) and that (A) the Holder has not been notified by the Internal Revenue Service that he or she is subject to backup withholding as a result of a failure to report all interest or dividends or (B) the Internal Revenue Service has notified the Holder that he or she is no longer subject to backup withholding; or (ii) an adequate basis for exemption from backup withholding. If such Holder is an individual, the TIN is such Holder's social security number. If the Exchange Agent is not provided with the correct taxpayer identification number, the Holder may be subject to certain penalties imposed by the Internal Revenue Service.</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Certain Holders (including, among others, all corporations and certain foreign individuals) are not subject to these backup withholding and reporting requirements. Exempt Holders should indicate their exempt status on Substitute Form W-9. A foreign individual may qualify as an exempt recipient by submitting to the Exchange Agent a properly completed Internal Revenue Service Form W-8 (which the Exchange Agent will provide upon request) signed under penalty of perjury, attesting to the Holder's exempt status. See the enclosed Guidelines for Certification of Taxpayer Identification Number on Substitute Form W-9 (the "Guidelines") for additional instructions.</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backup withholding applies, the Company is required to withhold a portion of any payment made to the Holder or other payee. Backup withholding is not an additional federal income tax. Rather, the federal income tax liability of persons subject to backup withholding will be reduced by the amount of tax withheld. If withholding results in an overpayment of taxes, a refund may be obtained from the Internal Revenue Service.</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Holder is required to give the Exchange Agent the TIN (e.g., social security number or employer identification number) of the record owner of the Original Notes. If the Original Notes are held in more than one name or are not held in the name of the actual owner, consult the enclosed Guidelines for additional guidance regarding which number to report.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167" w:name="page168"/>
    <w:bookmarkEnd w:id="167"/>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3880" w:type="dxa"/>
            <w:vAlign w:val="bottom"/>
          </w:tcPr>
          <w:p>
            <w:pPr>
              <w:ind w:left="520"/>
              <w:spacing w:after="0"/>
              <w:rPr>
                <w:sz w:val="20"/>
                <w:szCs w:val="20"/>
                <w:color w:val="auto"/>
              </w:rPr>
            </w:pPr>
            <w:r>
              <w:rPr>
                <w:rFonts w:ascii="Courier New" w:cs="Courier New" w:eastAsia="Courier New" w:hAnsi="Courier New"/>
                <w:sz w:val="18"/>
                <w:szCs w:val="18"/>
                <w:color w:val="auto"/>
              </w:rPr>
              <w:t>PART 1 -- PLEASE PROVIDE YOUR</w:t>
            </w:r>
          </w:p>
        </w:tc>
        <w:tc>
          <w:tcPr>
            <w:tcW w:w="360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38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TIN IN THE BOX AT RIGHT AND</w:t>
            </w:r>
          </w:p>
        </w:tc>
        <w:tc>
          <w:tcPr>
            <w:tcW w:w="3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TIN:</w:t>
            </w:r>
          </w:p>
        </w:tc>
      </w:tr>
      <w:tr>
        <w:trPr>
          <w:trHeight w:val="203"/>
        </w:trPr>
        <w:tc>
          <w:tcPr>
            <w:tcW w:w="2320" w:type="dxa"/>
            <w:vAlign w:val="bottom"/>
          </w:tcPr>
          <w:p>
            <w:pPr>
              <w:spacing w:after="0"/>
              <w:rPr>
                <w:sz w:val="17"/>
                <w:szCs w:val="17"/>
                <w:color w:val="auto"/>
              </w:rPr>
            </w:pPr>
          </w:p>
        </w:tc>
        <w:tc>
          <w:tcPr>
            <w:tcW w:w="38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CERTIFY BY SIGNING AND DATING</w:t>
            </w:r>
          </w:p>
        </w:tc>
        <w:tc>
          <w:tcPr>
            <w:tcW w:w="36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Social Security Number</w:t>
            </w:r>
          </w:p>
        </w:tc>
      </w:tr>
      <w:tr>
        <w:trPr>
          <w:trHeight w:val="203"/>
        </w:trPr>
        <w:tc>
          <w:tcPr>
            <w:tcW w:w="2320" w:type="dxa"/>
            <w:vAlign w:val="bottom"/>
          </w:tcPr>
          <w:p>
            <w:pPr>
              <w:spacing w:after="0"/>
              <w:rPr>
                <w:sz w:val="17"/>
                <w:szCs w:val="17"/>
                <w:color w:val="auto"/>
              </w:rPr>
            </w:pPr>
          </w:p>
        </w:tc>
        <w:tc>
          <w:tcPr>
            <w:tcW w:w="38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BELOW.</w:t>
            </w:r>
          </w:p>
        </w:tc>
        <w:tc>
          <w:tcPr>
            <w:tcW w:w="36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OR Employer</w:t>
            </w:r>
          </w:p>
        </w:tc>
      </w:tr>
      <w:tr>
        <w:trPr>
          <w:trHeight w:val="203"/>
        </w:trPr>
        <w:tc>
          <w:tcPr>
            <w:tcW w:w="23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6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Identification Number</w:t>
            </w:r>
          </w:p>
        </w:tc>
      </w:tr>
      <w:tr>
        <w:trPr>
          <w:trHeight w:val="203"/>
        </w:trPr>
        <w:tc>
          <w:tcPr>
            <w:tcW w:w="2320" w:type="dxa"/>
            <w:vAlign w:val="bottom"/>
          </w:tcPr>
          <w:p>
            <w:pPr>
              <w:spacing w:after="0"/>
              <w:rPr>
                <w:sz w:val="17"/>
                <w:szCs w:val="17"/>
                <w:color w:val="auto"/>
              </w:rPr>
            </w:pPr>
          </w:p>
        </w:tc>
        <w:tc>
          <w:tcPr>
            <w:tcW w:w="74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20" w:type="dxa"/>
            <w:vAlign w:val="bottom"/>
          </w:tcPr>
          <w:p>
            <w:pPr>
              <w:spacing w:after="0"/>
              <w:rPr>
                <w:sz w:val="17"/>
                <w:szCs w:val="17"/>
                <w:color w:val="auto"/>
              </w:rPr>
            </w:pPr>
          </w:p>
        </w:tc>
        <w:tc>
          <w:tcPr>
            <w:tcW w:w="74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PART 2 -- CERTIFICATION -- Under penalties of perjury, I certify</w:t>
            </w:r>
          </w:p>
        </w:tc>
      </w:tr>
      <w:tr>
        <w:trPr>
          <w:trHeight w:val="203"/>
        </w:trPr>
        <w:tc>
          <w:tcPr>
            <w:tcW w:w="2320" w:type="dxa"/>
            <w:vAlign w:val="bottom"/>
          </w:tcPr>
          <w:p>
            <w:pPr>
              <w:spacing w:after="0"/>
              <w:rPr>
                <w:sz w:val="17"/>
                <w:szCs w:val="17"/>
                <w:color w:val="auto"/>
              </w:rPr>
            </w:pPr>
          </w:p>
        </w:tc>
        <w:tc>
          <w:tcPr>
            <w:tcW w:w="38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that:</w:t>
            </w:r>
          </w:p>
        </w:tc>
        <w:tc>
          <w:tcPr>
            <w:tcW w:w="360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74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(1) The number shown on this form is my correct Taxpayer</w:t>
            </w:r>
          </w:p>
        </w:tc>
      </w:tr>
      <w:tr>
        <w:trPr>
          <w:trHeight w:val="203"/>
        </w:trPr>
        <w:tc>
          <w:tcPr>
            <w:tcW w:w="2320" w:type="dxa"/>
            <w:vAlign w:val="bottom"/>
          </w:tcPr>
          <w:p>
            <w:pPr>
              <w:spacing w:after="0"/>
              <w:rPr>
                <w:sz w:val="17"/>
                <w:szCs w:val="17"/>
                <w:color w:val="auto"/>
              </w:rPr>
            </w:pPr>
          </w:p>
        </w:tc>
        <w:tc>
          <w:tcPr>
            <w:tcW w:w="748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Identification Number (or I am waiting for a number to be</w:t>
            </w:r>
          </w:p>
        </w:tc>
      </w:tr>
      <w:tr>
        <w:trPr>
          <w:trHeight w:val="203"/>
        </w:trPr>
        <w:tc>
          <w:tcPr>
            <w:tcW w:w="2320" w:type="dxa"/>
            <w:vAlign w:val="bottom"/>
          </w:tcPr>
          <w:p>
            <w:pPr>
              <w:spacing w:after="0"/>
              <w:rPr>
                <w:sz w:val="17"/>
                <w:szCs w:val="17"/>
                <w:color w:val="auto"/>
              </w:rPr>
            </w:pPr>
          </w:p>
        </w:tc>
        <w:tc>
          <w:tcPr>
            <w:tcW w:w="38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issued to me), and</w:t>
            </w:r>
          </w:p>
        </w:tc>
        <w:tc>
          <w:tcPr>
            <w:tcW w:w="360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74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(2) I am not subject to backup withholding either because I have</w:t>
            </w:r>
          </w:p>
        </w:tc>
      </w:tr>
      <w:tr>
        <w:trPr>
          <w:trHeight w:val="203"/>
        </w:trPr>
        <w:tc>
          <w:tcPr>
            <w:tcW w:w="232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6"/>
              </w:rPr>
              <w:t>SUBSTITUTE</w:t>
            </w:r>
          </w:p>
        </w:tc>
        <w:tc>
          <w:tcPr>
            <w:tcW w:w="748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w w:val="98"/>
              </w:rPr>
              <w:t>not been notified by the Internal Revenue Service (the "IRS")</w:t>
            </w:r>
          </w:p>
        </w:tc>
      </w:tr>
      <w:tr>
        <w:trPr>
          <w:trHeight w:val="203"/>
        </w:trPr>
        <w:tc>
          <w:tcPr>
            <w:tcW w:w="232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FORM W-9</w:t>
            </w:r>
          </w:p>
        </w:tc>
        <w:tc>
          <w:tcPr>
            <w:tcW w:w="748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that I am subject to backup withholding as a result of a</w:t>
            </w:r>
          </w:p>
        </w:tc>
      </w:tr>
      <w:tr>
        <w:trPr>
          <w:trHeight w:val="203"/>
        </w:trPr>
        <w:tc>
          <w:tcPr>
            <w:tcW w:w="232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6"/>
              </w:rPr>
              <w:t>Department of the</w:t>
            </w:r>
          </w:p>
        </w:tc>
        <w:tc>
          <w:tcPr>
            <w:tcW w:w="748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failure to report all interest or dividends; or (c) the IRS</w:t>
            </w:r>
          </w:p>
        </w:tc>
      </w:tr>
      <w:tr>
        <w:trPr>
          <w:trHeight w:val="203"/>
        </w:trPr>
        <w:tc>
          <w:tcPr>
            <w:tcW w:w="232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Treasury</w:t>
            </w:r>
          </w:p>
        </w:tc>
        <w:tc>
          <w:tcPr>
            <w:tcW w:w="748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has notified me that I am no longer subject to backup</w:t>
            </w:r>
          </w:p>
        </w:tc>
      </w:tr>
      <w:tr>
        <w:trPr>
          <w:trHeight w:val="203"/>
        </w:trPr>
        <w:tc>
          <w:tcPr>
            <w:tcW w:w="232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Internal</w:t>
            </w:r>
          </w:p>
        </w:tc>
        <w:tc>
          <w:tcPr>
            <w:tcW w:w="38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withholding,</w:t>
            </w:r>
          </w:p>
        </w:tc>
        <w:tc>
          <w:tcPr>
            <w:tcW w:w="3600" w:type="dxa"/>
            <w:vAlign w:val="bottom"/>
          </w:tcPr>
          <w:p>
            <w:pPr>
              <w:spacing w:after="0"/>
              <w:rPr>
                <w:sz w:val="17"/>
                <w:szCs w:val="17"/>
                <w:color w:val="auto"/>
              </w:rPr>
            </w:pPr>
          </w:p>
        </w:tc>
      </w:tr>
      <w:tr>
        <w:trPr>
          <w:trHeight w:val="203"/>
        </w:trPr>
        <w:tc>
          <w:tcPr>
            <w:tcW w:w="232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Revenue</w:t>
            </w:r>
          </w:p>
        </w:tc>
        <w:tc>
          <w:tcPr>
            <w:tcW w:w="3880" w:type="dxa"/>
            <w:vAlign w:val="bottom"/>
          </w:tcPr>
          <w:p>
            <w:pPr>
              <w:spacing w:after="0"/>
              <w:rPr>
                <w:sz w:val="17"/>
                <w:szCs w:val="17"/>
                <w:color w:val="auto"/>
              </w:rPr>
            </w:pPr>
          </w:p>
        </w:tc>
        <w:tc>
          <w:tcPr>
            <w:tcW w:w="3600" w:type="dxa"/>
            <w:vAlign w:val="bottom"/>
          </w:tcPr>
          <w:p>
            <w:pPr>
              <w:spacing w:after="0"/>
              <w:rPr>
                <w:sz w:val="17"/>
                <w:szCs w:val="17"/>
                <w:color w:val="auto"/>
              </w:rPr>
            </w:pPr>
          </w:p>
        </w:tc>
      </w:tr>
      <w:tr>
        <w:trPr>
          <w:trHeight w:val="203"/>
        </w:trPr>
        <w:tc>
          <w:tcPr>
            <w:tcW w:w="232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Service</w:t>
            </w:r>
          </w:p>
        </w:tc>
        <w:tc>
          <w:tcPr>
            <w:tcW w:w="3880" w:type="dxa"/>
            <w:vAlign w:val="bottom"/>
          </w:tcPr>
          <w:p>
            <w:pPr>
              <w:spacing w:after="0"/>
              <w:rPr>
                <w:sz w:val="17"/>
                <w:szCs w:val="17"/>
                <w:color w:val="auto"/>
              </w:rPr>
            </w:pPr>
          </w:p>
        </w:tc>
        <w:tc>
          <w:tcPr>
            <w:tcW w:w="3600" w:type="dxa"/>
            <w:vAlign w:val="bottom"/>
          </w:tcPr>
          <w:p>
            <w:pPr>
              <w:spacing w:after="0"/>
              <w:rPr>
                <w:sz w:val="17"/>
                <w:szCs w:val="17"/>
                <w:color w:val="auto"/>
              </w:rPr>
            </w:pPr>
          </w:p>
        </w:tc>
      </w:tr>
      <w:tr>
        <w:trPr>
          <w:trHeight w:val="405"/>
        </w:trPr>
        <w:tc>
          <w:tcPr>
            <w:tcW w:w="2320" w:type="dxa"/>
            <w:vAlign w:val="bottom"/>
          </w:tcPr>
          <w:p>
            <w:pPr>
              <w:jc w:val="center"/>
              <w:ind w:right="452"/>
              <w:spacing w:after="0"/>
              <w:rPr>
                <w:sz w:val="20"/>
                <w:szCs w:val="20"/>
                <w:color w:val="auto"/>
              </w:rPr>
            </w:pPr>
            <w:r>
              <w:rPr>
                <w:rFonts w:ascii="Courier New" w:cs="Courier New" w:eastAsia="Courier New" w:hAnsi="Courier New"/>
                <w:sz w:val="18"/>
                <w:szCs w:val="18"/>
                <w:color w:val="auto"/>
                <w:w w:val="97"/>
              </w:rPr>
              <w:t>Payer's Request</w:t>
            </w:r>
          </w:p>
        </w:tc>
        <w:tc>
          <w:tcPr>
            <w:tcW w:w="3880" w:type="dxa"/>
            <w:vAlign w:val="bottom"/>
          </w:tcPr>
          <w:p>
            <w:pPr>
              <w:ind w:left="520"/>
              <w:spacing w:after="0"/>
              <w:rPr>
                <w:sz w:val="20"/>
                <w:szCs w:val="20"/>
                <w:color w:val="auto"/>
              </w:rPr>
            </w:pPr>
            <w:r>
              <w:rPr>
                <w:rFonts w:ascii="Courier New" w:cs="Courier New" w:eastAsia="Courier New" w:hAnsi="Courier New"/>
                <w:sz w:val="18"/>
                <w:szCs w:val="18"/>
                <w:color w:val="auto"/>
              </w:rPr>
              <w:t>PART 3 -- Awaiting TIN [ ]</w:t>
            </w:r>
          </w:p>
        </w:tc>
        <w:tc>
          <w:tcPr>
            <w:tcW w:w="3600" w:type="dxa"/>
            <w:vAlign w:val="bottom"/>
          </w:tcPr>
          <w:p>
            <w:pPr>
              <w:spacing w:after="0"/>
              <w:rPr>
                <w:sz w:val="24"/>
                <w:szCs w:val="24"/>
                <w:color w:val="auto"/>
              </w:rPr>
            </w:pPr>
          </w:p>
        </w:tc>
      </w:tr>
      <w:tr>
        <w:trPr>
          <w:trHeight w:val="203"/>
        </w:trPr>
        <w:tc>
          <w:tcPr>
            <w:tcW w:w="232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for Taxpayer</w:t>
            </w:r>
          </w:p>
        </w:tc>
        <w:tc>
          <w:tcPr>
            <w:tcW w:w="74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CERTIFICATE INSTRUCTIONS -- You must cross out item (2) above if</w:t>
            </w:r>
          </w:p>
        </w:tc>
      </w:tr>
      <w:tr>
        <w:trPr>
          <w:trHeight w:val="203"/>
        </w:trPr>
        <w:tc>
          <w:tcPr>
            <w:tcW w:w="232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Identification</w:t>
            </w:r>
          </w:p>
        </w:tc>
        <w:tc>
          <w:tcPr>
            <w:tcW w:w="74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you have been notified by the IRS that you are subject to backup</w:t>
            </w:r>
          </w:p>
        </w:tc>
      </w:tr>
      <w:tr>
        <w:trPr>
          <w:trHeight w:val="203"/>
        </w:trPr>
        <w:tc>
          <w:tcPr>
            <w:tcW w:w="232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Number ("TIN")</w:t>
            </w:r>
          </w:p>
        </w:tc>
        <w:tc>
          <w:tcPr>
            <w:tcW w:w="74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withholding because of underreporting interest or dividends on</w:t>
            </w:r>
          </w:p>
        </w:tc>
      </w:tr>
      <w:tr>
        <w:trPr>
          <w:trHeight w:val="203"/>
        </w:trPr>
        <w:tc>
          <w:tcPr>
            <w:tcW w:w="2320" w:type="dxa"/>
            <w:vAlign w:val="bottom"/>
          </w:tcPr>
          <w:p>
            <w:pPr>
              <w:spacing w:after="0"/>
              <w:rPr>
                <w:sz w:val="17"/>
                <w:szCs w:val="17"/>
                <w:color w:val="auto"/>
              </w:rPr>
            </w:pPr>
          </w:p>
        </w:tc>
        <w:tc>
          <w:tcPr>
            <w:tcW w:w="74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8"/>
              </w:rPr>
              <w:t>your tax return. However, if after being notified by the IRS that</w:t>
            </w:r>
          </w:p>
        </w:tc>
      </w:tr>
      <w:tr>
        <w:trPr>
          <w:trHeight w:val="203"/>
        </w:trPr>
        <w:tc>
          <w:tcPr>
            <w:tcW w:w="2320" w:type="dxa"/>
            <w:vAlign w:val="bottom"/>
          </w:tcPr>
          <w:p>
            <w:pPr>
              <w:spacing w:after="0"/>
              <w:rPr>
                <w:sz w:val="17"/>
                <w:szCs w:val="17"/>
                <w:color w:val="auto"/>
              </w:rPr>
            </w:pPr>
          </w:p>
        </w:tc>
        <w:tc>
          <w:tcPr>
            <w:tcW w:w="74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you were subject to backup withholding you received another</w:t>
            </w:r>
          </w:p>
        </w:tc>
      </w:tr>
      <w:tr>
        <w:trPr>
          <w:trHeight w:val="203"/>
        </w:trPr>
        <w:tc>
          <w:tcPr>
            <w:tcW w:w="2320" w:type="dxa"/>
            <w:vAlign w:val="bottom"/>
          </w:tcPr>
          <w:p>
            <w:pPr>
              <w:spacing w:after="0"/>
              <w:rPr>
                <w:sz w:val="17"/>
                <w:szCs w:val="17"/>
                <w:color w:val="auto"/>
              </w:rPr>
            </w:pPr>
          </w:p>
        </w:tc>
        <w:tc>
          <w:tcPr>
            <w:tcW w:w="74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notification from the IRS that you are no longer subject to backup</w:t>
            </w:r>
          </w:p>
        </w:tc>
      </w:tr>
      <w:tr>
        <w:trPr>
          <w:trHeight w:val="203"/>
        </w:trPr>
        <w:tc>
          <w:tcPr>
            <w:tcW w:w="2320" w:type="dxa"/>
            <w:vAlign w:val="bottom"/>
          </w:tcPr>
          <w:p>
            <w:pPr>
              <w:spacing w:after="0"/>
              <w:rPr>
                <w:sz w:val="17"/>
                <w:szCs w:val="17"/>
                <w:color w:val="auto"/>
              </w:rPr>
            </w:pPr>
          </w:p>
        </w:tc>
        <w:tc>
          <w:tcPr>
            <w:tcW w:w="74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8"/>
              </w:rPr>
              <w:t>withholding, do not cross out item (2). (Also see instructions in</w:t>
            </w:r>
          </w:p>
        </w:tc>
      </w:tr>
      <w:tr>
        <w:trPr>
          <w:trHeight w:val="203"/>
        </w:trPr>
        <w:tc>
          <w:tcPr>
            <w:tcW w:w="2320" w:type="dxa"/>
            <w:vAlign w:val="bottom"/>
          </w:tcPr>
          <w:p>
            <w:pPr>
              <w:spacing w:after="0"/>
              <w:rPr>
                <w:sz w:val="17"/>
                <w:szCs w:val="17"/>
                <w:color w:val="auto"/>
              </w:rPr>
            </w:pPr>
          </w:p>
        </w:tc>
        <w:tc>
          <w:tcPr>
            <w:tcW w:w="38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the enclosed Guidelines).</w:t>
            </w:r>
          </w:p>
        </w:tc>
        <w:tc>
          <w:tcPr>
            <w:tcW w:w="360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74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2320" w:type="dxa"/>
            <w:vAlign w:val="bottom"/>
          </w:tcPr>
          <w:p>
            <w:pPr>
              <w:spacing w:after="0"/>
              <w:rPr>
                <w:sz w:val="24"/>
                <w:szCs w:val="24"/>
                <w:color w:val="auto"/>
              </w:rPr>
            </w:pPr>
          </w:p>
        </w:tc>
        <w:tc>
          <w:tcPr>
            <w:tcW w:w="3880" w:type="dxa"/>
            <w:vAlign w:val="bottom"/>
          </w:tcPr>
          <w:p>
            <w:pPr>
              <w:ind w:left="520"/>
              <w:spacing w:after="0"/>
              <w:rPr>
                <w:sz w:val="20"/>
                <w:szCs w:val="20"/>
                <w:color w:val="auto"/>
              </w:rPr>
            </w:pPr>
            <w:r>
              <w:rPr>
                <w:rFonts w:ascii="Courier New" w:cs="Courier New" w:eastAsia="Courier New" w:hAnsi="Courier New"/>
                <w:sz w:val="18"/>
                <w:szCs w:val="18"/>
                <w:color w:val="auto"/>
              </w:rPr>
              <w:t>SIGNATURE</w:t>
            </w:r>
          </w:p>
        </w:tc>
        <w:tc>
          <w:tcPr>
            <w:tcW w:w="3600" w:type="dxa"/>
            <w:vAlign w:val="bottom"/>
          </w:tcPr>
          <w:p>
            <w:pPr>
              <w:ind w:left="960"/>
              <w:spacing w:after="0"/>
              <w:rPr>
                <w:sz w:val="20"/>
                <w:szCs w:val="20"/>
                <w:color w:val="auto"/>
              </w:rPr>
            </w:pPr>
            <w:r>
              <w:rPr>
                <w:rFonts w:ascii="Courier New" w:cs="Courier New" w:eastAsia="Courier New" w:hAnsi="Courier New"/>
                <w:sz w:val="18"/>
                <w:szCs w:val="18"/>
                <w:color w:val="auto"/>
              </w:rPr>
              <w:t>DATE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640" w:right="2200" w:hanging="631"/>
        <w:spacing w:after="0" w:line="275" w:lineRule="auto"/>
        <w:rPr>
          <w:sz w:val="20"/>
          <w:szCs w:val="20"/>
          <w:color w:val="auto"/>
        </w:rPr>
      </w:pPr>
      <w:r>
        <w:rPr>
          <w:rFonts w:ascii="Courier New" w:cs="Courier New" w:eastAsia="Courier New" w:hAnsi="Courier New"/>
          <w:sz w:val="16"/>
          <w:szCs w:val="16"/>
          <w:color w:val="auto"/>
        </w:rPr>
        <w:t>NOTE: FAILURE TO COMPLETE AND RETURN THIS FORM MAY RESULT IN BACKUP WITHHOLDING OF A PORTION OF ANY PAYMENT MADE TO YOU PURSUANT TO THE EXCHANGE OFFER. PLEASE REVIEW THE ENCLOSED GUIDELINES FOR CERTIFICATION OF TAXPAYER IDENTIFICATION NUMBER ON SUBSTITUTE FORM W-9 FOR ADDITIONAL DETAILS.</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540"/>
          </w:cols>
          <w:pgMar w:left="240" w:top="1128" w:right="1119" w:bottom="1440" w:gutter="0" w:footer="0" w:header="0"/>
        </w:sectPr>
      </w:pPr>
    </w:p>
    <w:bookmarkStart w:id="168" w:name="page169"/>
    <w:bookmarkEnd w:id="168"/>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NOTICE OF GUARANTEED DELIVERY</w:t>
      </w:r>
    </w:p>
    <w:p>
      <w:pPr>
        <w:jc w:val="center"/>
        <w:ind w:right="1879"/>
        <w:spacing w:after="0" w:line="238" w:lineRule="auto"/>
        <w:rPr>
          <w:sz w:val="20"/>
          <w:szCs w:val="20"/>
          <w:color w:val="auto"/>
        </w:rPr>
      </w:pPr>
      <w:r>
        <w:rPr>
          <w:rFonts w:ascii="Courier New" w:cs="Courier New" w:eastAsia="Courier New" w:hAnsi="Courier New"/>
          <w:sz w:val="18"/>
          <w:szCs w:val="18"/>
          <w:color w:val="auto"/>
        </w:rPr>
        <w:t>WITH RESPECT TO TENDER OF</w:t>
      </w:r>
    </w:p>
    <w:p>
      <w:pPr>
        <w:jc w:val="center"/>
        <w:ind w:right="1779"/>
        <w:spacing w:after="0"/>
        <w:rPr>
          <w:sz w:val="20"/>
          <w:szCs w:val="20"/>
          <w:color w:val="auto"/>
        </w:rPr>
      </w:pPr>
      <w:r>
        <w:rPr>
          <w:rFonts w:ascii="Courier New" w:cs="Courier New" w:eastAsia="Courier New" w:hAnsi="Courier New"/>
          <w:sz w:val="18"/>
          <w:szCs w:val="18"/>
          <w:color w:val="auto"/>
        </w:rPr>
        <w:t>ANY AND ALL OUTSTANDING 8.625% SERIES A SENIOR SUBORDINATED NOTES DUE 2009</w:t>
      </w:r>
    </w:p>
    <w:p>
      <w:pPr>
        <w:ind w:left="3380"/>
        <w:spacing w:after="0" w:line="237" w:lineRule="auto"/>
        <w:rPr>
          <w:sz w:val="20"/>
          <w:szCs w:val="20"/>
          <w:color w:val="auto"/>
        </w:rPr>
      </w:pPr>
      <w:r>
        <w:rPr>
          <w:rFonts w:ascii="Courier New" w:cs="Courier New" w:eastAsia="Courier New" w:hAnsi="Courier New"/>
          <w:sz w:val="18"/>
          <w:szCs w:val="18"/>
          <w:color w:val="auto"/>
        </w:rPr>
        <w:t>IN EXCHANGE FOR</w:t>
      </w:r>
    </w:p>
    <w:p>
      <w:pPr>
        <w:ind w:left="1580"/>
        <w:spacing w:after="0" w:line="238" w:lineRule="auto"/>
        <w:rPr>
          <w:sz w:val="20"/>
          <w:szCs w:val="20"/>
          <w:color w:val="auto"/>
        </w:rPr>
      </w:pPr>
      <w:r>
        <w:rPr>
          <w:rFonts w:ascii="Courier New" w:cs="Courier New" w:eastAsia="Courier New" w:hAnsi="Courier New"/>
          <w:sz w:val="18"/>
          <w:szCs w:val="18"/>
          <w:color w:val="auto"/>
        </w:rPr>
        <w:t>8.625% SERIES B SENIOR SUBORDINATED NOTES DUE 2009</w:t>
      </w:r>
    </w:p>
    <w:p>
      <w:pPr>
        <w:ind w:left="4120"/>
        <w:spacing w:after="0"/>
        <w:rPr>
          <w:sz w:val="20"/>
          <w:szCs w:val="20"/>
          <w:color w:val="auto"/>
        </w:rPr>
      </w:pPr>
      <w:r>
        <w:rPr>
          <w:rFonts w:ascii="Courier New" w:cs="Courier New" w:eastAsia="Courier New" w:hAnsi="Courier New"/>
          <w:sz w:val="18"/>
          <w:szCs w:val="18"/>
          <w:color w:val="auto"/>
        </w:rPr>
        <w:t>OF</w:t>
      </w:r>
    </w:p>
    <w:p>
      <w:pPr>
        <w:ind w:left="3280"/>
        <w:spacing w:after="0" w:line="237" w:lineRule="auto"/>
        <w:rPr>
          <w:sz w:val="20"/>
          <w:szCs w:val="20"/>
          <w:color w:val="auto"/>
        </w:rPr>
      </w:pPr>
      <w:r>
        <w:rPr>
          <w:rFonts w:ascii="Courier New" w:cs="Courier New" w:eastAsia="Courier New" w:hAnsi="Courier New"/>
          <w:sz w:val="18"/>
          <w:szCs w:val="18"/>
          <w:color w:val="auto"/>
        </w:rPr>
        <w:t>THE SCOTTS COMPANY</w:t>
      </w:r>
    </w:p>
    <w:p>
      <w:pPr>
        <w:ind w:left="1380"/>
        <w:spacing w:after="0"/>
        <w:tabs>
          <w:tab w:leader="none" w:pos="6420" w:val="left"/>
        </w:tabs>
        <w:rPr>
          <w:sz w:val="20"/>
          <w:szCs w:val="20"/>
          <w:color w:val="auto"/>
        </w:rPr>
      </w:pPr>
      <w:r>
        <w:rPr>
          <w:rFonts w:ascii="Courier New" w:cs="Courier New" w:eastAsia="Courier New" w:hAnsi="Courier New"/>
          <w:sz w:val="18"/>
          <w:szCs w:val="18"/>
          <w:color w:val="auto"/>
        </w:rPr>
        <w:t>PURSUANT TO THE PROSPECTUS DATED</w:t>
      </w:r>
      <w:r>
        <w:rPr>
          <w:sz w:val="20"/>
          <w:szCs w:val="20"/>
          <w:color w:val="auto"/>
        </w:rPr>
        <w:tab/>
      </w:r>
      <w:r>
        <w:rPr>
          <w:rFonts w:ascii="Courier New" w:cs="Courier New" w:eastAsia="Courier New" w:hAnsi="Courier New"/>
          <w:sz w:val="16"/>
          <w:szCs w:val="16"/>
          <w:color w:val="auto"/>
        </w:rPr>
        <w:t>, 2002</w:t>
      </w:r>
    </w:p>
    <w:p>
      <w:pPr>
        <w:spacing w:after="0" w:line="200"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THE EXCHANGE OFFER WILL EXPIRE AT 5:00 P.M., NEW YORK</w:t>
      </w:r>
    </w:p>
    <w:p>
      <w:pPr>
        <w:jc w:val="center"/>
        <w:ind w:right="1779"/>
        <w:spacing w:after="0"/>
        <w:tabs>
          <w:tab w:leader="none" w:pos="1680" w:val="left"/>
        </w:tabs>
        <w:rPr>
          <w:sz w:val="20"/>
          <w:szCs w:val="20"/>
          <w:color w:val="auto"/>
        </w:rPr>
      </w:pPr>
      <w:r>
        <w:rPr>
          <w:rFonts w:ascii="Courier New" w:cs="Courier New" w:eastAsia="Courier New" w:hAnsi="Courier New"/>
          <w:sz w:val="18"/>
          <w:szCs w:val="18"/>
          <w:color w:val="auto"/>
        </w:rPr>
        <w:t>CITY TIME, ON</w:t>
      </w:r>
      <w:r>
        <w:rPr>
          <w:sz w:val="20"/>
          <w:szCs w:val="20"/>
          <w:color w:val="auto"/>
        </w:rPr>
        <w:tab/>
      </w:r>
      <w:r>
        <w:rPr>
          <w:rFonts w:ascii="Courier New" w:cs="Courier New" w:eastAsia="Courier New" w:hAnsi="Courier New"/>
          <w:sz w:val="16"/>
          <w:szCs w:val="16"/>
          <w:color w:val="auto"/>
        </w:rPr>
        <w:t>, 2002, UNLESS EXTENDED (SUCH TIME AND DATE, AS</w:t>
      </w:r>
    </w:p>
    <w:p>
      <w:pPr>
        <w:jc w:val="center"/>
        <w:ind w:right="1879"/>
        <w:spacing w:after="0"/>
        <w:rPr>
          <w:sz w:val="20"/>
          <w:szCs w:val="20"/>
          <w:color w:val="auto"/>
        </w:rPr>
      </w:pPr>
      <w:r>
        <w:rPr>
          <w:rFonts w:ascii="Courier New" w:cs="Courier New" w:eastAsia="Courier New" w:hAnsi="Courier New"/>
          <w:sz w:val="18"/>
          <w:szCs w:val="18"/>
          <w:color w:val="auto"/>
        </w:rPr>
        <w:t>THE SAME MAY BE EXTENDED FROM TIME TO TIME, THE "EXPIRATION DATE"). TENDERS</w:t>
      </w:r>
    </w:p>
    <w:p>
      <w:pPr>
        <w:jc w:val="center"/>
        <w:ind w:right="1879"/>
        <w:spacing w:after="0" w:line="237" w:lineRule="auto"/>
        <w:rPr>
          <w:sz w:val="20"/>
          <w:szCs w:val="20"/>
          <w:color w:val="auto"/>
        </w:rPr>
      </w:pPr>
      <w:r>
        <w:rPr>
          <w:rFonts w:ascii="Courier New" w:cs="Courier New" w:eastAsia="Courier New" w:hAnsi="Courier New"/>
          <w:sz w:val="18"/>
          <w:szCs w:val="18"/>
          <w:color w:val="auto"/>
        </w:rPr>
        <w:t>MAY BE WITHDRAWN AT ANY TIME PRIOR THE EXPIRATION DATE.</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Exchange Agent for the Exchange Offer is: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STATE STREET BANK AND TRUST COMPANY</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Registered or Certified Mail or Hand or Overnight Delivery:</w:t>
      </w:r>
    </w:p>
    <w:p>
      <w:pPr>
        <w:ind w:left="2320"/>
        <w:spacing w:after="0" w:line="238" w:lineRule="auto"/>
        <w:rPr>
          <w:sz w:val="20"/>
          <w:szCs w:val="20"/>
          <w:color w:val="auto"/>
        </w:rPr>
      </w:pPr>
      <w:r>
        <w:rPr>
          <w:rFonts w:ascii="Courier New" w:cs="Courier New" w:eastAsia="Courier New" w:hAnsi="Courier New"/>
          <w:sz w:val="18"/>
          <w:szCs w:val="18"/>
          <w:color w:val="auto"/>
        </w:rPr>
        <w:t>State Street Bank and Trust Company</w:t>
      </w:r>
    </w:p>
    <w:p>
      <w:pPr>
        <w:ind w:left="1380"/>
        <w:spacing w:after="0"/>
        <w:rPr>
          <w:sz w:val="20"/>
          <w:szCs w:val="20"/>
          <w:color w:val="auto"/>
        </w:rPr>
      </w:pPr>
      <w:r>
        <w:rPr>
          <w:rFonts w:ascii="Courier New" w:cs="Courier New" w:eastAsia="Courier New" w:hAnsi="Courier New"/>
          <w:sz w:val="18"/>
          <w:szCs w:val="18"/>
          <w:color w:val="auto"/>
        </w:rPr>
        <w:t>Two International Place Fourth Floor Boston, MA 02110</w:t>
      </w:r>
    </w:p>
    <w:p>
      <w:pPr>
        <w:ind w:left="2220"/>
        <w:spacing w:after="0" w:line="237" w:lineRule="auto"/>
        <w:rPr>
          <w:sz w:val="20"/>
          <w:szCs w:val="20"/>
          <w:color w:val="auto"/>
        </w:rPr>
      </w:pPr>
      <w:r>
        <w:rPr>
          <w:rFonts w:ascii="Courier New" w:cs="Courier New" w:eastAsia="Courier New" w:hAnsi="Courier New"/>
          <w:sz w:val="18"/>
          <w:szCs w:val="18"/>
          <w:color w:val="auto"/>
        </w:rPr>
        <w:t>Attention: Corporate Trust Department</w:t>
      </w:r>
    </w:p>
    <w:p>
      <w:pPr>
        <w:ind w:left="960"/>
        <w:spacing w:after="0"/>
        <w:tabs>
          <w:tab w:leader="none" w:pos="7260" w:val="left"/>
        </w:tabs>
        <w:rPr>
          <w:sz w:val="20"/>
          <w:szCs w:val="20"/>
          <w:color w:val="auto"/>
        </w:rPr>
      </w:pPr>
      <w:r>
        <w:rPr>
          <w:rFonts w:ascii="Courier New" w:cs="Courier New" w:eastAsia="Courier New" w:hAnsi="Courier New"/>
          <w:sz w:val="18"/>
          <w:szCs w:val="18"/>
          <w:color w:val="auto"/>
        </w:rPr>
        <w:t>Facsimile Transmissions: (Eligible Institutions Only) [</w:t>
      </w:r>
      <w:r>
        <w:rPr>
          <w:sz w:val="20"/>
          <w:szCs w:val="20"/>
          <w:color w:val="auto"/>
        </w:rPr>
        <w:tab/>
      </w:r>
      <w:r>
        <w:rPr>
          <w:rFonts w:ascii="Courier New" w:cs="Courier New" w:eastAsia="Courier New" w:hAnsi="Courier New"/>
          <w:sz w:val="16"/>
          <w:szCs w:val="16"/>
          <w:color w:val="auto"/>
        </w:rPr>
        <w:t>]</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DELIVERY OF THIS NOTICE OF GUARANTEED DELIVERY TO AN ADDRESS OTHER THAN AS SET FORTH ABOVE OR TRANSMISSION TO A FACSIMILE NUMBER OTHER THAN AS SET FORTH ABOVE WILL NOT CONSTITUTE A VALID DELIVERY.</w:t>
      </w:r>
    </w:p>
    <w:p>
      <w:pPr>
        <w:spacing w:after="0" w:line="209"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THIS NOTICE OF GUARANTEED DELIVERY IS NOT TO BE USED TO GUARANTEE SIGNATURES.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 SIGNATURE ON A LETTER OF TRANSMITTAL IS REQUIRED TO BE GUARANTEED BY AN "ELIGIBLE INSTITUTION" UNDER THE INSTRUCTIONS THERETO, SUCH SIGNATURE GUARANTEE MUST APPEAR IN THE APPLICABLE SPACE PROVIDED IN THE SIGNATURE BOX ON THE LETTER OF TRANSMITTAL.</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6360" w:type="dxa"/>
            <w:vAlign w:val="bottom"/>
          </w:tcPr>
          <w:p>
            <w:pPr>
              <w:spacing w:after="0"/>
              <w:rPr>
                <w:sz w:val="20"/>
                <w:szCs w:val="20"/>
                <w:color w:val="auto"/>
              </w:rPr>
            </w:pPr>
            <w:r>
              <w:rPr>
                <w:rFonts w:ascii="Courier New" w:cs="Courier New" w:eastAsia="Courier New" w:hAnsi="Courier New"/>
                <w:sz w:val="18"/>
                <w:szCs w:val="18"/>
                <w:color w:val="auto"/>
              </w:rPr>
              <w:t>As set forth in the prospectus (the "Prospectus") dated</w:t>
            </w:r>
          </w:p>
        </w:tc>
        <w:tc>
          <w:tcPr>
            <w:tcW w:w="1540" w:type="dxa"/>
            <w:vAlign w:val="bottom"/>
          </w:tcPr>
          <w:p>
            <w:pPr>
              <w:ind w:left="580"/>
              <w:spacing w:after="0"/>
              <w:rPr>
                <w:sz w:val="20"/>
                <w:szCs w:val="20"/>
                <w:color w:val="auto"/>
              </w:rPr>
            </w:pPr>
            <w:r>
              <w:rPr>
                <w:rFonts w:ascii="Courier New" w:cs="Courier New" w:eastAsia="Courier New" w:hAnsi="Courier New"/>
                <w:sz w:val="18"/>
                <w:szCs w:val="18"/>
                <w:color w:val="auto"/>
                <w:w w:val="96"/>
              </w:rPr>
              <w:t>, 2002 of</w:t>
            </w:r>
          </w:p>
        </w:tc>
      </w:tr>
    </w:tbl>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Scotts Company (the "Company") and in the accompanying Letter of Transmittal and instructions thereto (the "Letter of Transmittal"), this form or one substantially equivalent thereto must be used to accept the Company's offer (the "Exchange Offer") to exchange new 8.625% Series B Senior Subordinated Notes due 2009 (the "Exchange Notes") that have been registered under the Securities Act of 1933, as amended (the "Securities Act"), for all of its outstanding 10 5/8% Series A Senior Subordinated Notes due 2009 (the "Original Notes") if the Letter of Transmittal or any other documents required thereby cannot be delivered to the Exchange Agent, or Original Notes cannot be delivered or if the procedures for book-entry transfer cannot be completed prior to the Expiration Date. This form may be delivered by an Eligible Institution (as defined in the Prospectus) by mail or hand delivery or transmitted via facsimile to the Exchange Agent as set forth above. Capitalized terms used but not defined herein shall have the meaning given to them in the Prospectus.</w:t>
      </w:r>
    </w:p>
    <w:p>
      <w:pPr>
        <w:sectPr>
          <w:pgSz w:w="11900" w:h="16838" w:orient="portrait"/>
          <w:cols w:equalWidth="0" w:num="1">
            <w:col w:w="10219"/>
          </w:cols>
          <w:pgMar w:left="240" w:top="542" w:right="1440" w:bottom="1440" w:gutter="0" w:footer="0" w:header="0"/>
        </w:sectPr>
      </w:pPr>
    </w:p>
    <w:bookmarkStart w:id="169" w:name="page170"/>
    <w:bookmarkEnd w:id="169"/>
    <w:p>
      <w:pPr>
        <w:ind w:left="1480"/>
        <w:spacing w:after="0"/>
        <w:rPr>
          <w:sz w:val="20"/>
          <w:szCs w:val="20"/>
          <w:color w:val="auto"/>
        </w:rPr>
      </w:pPr>
      <w:r>
        <w:rPr>
          <w:rFonts w:ascii="Courier New" w:cs="Courier New" w:eastAsia="Courier New" w:hAnsi="Courier New"/>
          <w:sz w:val="18"/>
          <w:szCs w:val="18"/>
          <w:color w:val="auto"/>
        </w:rPr>
        <w:t>PLEASE READ THE ACCOMPANYING INSTRUCTIONS CAREFULLY.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undersigned hereby tenders to the Company upon the terms and subject to the conditions set forth in the Prospectus and the related Letter of Transmittal, receipt of which is hereby acknowledged, the principal amount of Original Notes specified below pursuant to the guaranteed delivery procedures set forth in the section of the Prospectus entitled "The exchange</w:t>
      </w:r>
    </w:p>
    <w:p>
      <w:pPr>
        <w:spacing w:after="0" w:line="6"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offer -- Guaranteed delivery procedures." By so tendering, the undersigned does hereby make, at and as of the date hereof, the representations and warranties of a tendering Holder of Original Notes set forth in the Letter of Transmittal.</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undersigned understands that tenders of Original Notes may be withdrawn if the Exchange Agent receives at one of its addresses specified on the cover of this Notice of Guaranteed Delivery, prior to the Expiration Date, a facsimile transmission or letter which specifies the name of the person who deposited the Original Notes to be withdrawn and the aggregate principal amount of Original Notes delivered for exchange, including the certificate number(s) (if any) of the Original Notes, and which is signed in the same manner as the original signature on the Letter of Transmittal by which the Original Notes were tendered, including any signature guarantees, all in accordance with the procedures set forth in the Prospectus.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authority herein conferred or agreed to be conferred shall survive the death, incapacity, or dissolution of the undersigned and every obligation of the undersigned hereunder shall be binding upon the heirs, personal representatives, successors and assigns of the undersigned.</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hereby tenders the Original Notes listed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Principal Amount Tendered:</w:t>
      </w:r>
    </w:p>
    <w:p>
      <w:pPr>
        <w:ind w:left="220" w:hanging="212"/>
        <w:spacing w:after="0" w:line="238" w:lineRule="auto"/>
        <w:tabs>
          <w:tab w:leader="none" w:pos="220"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Registered Holder(s):</w:t>
      </w:r>
    </w:p>
    <w:p>
      <w:pPr>
        <w:ind w:left="220" w:hanging="212"/>
        <w:spacing w:after="0" w:line="238" w:lineRule="auto"/>
        <w:tabs>
          <w:tab w:leader="none" w:pos="220"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(Please Type or Print)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Certificate Nos.:</w:t>
      </w:r>
    </w:p>
    <w:p>
      <w:pPr>
        <w:spacing w:after="0" w:line="4" w:lineRule="exact"/>
        <w:rPr>
          <w:sz w:val="20"/>
          <w:szCs w:val="20"/>
          <w:color w:val="auto"/>
        </w:rPr>
      </w:pPr>
    </w:p>
    <w:p>
      <w:pPr>
        <w:ind w:left="220" w:hanging="212"/>
        <w:spacing w:after="0"/>
        <w:tabs>
          <w:tab w:leader="none" w:pos="220"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(If available)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Registered Holder(s):</w:t>
      </w:r>
    </w:p>
    <w:p>
      <w:pPr>
        <w:ind w:left="220" w:hanging="212"/>
        <w:spacing w:after="0" w:line="238" w:lineRule="auto"/>
        <w:tabs>
          <w:tab w:leader="none" w:pos="220" w:val="left"/>
        </w:tabs>
        <w:numPr>
          <w:ilvl w:val="0"/>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(Zip Code)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Daytime Area Code and Telephone No.:</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box if Original Notes will be delivered by book-entry transfer and provide account number:</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The Depository Trust Company</w:t>
      </w:r>
    </w:p>
    <w:p>
      <w:pPr>
        <w:ind w:left="540"/>
        <w:spacing w:after="0" w:line="238" w:lineRule="auto"/>
        <w:rPr>
          <w:sz w:val="20"/>
          <w:szCs w:val="20"/>
          <w:color w:val="auto"/>
        </w:rPr>
      </w:pPr>
      <w:r>
        <w:rPr>
          <w:rFonts w:ascii="Courier New" w:cs="Courier New" w:eastAsia="Courier New" w:hAnsi="Courier New"/>
          <w:sz w:val="18"/>
          <w:szCs w:val="18"/>
          <w:color w:val="auto"/>
        </w:rPr>
        <w:t>DTC Book-Entry Account Number:</w:t>
      </w:r>
    </w:p>
    <w:p>
      <w:pPr>
        <w:ind w:left="4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4" w:lineRule="exact"/>
        <w:rPr>
          <w:sz w:val="20"/>
          <w:szCs w:val="20"/>
          <w:color w:val="auto"/>
        </w:rPr>
      </w:pPr>
    </w:p>
    <w:p>
      <w:pPr>
        <w:ind w:left="220" w:hanging="212"/>
        <w:spacing w:after="0"/>
        <w:tabs>
          <w:tab w:leader="none" w:pos="220"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170" w:name="page171"/>
    <w:bookmarkEnd w:id="170"/>
    <w:p>
      <w:pPr>
        <w:jc w:val="center"/>
        <w:ind w:right="1879"/>
        <w:spacing w:after="0"/>
        <w:rPr>
          <w:sz w:val="20"/>
          <w:szCs w:val="20"/>
          <w:color w:val="auto"/>
        </w:rPr>
      </w:pPr>
      <w:r>
        <w:rPr>
          <w:rFonts w:ascii="Courier New" w:cs="Courier New" w:eastAsia="Courier New" w:hAnsi="Courier New"/>
          <w:sz w:val="18"/>
          <w:szCs w:val="18"/>
          <w:color w:val="auto"/>
        </w:rPr>
        <w:t>GUARANTEE OF DELIVERY</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 TO BE USED FOR SIGNATURE GUARANTEE)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undersigned, a participant in a recognized Signature Guarantee Medallion Program, guarantees deposit with the Exchange Agent of the Letter of Transmittal (or facsimile thereof), together with the Original Notes tendered hereby in proper form for transfer, or confirmation of the book-entry transfer of such Original Notes into the Exchange Agent's account at The Depository Trust Company, pursuant to the procedure for book-entry transfer set forth in the Prospectus, and any other required documents, all by 5:00 p.m., New York City time, on the third New York Stock Exchange trading day following the Expiration Date (as defined in the Prospectus).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Firm:</w:t>
      </w:r>
    </w:p>
    <w:p>
      <w:pPr>
        <w:spacing w:after="0" w:line="4" w:lineRule="exact"/>
        <w:rPr>
          <w:sz w:val="20"/>
          <w:szCs w:val="20"/>
          <w:color w:val="auto"/>
        </w:rPr>
      </w:pPr>
    </w:p>
    <w:p>
      <w:pPr>
        <w:ind w:left="220" w:hanging="212"/>
        <w:spacing w:after="0"/>
        <w:tabs>
          <w:tab w:leader="none" w:pos="220"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(Zip Code)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SIGNATURE:</w:t>
      </w:r>
    </w:p>
    <w:p>
      <w:pPr>
        <w:spacing w:after="0" w:line="4" w:lineRule="exact"/>
        <w:rPr>
          <w:sz w:val="20"/>
          <w:szCs w:val="20"/>
          <w:color w:val="auto"/>
        </w:rPr>
      </w:pPr>
    </w:p>
    <w:p>
      <w:pPr>
        <w:ind w:left="220" w:hanging="212"/>
        <w:spacing w:after="0"/>
        <w:tabs>
          <w:tab w:leader="none" w:pos="220"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Type or Print)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220" w:hanging="212"/>
        <w:spacing w:after="0"/>
        <w:tabs>
          <w:tab w:leader="none" w:pos="220"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Daytime Area Code and Telephone No.:</w:t>
      </w:r>
    </w:p>
    <w:p>
      <w:pPr>
        <w:ind w:left="220" w:hanging="212"/>
        <w:spacing w:after="0" w:line="238" w:lineRule="auto"/>
        <w:tabs>
          <w:tab w:leader="none" w:pos="220" w:val="left"/>
        </w:tabs>
        <w:numPr>
          <w:ilvl w:val="0"/>
          <w:numId w:val="2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Dated:</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640" w:right="1779" w:hanging="631"/>
        <w:spacing w:after="0" w:line="237" w:lineRule="auto"/>
        <w:rPr>
          <w:sz w:val="20"/>
          <w:szCs w:val="20"/>
          <w:color w:val="auto"/>
        </w:rPr>
      </w:pPr>
      <w:r>
        <w:rPr>
          <w:rFonts w:ascii="Courier New" w:cs="Courier New" w:eastAsia="Courier New" w:hAnsi="Courier New"/>
          <w:sz w:val="18"/>
          <w:szCs w:val="18"/>
          <w:color w:val="auto"/>
        </w:rPr>
        <w:t>NOTE: DO NOT SEND ORIGINAL NOTES WITH THIS NOTICE OF GUARANTEED DELIVERY. ACTUAL SURRENDER OF ORIGINAL NOTES MUST BE MADE PURSUANT TO, AND BE ACCOMPANIED BY, A PROPERLY COMPLETED AND DULY EXECUTED LETTER OF TRANSMITTAL AND ANY OTHER REQUIRED DOCUMENTS.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171" w:name="page172"/>
    <w:bookmarkEnd w:id="171"/>
    <w:p>
      <w:pPr>
        <w:ind w:left="3045"/>
        <w:spacing w:after="0"/>
        <w:rPr>
          <w:sz w:val="20"/>
          <w:szCs w:val="20"/>
          <w:color w:val="auto"/>
        </w:rPr>
      </w:pPr>
      <w:r>
        <w:rPr>
          <w:rFonts w:ascii="Courier New" w:cs="Courier New" w:eastAsia="Courier New" w:hAnsi="Courier New"/>
          <w:sz w:val="18"/>
          <w:szCs w:val="18"/>
          <w:color w:val="auto"/>
        </w:rPr>
        <w:t>INSTRUCTIONS</w:t>
      </w:r>
    </w:p>
    <w:p>
      <w:pPr>
        <w:spacing w:after="0" w:line="207" w:lineRule="exact"/>
        <w:rPr>
          <w:sz w:val="20"/>
          <w:szCs w:val="20"/>
          <w:color w:val="auto"/>
        </w:rPr>
      </w:pPr>
    </w:p>
    <w:p>
      <w:pPr>
        <w:ind w:left="-535" w:right="1779" w:firstLine="535"/>
        <w:spacing w:after="0" w:line="270" w:lineRule="auto"/>
        <w:tabs>
          <w:tab w:leader="none" w:pos="308"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this Notice of Guaranteed Delivery. A properly completed and duly executed copy of this Notice of Guaranteed Delivery and any other documents required by this Notice of Guaranteed Delivery must be received by the Exchange Agent at one of its addresses set forth on the cover hereof prior to the Expiration Date. The method of delivery of this Notice of Guaranteed Delivery and all other required documents to the Exchange Agent is at the election and risk of the Holder but, except as otherwise provided below, the delivery will be deemed made only when actually received by the Exchange Agent. Instead of delivery by mail, it is recommended that Holders use an overnight or hand delivery service, properly insured. If such delivery is by mail, it is recommended that the Holder use properly insured, registered mail with return receipt requested. For a full description of the guaranteed delivery procedures, see the Prospectus under the caption "The exchange offer -- Guaranteed delivery procedures." In all cases, sufficient time should be allowed to assure timely delivery. No Notice of Guaranteed Delivery should be sent to the Company.</w:t>
      </w:r>
    </w:p>
    <w:p>
      <w:pPr>
        <w:spacing w:after="0" w:line="386" w:lineRule="exact"/>
        <w:rPr>
          <w:rFonts w:ascii="Courier New" w:cs="Courier New" w:eastAsia="Courier New" w:hAnsi="Courier New"/>
          <w:sz w:val="16"/>
          <w:szCs w:val="16"/>
          <w:color w:val="auto"/>
        </w:rPr>
      </w:pPr>
    </w:p>
    <w:p>
      <w:pPr>
        <w:ind w:left="-535" w:right="1779" w:firstLine="535"/>
        <w:spacing w:after="0" w:line="238" w:lineRule="auto"/>
        <w:tabs>
          <w:tab w:leader="none" w:pos="308" w:val="left"/>
        </w:tabs>
        <w:numPr>
          <w:ilvl w:val="0"/>
          <w:numId w:val="2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on this Notice of Guaranteed Delivery; Guarantee of Signatures. If this Notice of Guaranteed Delivery is signed by the Holder(s) referred to herein, then the signature must correspond with the name(s) as written on the face of the Original Notes without alteration, enlargement or any change whatsoever. If this Notice of Guaranteed Delivery is signed by a person other than the Holder(s) listed, this Notice of Guaranteed Delivery must be accompanied by a properly completed bond power signed as the name of the Holder(s) appear(s) on the face of the Original Notes without alteration, enlargement or any change whatsoever. If this Notice of Guaranteed Delivery is signed by a trustee, executor, administrator, guardian, attorney-in-fact, officer of a corporation or other person acting in a fiduciary or representative capacity, such person should so indicate when signing, and, unless waived by the Company, evidence satisfactory to the Company of their authority so to act must be submitted with this Notice of Guaranteed Delivery.</w:t>
      </w:r>
    </w:p>
    <w:p>
      <w:pPr>
        <w:spacing w:after="0" w:line="207" w:lineRule="exact"/>
        <w:rPr>
          <w:rFonts w:ascii="Courier New" w:cs="Courier New" w:eastAsia="Courier New" w:hAnsi="Courier New"/>
          <w:sz w:val="18"/>
          <w:szCs w:val="18"/>
          <w:color w:val="auto"/>
        </w:rPr>
      </w:pPr>
    </w:p>
    <w:p>
      <w:pPr>
        <w:ind w:left="-535" w:right="1779" w:firstLine="535"/>
        <w:spacing w:after="0" w:line="237" w:lineRule="auto"/>
        <w:tabs>
          <w:tab w:leader="none" w:pos="308" w:val="left"/>
        </w:tabs>
        <w:numPr>
          <w:ilvl w:val="0"/>
          <w:numId w:val="2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Requests for Assistance or Additional Copies. Questions relating to the Exchange Offer or the procedure for consenting and tendering as well as requests for assistance or for additional copies of the Prospectus, the Letter of Transmittal and this Notice of Guaranteed Delivery, may be directed to the Exchange Agent at the address set forth on the cover hereof or to your broker, dealer, commercial bank or trust company.</w:t>
      </w:r>
    </w:p>
    <w:p>
      <w:pPr>
        <w:spacing w:after="0" w:line="204" w:lineRule="exact"/>
        <w:rPr>
          <w:sz w:val="20"/>
          <w:szCs w:val="20"/>
          <w:color w:val="auto"/>
        </w:rPr>
      </w:pPr>
    </w:p>
    <w:p>
      <w:pPr>
        <w:ind w:left="3685"/>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684"/>
          </w:cols>
          <w:pgMar w:left="775" w:top="717" w:right="1440" w:bottom="1440" w:gutter="0" w:footer="0" w:header="0"/>
        </w:sectPr>
      </w:pPr>
    </w:p>
    <w:bookmarkStart w:id="172" w:name="page173"/>
    <w:bookmarkEnd w:id="172"/>
    <w:p>
      <w:pPr>
        <w:ind w:left="7180"/>
        <w:spacing w:after="0"/>
        <w:rPr>
          <w:sz w:val="20"/>
          <w:szCs w:val="20"/>
          <w:color w:val="auto"/>
        </w:rPr>
      </w:pPr>
      <w:r>
        <w:rPr>
          <w:rFonts w:ascii="Courier New" w:cs="Courier New" w:eastAsia="Courier New" w:hAnsi="Courier New"/>
          <w:sz w:val="16"/>
          <w:szCs w:val="16"/>
          <w:color w:val="auto"/>
        </w:rPr>
        <w:t>EXHIBIT 99.3</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LETTER TO DTC PARTICIPANTS REGARDING THE OFFER TO EXCHANGE</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ANY AND ALL OUTSTANDING 8.625% SERIES A SENIOR SUBORDINATED NOTES DUE 2009 FOR</w:t>
      </w:r>
    </w:p>
    <w:p>
      <w:pPr>
        <w:ind w:left="1580"/>
        <w:spacing w:after="0"/>
        <w:rPr>
          <w:sz w:val="20"/>
          <w:szCs w:val="20"/>
          <w:color w:val="auto"/>
        </w:rPr>
      </w:pPr>
      <w:r>
        <w:rPr>
          <w:rFonts w:ascii="Courier New" w:cs="Courier New" w:eastAsia="Courier New" w:hAnsi="Courier New"/>
          <w:sz w:val="18"/>
          <w:szCs w:val="18"/>
          <w:color w:val="auto"/>
        </w:rPr>
        <w:t>8.625% SERIES B SENIOR SUBORDINATED NOTES DUE 2009</w:t>
      </w:r>
    </w:p>
    <w:p>
      <w:pPr>
        <w:ind w:left="4120"/>
        <w:spacing w:after="0" w:line="237" w:lineRule="auto"/>
        <w:rPr>
          <w:sz w:val="20"/>
          <w:szCs w:val="20"/>
          <w:color w:val="auto"/>
        </w:rPr>
      </w:pPr>
      <w:r>
        <w:rPr>
          <w:rFonts w:ascii="Courier New" w:cs="Courier New" w:eastAsia="Courier New" w:hAnsi="Courier New"/>
          <w:sz w:val="18"/>
          <w:szCs w:val="18"/>
          <w:color w:val="auto"/>
        </w:rPr>
        <w:t>OF</w:t>
      </w:r>
    </w:p>
    <w:p>
      <w:pPr>
        <w:ind w:left="3280"/>
        <w:spacing w:after="0" w:line="238" w:lineRule="auto"/>
        <w:rPr>
          <w:sz w:val="20"/>
          <w:szCs w:val="20"/>
          <w:color w:val="auto"/>
        </w:rPr>
      </w:pPr>
      <w:r>
        <w:rPr>
          <w:rFonts w:ascii="Courier New" w:cs="Courier New" w:eastAsia="Courier New" w:hAnsi="Courier New"/>
          <w:sz w:val="18"/>
          <w:szCs w:val="18"/>
          <w:color w:val="auto"/>
        </w:rPr>
        <w:t>THE SCOTTS COMPANY</w:t>
      </w:r>
    </w:p>
    <w:p>
      <w:pPr>
        <w:ind w:left="1580"/>
        <w:spacing w:after="0"/>
        <w:tabs>
          <w:tab w:leader="none" w:pos="6100" w:val="left"/>
        </w:tabs>
        <w:rPr>
          <w:sz w:val="20"/>
          <w:szCs w:val="20"/>
          <w:color w:val="auto"/>
        </w:rPr>
      </w:pPr>
      <w:r>
        <w:rPr>
          <w:rFonts w:ascii="Courier New" w:cs="Courier New" w:eastAsia="Courier New" w:hAnsi="Courier New"/>
          <w:sz w:val="18"/>
          <w:szCs w:val="18"/>
          <w:color w:val="auto"/>
        </w:rPr>
        <w:t>PURSUANT TO THE PROSPECTUS DATED</w:t>
      </w:r>
      <w:r>
        <w:rPr>
          <w:sz w:val="20"/>
          <w:szCs w:val="20"/>
          <w:color w:val="auto"/>
        </w:rPr>
        <w:tab/>
      </w:r>
      <w:r>
        <w:rPr>
          <w:rFonts w:ascii="Courier New" w:cs="Courier New" w:eastAsia="Courier New" w:hAnsi="Courier New"/>
          <w:sz w:val="16"/>
          <w:szCs w:val="16"/>
          <w:color w:val="auto"/>
        </w:rPr>
        <w:t>, 2002</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THE EXCHANGE OFFER WILL EXPIRE AT 5:00 P.M., NEW YORK</w:t>
      </w:r>
    </w:p>
    <w:p>
      <w:pPr>
        <w:ind w:left="220"/>
        <w:spacing w:after="0"/>
        <w:tabs>
          <w:tab w:leader="none" w:pos="2720" w:val="left"/>
        </w:tabs>
        <w:rPr>
          <w:sz w:val="20"/>
          <w:szCs w:val="20"/>
          <w:color w:val="auto"/>
        </w:rPr>
      </w:pPr>
      <w:r>
        <w:rPr>
          <w:rFonts w:ascii="Courier New" w:cs="Courier New" w:eastAsia="Courier New" w:hAnsi="Courier New"/>
          <w:sz w:val="18"/>
          <w:szCs w:val="18"/>
          <w:color w:val="auto"/>
        </w:rPr>
        <w:t>CITY TIME, ON</w:t>
      </w:r>
      <w:r>
        <w:rPr>
          <w:sz w:val="20"/>
          <w:szCs w:val="20"/>
          <w:color w:val="auto"/>
        </w:rPr>
        <w:tab/>
      </w:r>
      <w:r>
        <w:rPr>
          <w:rFonts w:ascii="Courier New" w:cs="Courier New" w:eastAsia="Courier New" w:hAnsi="Courier New"/>
          <w:sz w:val="16"/>
          <w:szCs w:val="16"/>
          <w:color w:val="auto"/>
        </w:rPr>
        <w:t>, 2002, UNLESS EXTENDED (SUCH TIME AND DATE, AS THE</w:t>
      </w:r>
    </w:p>
    <w:p>
      <w:pPr>
        <w:ind w:left="860"/>
        <w:spacing w:after="0"/>
        <w:rPr>
          <w:sz w:val="20"/>
          <w:szCs w:val="20"/>
          <w:color w:val="auto"/>
        </w:rPr>
      </w:pPr>
      <w:r>
        <w:rPr>
          <w:rFonts w:ascii="Courier New" w:cs="Courier New" w:eastAsia="Courier New" w:hAnsi="Courier New"/>
          <w:sz w:val="18"/>
          <w:szCs w:val="18"/>
          <w:color w:val="auto"/>
        </w:rPr>
        <w:t>SAME MAY BE EXTENDED FROM TIME TO TIME, THE "EXPIRATION DATE").</w:t>
      </w:r>
    </w:p>
    <w:p>
      <w:pPr>
        <w:ind w:left="860"/>
        <w:spacing w:after="0" w:line="237" w:lineRule="auto"/>
        <w:rPr>
          <w:sz w:val="20"/>
          <w:szCs w:val="20"/>
          <w:color w:val="auto"/>
        </w:rPr>
      </w:pPr>
      <w:r>
        <w:rPr>
          <w:rFonts w:ascii="Courier New" w:cs="Courier New" w:eastAsia="Courier New" w:hAnsi="Courier New"/>
          <w:sz w:val="18"/>
          <w:szCs w:val="18"/>
          <w:color w:val="auto"/>
        </w:rPr>
        <w:t>TENDERS MAY BE WITHDRAWN AT ANY TIME PRIOR THE EXPIRATION DATE.</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SECURITIES DEALERS, COMMERCIAL BANKS TRUST COMPANIES AND OTHER NOMINEES: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gridSpan w:val="3"/>
          </w:tcPr>
          <w:p>
            <w:pPr>
              <w:ind w:left="540"/>
              <w:spacing w:after="0"/>
              <w:rPr>
                <w:sz w:val="20"/>
                <w:szCs w:val="20"/>
                <w:color w:val="auto"/>
              </w:rPr>
            </w:pPr>
            <w:r>
              <w:rPr>
                <w:rFonts w:ascii="Courier New" w:cs="Courier New" w:eastAsia="Courier New" w:hAnsi="Courier New"/>
                <w:sz w:val="18"/>
                <w:szCs w:val="18"/>
                <w:color w:val="auto"/>
                <w:w w:val="98"/>
              </w:rPr>
              <w:t>Enclosed for your consideration is a</w:t>
            </w:r>
          </w:p>
        </w:tc>
        <w:tc>
          <w:tcPr>
            <w:tcW w:w="2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Prospectus dated</w:t>
            </w:r>
          </w:p>
        </w:tc>
        <w:tc>
          <w:tcPr>
            <w:tcW w:w="1740" w:type="dxa"/>
            <w:vAlign w:val="bottom"/>
          </w:tcPr>
          <w:p>
            <w:pPr>
              <w:ind w:left="580"/>
              <w:spacing w:after="0"/>
              <w:rPr>
                <w:sz w:val="20"/>
                <w:szCs w:val="20"/>
                <w:color w:val="auto"/>
              </w:rPr>
            </w:pPr>
            <w:r>
              <w:rPr>
                <w:rFonts w:ascii="Courier New" w:cs="Courier New" w:eastAsia="Courier New" w:hAnsi="Courier New"/>
                <w:sz w:val="18"/>
                <w:szCs w:val="18"/>
                <w:color w:val="auto"/>
                <w:w w:val="95"/>
              </w:rPr>
              <w:t>, 2002 (the</w:t>
            </w:r>
          </w:p>
        </w:tc>
      </w:tr>
      <w:tr>
        <w:trPr>
          <w:trHeight w:val="203"/>
        </w:trPr>
        <w:tc>
          <w:tcPr>
            <w:tcW w:w="4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"Prospectus") and a Letter of Transmittal</w:t>
            </w:r>
          </w:p>
        </w:tc>
        <w:tc>
          <w:tcPr>
            <w:tcW w:w="40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"Letter of Transmittal") that</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together constitute the</w:t>
            </w:r>
          </w:p>
        </w:tc>
        <w:tc>
          <w:tcPr>
            <w:tcW w:w="596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offer (the "Exchange Offer") by The Scotts Company, an</w:t>
            </w:r>
          </w:p>
        </w:tc>
      </w:tr>
      <w:tr>
        <w:trPr>
          <w:trHeight w:val="203"/>
        </w:trPr>
        <w:tc>
          <w:tcPr>
            <w:tcW w:w="5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Ohio corporation (the "Company"), to exchange up to</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$70,000,000 in principal</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amount of its 8.625% Series</w:t>
            </w:r>
          </w:p>
        </w:tc>
        <w:tc>
          <w:tcPr>
            <w:tcW w:w="55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9"/>
              </w:rPr>
              <w:t>B Senior Subordinated Notes due 2009 (the "Exchange</w:t>
            </w:r>
          </w:p>
        </w:tc>
      </w:tr>
      <w:tr>
        <w:trPr>
          <w:trHeight w:val="203"/>
        </w:trPr>
        <w:tc>
          <w:tcPr>
            <w:tcW w:w="4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Notes"), which have been registered under</w:t>
            </w:r>
          </w:p>
        </w:tc>
        <w:tc>
          <w:tcPr>
            <w:tcW w:w="40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the Securities Act of 1933, as amended</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 "Securities Act"),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w:t>
            </w:r>
          </w:p>
        </w:tc>
        <w:tc>
          <w:tcPr>
            <w:tcW w:w="2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any and all outstanding</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8.625% Series A Senior</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Subordinated Notes due 2007</w:t>
            </w:r>
          </w:p>
        </w:tc>
        <w:tc>
          <w:tcPr>
            <w:tcW w:w="2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(the "Original Notes"),</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upon the terms and</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conditions set forth in</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55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7"/>
              </w:rPr>
              <w:t>Prospectus. The Prospectus and Letter of Transmittal</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more fully describe the</w:t>
            </w:r>
          </w:p>
        </w:tc>
        <w:tc>
          <w:tcPr>
            <w:tcW w:w="29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Exchange Offer. Capitalized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terms used but not defined</w:t>
            </w:r>
          </w:p>
        </w:tc>
      </w:tr>
      <w:tr>
        <w:trPr>
          <w:trHeight w:val="203"/>
        </w:trPr>
        <w:tc>
          <w:tcPr>
            <w:tcW w:w="4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herein have the meanings given to them in</w:t>
            </w:r>
          </w:p>
        </w:tc>
        <w:tc>
          <w:tcPr>
            <w:tcW w:w="2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Prospectus.</w:t>
            </w:r>
          </w:p>
        </w:tc>
        <w:tc>
          <w:tcPr>
            <w:tcW w:w="1740" w:type="dxa"/>
            <w:vAlign w:val="bottom"/>
          </w:tcPr>
          <w:p>
            <w:pPr>
              <w:spacing w:after="0"/>
              <w:rPr>
                <w:sz w:val="17"/>
                <w:szCs w:val="17"/>
                <w:color w:val="auto"/>
              </w:rPr>
            </w:pPr>
          </w:p>
        </w:tc>
      </w:tr>
    </w:tbl>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are asking you to contact your clients for whom you hold Original Notes registered in your name or in the name of your nominee. In addition, we ask you to contact your clients who, to your knowledge, hold Original Notes registered in their own name.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Enclosed are copies of the following documents:</w:t>
      </w:r>
    </w:p>
    <w:p>
      <w:pPr>
        <w:spacing w:after="0" w:line="201" w:lineRule="exact"/>
        <w:rPr>
          <w:sz w:val="20"/>
          <w:szCs w:val="20"/>
          <w:color w:val="auto"/>
        </w:rPr>
      </w:pPr>
    </w:p>
    <w:p>
      <w:pPr>
        <w:ind w:left="1060" w:hanging="315"/>
        <w:spacing w:after="0"/>
        <w:tabs>
          <w:tab w:leader="none" w:pos="1060" w:val="left"/>
        </w:tabs>
        <w:numPr>
          <w:ilvl w:val="0"/>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Prospectus;</w:t>
      </w:r>
    </w:p>
    <w:p>
      <w:pPr>
        <w:spacing w:after="0" w:line="206" w:lineRule="exact"/>
        <w:rPr>
          <w:rFonts w:ascii="Courier New" w:cs="Courier New" w:eastAsia="Courier New" w:hAnsi="Courier New"/>
          <w:sz w:val="18"/>
          <w:szCs w:val="18"/>
          <w:color w:val="auto"/>
        </w:rPr>
      </w:pPr>
    </w:p>
    <w:p>
      <w:pPr>
        <w:ind w:left="740" w:right="1999" w:firstLine="5"/>
        <w:spacing w:after="0" w:line="235" w:lineRule="auto"/>
        <w:tabs>
          <w:tab w:leader="none" w:pos="1056" w:val="left"/>
        </w:tabs>
        <w:numPr>
          <w:ilvl w:val="0"/>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Letter of Transmittal for your use in connection with the tender of Original Notes and for the information of your clients;</w:t>
      </w:r>
    </w:p>
    <w:p>
      <w:pPr>
        <w:spacing w:after="0" w:line="208" w:lineRule="exact"/>
        <w:rPr>
          <w:rFonts w:ascii="Courier New" w:cs="Courier New" w:eastAsia="Courier New" w:hAnsi="Courier New"/>
          <w:sz w:val="18"/>
          <w:szCs w:val="18"/>
          <w:color w:val="auto"/>
        </w:rPr>
      </w:pPr>
    </w:p>
    <w:p>
      <w:pPr>
        <w:jc w:val="both"/>
        <w:ind w:left="740" w:right="2099" w:firstLine="5"/>
        <w:spacing w:after="0" w:line="279" w:lineRule="auto"/>
        <w:tabs>
          <w:tab w:leader="none" w:pos="1056"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Notice of Guaranteed Delivery to be used to accept the Exchange Offer if the Original Notes and all other required documents cannot be delivered to the Exchange Agent prior to the Expiration Date;</w:t>
      </w:r>
    </w:p>
    <w:p>
      <w:pPr>
        <w:spacing w:after="0" w:line="178" w:lineRule="exact"/>
        <w:rPr>
          <w:rFonts w:ascii="Courier New" w:cs="Courier New" w:eastAsia="Courier New" w:hAnsi="Courier New"/>
          <w:sz w:val="16"/>
          <w:szCs w:val="16"/>
          <w:color w:val="auto"/>
        </w:rPr>
      </w:pPr>
    </w:p>
    <w:p>
      <w:pPr>
        <w:ind w:left="740" w:right="1779" w:firstLine="5"/>
        <w:spacing w:after="0" w:line="237" w:lineRule="auto"/>
        <w:tabs>
          <w:tab w:leader="none" w:pos="1056" w:val="left"/>
        </w:tabs>
        <w:numPr>
          <w:ilvl w:val="0"/>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form of letter that may be sent to your clients for whose accounts you hold Original Notes registered in your name or the name of your nominee, with space provided for obtaining the clients' instructions with regard to the Exchange Offer; and</w:t>
      </w:r>
    </w:p>
    <w:p>
      <w:pPr>
        <w:spacing w:after="0" w:line="207" w:lineRule="exact"/>
        <w:rPr>
          <w:rFonts w:ascii="Courier New" w:cs="Courier New" w:eastAsia="Courier New" w:hAnsi="Courier New"/>
          <w:sz w:val="18"/>
          <w:szCs w:val="18"/>
          <w:color w:val="auto"/>
        </w:rPr>
      </w:pPr>
    </w:p>
    <w:p>
      <w:pPr>
        <w:ind w:left="740" w:right="2319" w:firstLine="5"/>
        <w:spacing w:after="0" w:line="235" w:lineRule="auto"/>
        <w:tabs>
          <w:tab w:leader="none" w:pos="1056" w:val="left"/>
        </w:tabs>
        <w:numPr>
          <w:ilvl w:val="0"/>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Guidelines for Certification of Taxpayer Identification Number on Substitute Form W-9.</w:t>
      </w:r>
    </w:p>
    <w:p>
      <w:pPr>
        <w:spacing w:after="0" w:line="20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DTC participants will be able to execute tenders through the DTC Automated Tender Offer Program.</w:t>
      </w:r>
    </w:p>
    <w:p>
      <w:pPr>
        <w:sectPr>
          <w:pgSz w:w="11900" w:h="16838" w:orient="portrait"/>
          <w:cols w:equalWidth="0" w:num="1">
            <w:col w:w="10219"/>
          </w:cols>
          <w:pgMar w:left="240" w:top="547" w:right="1440" w:bottom="1440" w:gutter="0" w:footer="0" w:header="0"/>
        </w:sectPr>
      </w:pPr>
    </w:p>
    <w:bookmarkStart w:id="173" w:name="page174"/>
    <w:bookmarkEnd w:id="173"/>
    <w:p>
      <w:pPr>
        <w:ind w:left="540"/>
        <w:spacing w:after="0"/>
        <w:rPr>
          <w:sz w:val="20"/>
          <w:szCs w:val="20"/>
          <w:color w:val="auto"/>
        </w:rPr>
      </w:pPr>
      <w:r>
        <w:rPr>
          <w:rFonts w:ascii="Courier New" w:cs="Courier New" w:eastAsia="Courier New" w:hAnsi="Courier New"/>
          <w:sz w:val="16"/>
          <w:szCs w:val="16"/>
          <w:color w:val="auto"/>
        </w:rPr>
        <w:t>PLEASE NOTE THAT THE EXCHANGE OFFER WILL EXPIRE AT 5:00 P.M., NEW YORK CITY</w:t>
      </w:r>
    </w:p>
    <w:p>
      <w:pPr>
        <w:spacing w:after="0" w:line="21"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TIME, ON , 2002, UNLESS EXTENDED BY THE COMPANY. WE URGE YOU TO CONTACT YOUR CLIENTS AS PROMPTLY AS POSSIBLE.</w:t>
      </w:r>
    </w:p>
    <w:p>
      <w:pPr>
        <w:spacing w:after="0" w:line="208" w:lineRule="exact"/>
        <w:rPr>
          <w:sz w:val="20"/>
          <w:szCs w:val="20"/>
          <w:color w:val="auto"/>
        </w:rPr>
      </w:pPr>
    </w:p>
    <w:p>
      <w:pPr>
        <w:jc w:val="both"/>
        <w:ind w:right="2099" w:firstLine="527"/>
        <w:spacing w:after="0" w:line="275" w:lineRule="auto"/>
        <w:rPr>
          <w:sz w:val="20"/>
          <w:szCs w:val="20"/>
          <w:color w:val="auto"/>
        </w:rPr>
      </w:pPr>
      <w:r>
        <w:rPr>
          <w:rFonts w:ascii="Courier New" w:cs="Courier New" w:eastAsia="Courier New" w:hAnsi="Courier New"/>
          <w:sz w:val="16"/>
          <w:szCs w:val="16"/>
          <w:color w:val="auto"/>
        </w:rPr>
        <w:t>You will be reimbursed by the Company for customary mailing and handling expenses incurred by you in forwarding any of the enclosed materials to your clients. Additional copies of the enclosed material may be obtained form the Exchange Agent, at the address and telephone numbers set forth below.</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STATE STREET BANK AND TRUST COMPANY</w:t>
      </w:r>
    </w:p>
    <w:p>
      <w:pPr>
        <w:jc w:val="center"/>
        <w:ind w:right="1879"/>
        <w:spacing w:after="0" w:line="238" w:lineRule="auto"/>
        <w:rPr>
          <w:sz w:val="20"/>
          <w:szCs w:val="20"/>
          <w:color w:val="auto"/>
        </w:rPr>
      </w:pPr>
      <w:r>
        <w:rPr>
          <w:rFonts w:ascii="Courier New" w:cs="Courier New" w:eastAsia="Courier New" w:hAnsi="Courier New"/>
          <w:sz w:val="18"/>
          <w:szCs w:val="18"/>
          <w:color w:val="auto"/>
        </w:rPr>
        <w:t>TWO INTERNATIONAL PLACE FOURTH FLOOR BOSTON, MA 02110</w:t>
      </w:r>
    </w:p>
    <w:p>
      <w:pPr>
        <w:jc w:val="center"/>
        <w:ind w:right="1779"/>
        <w:spacing w:after="0"/>
        <w:rPr>
          <w:sz w:val="20"/>
          <w:szCs w:val="20"/>
          <w:color w:val="auto"/>
        </w:rPr>
      </w:pPr>
      <w:r>
        <w:rPr>
          <w:rFonts w:ascii="Courier New" w:cs="Courier New" w:eastAsia="Courier New" w:hAnsi="Courier New"/>
          <w:sz w:val="18"/>
          <w:szCs w:val="18"/>
          <w:color w:val="auto"/>
        </w:rPr>
        <w:t>ATTENTION:</w:t>
      </w:r>
    </w:p>
    <w:p>
      <w:pPr>
        <w:jc w:val="center"/>
        <w:ind w:right="1779"/>
        <w:spacing w:after="0" w:line="237" w:lineRule="auto"/>
        <w:rPr>
          <w:sz w:val="20"/>
          <w:szCs w:val="20"/>
          <w:color w:val="auto"/>
        </w:rPr>
      </w:pPr>
      <w:r>
        <w:rPr>
          <w:rFonts w:ascii="Courier New" w:cs="Courier New" w:eastAsia="Courier New" w:hAnsi="Courier New"/>
          <w:sz w:val="18"/>
          <w:szCs w:val="18"/>
          <w:color w:val="auto"/>
        </w:rPr>
        <w:t>(XXX) XXX-XXXX</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NOTHING HEREIN OR IN THE ENCLOSED DOCUMENTS SHALL CONSTITUTE YOU OR ANY PERSON AS AN AGENT OF THE COMPANY OR THE EXCHANGE AGENT, OR AUTHORIZE YOU OR ANY OTHER PERSON TO MAKE ANY STATEMENTS ON BEHALF OF EITHER OF THEM WITH RESPECT TO THE EXCHANGE OFFER, EXCEPT FOR STATEMENTS EXPRESSLY MADE IN THE PROSPECTUS AND THE LETTER OF TRANSMITTAL.</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174" w:name="page175"/>
    <w:bookmarkEnd w:id="174"/>
    <w:p>
      <w:pPr>
        <w:ind w:left="7180"/>
        <w:spacing w:after="0"/>
        <w:rPr>
          <w:sz w:val="20"/>
          <w:szCs w:val="20"/>
          <w:color w:val="auto"/>
        </w:rPr>
      </w:pPr>
      <w:r>
        <w:rPr>
          <w:rFonts w:ascii="Courier New" w:cs="Courier New" w:eastAsia="Courier New" w:hAnsi="Courier New"/>
          <w:sz w:val="16"/>
          <w:szCs w:val="16"/>
          <w:color w:val="auto"/>
        </w:rPr>
        <w:t>EXHIBIT 99.4</w:t>
      </w:r>
    </w:p>
    <w:p>
      <w:pPr>
        <w:spacing w:after="0" w:line="224" w:lineRule="exact"/>
        <w:rPr>
          <w:sz w:val="20"/>
          <w:szCs w:val="20"/>
          <w:color w:val="auto"/>
        </w:rPr>
      </w:pPr>
    </w:p>
    <w:p>
      <w:pPr>
        <w:jc w:val="center"/>
        <w:ind w:left="260" w:right="100"/>
        <w:spacing w:after="0" w:line="236" w:lineRule="auto"/>
        <w:rPr>
          <w:sz w:val="20"/>
          <w:szCs w:val="20"/>
          <w:color w:val="auto"/>
        </w:rPr>
      </w:pPr>
      <w:r>
        <w:rPr>
          <w:rFonts w:ascii="Courier New" w:cs="Courier New" w:eastAsia="Courier New" w:hAnsi="Courier New"/>
          <w:sz w:val="18"/>
          <w:szCs w:val="18"/>
          <w:color w:val="auto"/>
        </w:rPr>
        <w:t>LETTER TO BENEFICIAL HOLDERS REGARDING THE OFFER TO EXCHANGE ANY AND ALL OUTSTANDING 8.625% SERIES A SENIOR SUBORDINATED NOTES DUE 2009 FOR 8.625% SERIES B SENIOR SUBORDINATED NOTES DUE 2009</w:t>
      </w:r>
    </w:p>
    <w:p>
      <w:pPr>
        <w:spacing w:after="0" w:line="1"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SCOTTS</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w:t>
            </w:r>
          </w:p>
        </w:tc>
        <w:tc>
          <w:tcPr>
            <w:tcW w:w="1100" w:type="dxa"/>
            <w:vAlign w:val="bottom"/>
          </w:tcPr>
          <w:p>
            <w:pPr>
              <w:spacing w:after="0"/>
              <w:rPr>
                <w:sz w:val="17"/>
                <w:szCs w:val="17"/>
                <w:color w:val="auto"/>
              </w:rPr>
            </w:pPr>
          </w:p>
        </w:tc>
      </w:tr>
      <w:tr>
        <w:trPr>
          <w:trHeight w:val="203"/>
        </w:trPr>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PURSUANT TO THE PROSPECTUS</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2002</w:t>
            </w:r>
          </w:p>
        </w:tc>
      </w:tr>
    </w:tbl>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EXCHANGE OFFER WILL EXPIRE AT 5:00 P.M., NEW YORK CITY TIME, ON , 2002, UNLESS EXTENDED (SUCH TIME AND DATE, AS THE SAME MAY BE EXTENDED FROM TIME TO TIME, THE "EXPIRATION DATE"). TENDERS MAY BE WITHDRAWN AT ANY TIME PRIOR THE</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EXPIRATION DATE.</w:t>
      </w:r>
    </w:p>
    <w:p>
      <w:pPr>
        <w:spacing w:after="0" w:line="207" w:lineRule="exact"/>
        <w:rPr>
          <w:sz w:val="20"/>
          <w:szCs w:val="20"/>
          <w:color w:val="auto"/>
        </w:rPr>
      </w:pPr>
    </w:p>
    <w:p>
      <w:pPr>
        <w:ind w:left="7800"/>
        <w:spacing w:after="0"/>
        <w:rPr>
          <w:sz w:val="20"/>
          <w:szCs w:val="20"/>
          <w:color w:val="auto"/>
        </w:rPr>
      </w:pPr>
      <w:r>
        <w:rPr>
          <w:rFonts w:ascii="Courier New" w:cs="Courier New" w:eastAsia="Courier New" w:hAnsi="Courier New"/>
          <w:sz w:val="16"/>
          <w:szCs w:val="16"/>
          <w:color w:val="auto"/>
        </w:rPr>
        <w:t>, 2002</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OUR CLIENTS: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Enclosed for your consideration is a Prospectus dated , 2002 (the "Prospectus") and a Letter of Transmittal (the "Letter of Transmittal") that</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together constitute the offer (the "Exchange Offer") by The Scotts Company, an Ohio corporation (the "Company"), to exchange up to $70,000,000 in principal amount of its 8.625% Series B Senior Subordinated Notes due 2009 (the "Exchange Notes"), which have been registered under the Securities Act of 1933, as amended (the "Securities Act"), for any and all outstanding 8.625% Series A Senior Subordinated Notes due 2009 (the "Original Notes"), upon the terms and conditions set forth in the Prospectus. The Prospectus and Letter of Transmittal more fully describe the Exchange Offer. Capitalized terms used but not defined herein have the meanings given to them in the Prospectus.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These materials are being forwarded to you as the beneficial owner of Original Notes carried by us for your account or benefit but not registered in your name. A tender of any Original Notes may be made only by us as the registered holder and pursuant to your instructions. Therefore, the Company urges beneficial owners of Original Notes registered in the name of a broker, dealer, commercial bank, trust company or other nominee to contact such registered holder promptly if they wish to tender Original Notes in the Exchange Offer.</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Accordingly, we request instructions as to whether you wish us to tender any or all of your Original Notes, pursuant to the terms and conditions set forth in the Prospectus and Letter of Transmittal. We urge you to read carefully the Prospectus and Letter of Transmittal before instructing us to tender your Original Notes.</w:t>
      </w:r>
    </w:p>
    <w:p>
      <w:pPr>
        <w:spacing w:after="0" w:line="209"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Your instructions to us should be forwarded as promptly as possible in order to permit us to tender Original Notes on your behalf in accordance with the provisions of the Exchange Offer. THE EXCHANGE OFFER WILL EXPIRE AT 5:00</w:t>
      </w:r>
    </w:p>
    <w:p>
      <w:pPr>
        <w:spacing w:after="0" w:line="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P.M., NEW YORK CITY TIME, ON , 2002. Original Notes tendered pursuant to the Exchange Offer may be withdrawn, subject to the procedures described in the Prospectus, at any time prior to the Expiration Date.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you wish to have us tender any or all of your Original Notes held by us for your account or benefit, please so instruct us by completing, executing and returning to us the instruction form that appears below. The accompanying Letter of Transmittal is furnished to you for informational purposes only and may not be used by you to tender Original Notes held by us and registered in our name for your account or benefit.</w:t>
      </w:r>
    </w:p>
    <w:p>
      <w:pPr>
        <w:sectPr>
          <w:pgSz w:w="11900" w:h="16838" w:orient="portrait"/>
          <w:cols w:equalWidth="0" w:num="1">
            <w:col w:w="10219"/>
          </w:cols>
          <w:pgMar w:left="240" w:top="547" w:right="1440" w:bottom="1440" w:gutter="0" w:footer="0" w:header="0"/>
        </w:sectPr>
      </w:pPr>
    </w:p>
    <w:bookmarkStart w:id="175" w:name="page176"/>
    <w:bookmarkEnd w:id="175"/>
    <w:p>
      <w:pPr>
        <w:ind w:left="1380"/>
        <w:spacing w:after="0"/>
        <w:rPr>
          <w:sz w:val="20"/>
          <w:szCs w:val="20"/>
          <w:color w:val="auto"/>
        </w:rPr>
      </w:pPr>
      <w:r>
        <w:rPr>
          <w:rFonts w:ascii="Courier New" w:cs="Courier New" w:eastAsia="Courier New" w:hAnsi="Courier New"/>
          <w:sz w:val="18"/>
          <w:szCs w:val="18"/>
          <w:color w:val="auto"/>
        </w:rPr>
        <w:t>INSTRUCTION TO REGISTERED HOLDER FROM BENEFICIAL OWNER</w:t>
      </w:r>
    </w:p>
    <w:p>
      <w:pPr>
        <w:ind w:left="1380"/>
        <w:spacing w:after="0" w:line="238" w:lineRule="auto"/>
        <w:rPr>
          <w:sz w:val="20"/>
          <w:szCs w:val="20"/>
          <w:color w:val="auto"/>
        </w:rPr>
      </w:pPr>
      <w:r>
        <w:rPr>
          <w:rFonts w:ascii="Courier New" w:cs="Courier New" w:eastAsia="Courier New" w:hAnsi="Courier New"/>
          <w:sz w:val="18"/>
          <w:szCs w:val="18"/>
          <w:color w:val="auto"/>
        </w:rPr>
        <w:t>OF 8.625% SERIES A SENIOR SUBORDINATED NOTES DUE 2009</w:t>
      </w:r>
    </w:p>
    <w:p>
      <w:pPr>
        <w:ind w:left="3060"/>
        <w:spacing w:after="0"/>
        <w:rPr>
          <w:sz w:val="20"/>
          <w:szCs w:val="20"/>
          <w:color w:val="auto"/>
        </w:rPr>
      </w:pPr>
      <w:r>
        <w:rPr>
          <w:rFonts w:ascii="Courier New" w:cs="Courier New" w:eastAsia="Courier New" w:hAnsi="Courier New"/>
          <w:sz w:val="18"/>
          <w:szCs w:val="18"/>
          <w:color w:val="auto"/>
        </w:rPr>
        <w:t>OF THE SCOTTS COMPANY</w:t>
      </w:r>
    </w:p>
    <w:p>
      <w:pPr>
        <w:spacing w:after="0" w:line="20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undersigned acknowledge(s) receipt of your letter and the enclosed materials referred to therein relating to the Exchange Offer of the Company. Capitalized terms used but not defined herein have the meanings ascribed to them in the Prospectus. This will instruct you to tender the principal amount of Original Notes indicated below held by you for the account or benefit of the undersigned, pursuant to the terms of and conditions set forth in the Prospectus and the Letter of Transmittal.</w:t>
      </w:r>
    </w:p>
    <w:p>
      <w:pPr>
        <w:spacing w:after="0" w:line="211"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aggregate face amount of the Original Notes held by you for the account of the undersigned is (fill in amount): $</w:t>
      </w:r>
    </w:p>
    <w:p>
      <w:pPr>
        <w:ind w:left="432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With respect to the Exchange Offer, the undersigned hereby instructs you (check appropriate box):</w:t>
      </w:r>
    </w:p>
    <w:p>
      <w:pPr>
        <w:spacing w:after="0" w:line="208" w:lineRule="exact"/>
        <w:rPr>
          <w:sz w:val="20"/>
          <w:szCs w:val="20"/>
          <w:color w:val="auto"/>
        </w:rPr>
      </w:pPr>
    </w:p>
    <w:p>
      <w:pPr>
        <w:ind w:left="540" w:right="1999" w:hanging="532"/>
        <w:spacing w:after="0" w:line="236" w:lineRule="auto"/>
        <w:tabs>
          <w:tab w:leader="none" w:pos="224" w:val="left"/>
        </w:tabs>
        <w:numPr>
          <w:ilvl w:val="0"/>
          <w:numId w:val="2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To TENDER the following Original Notes held by you for the account of the undersigned (insert principal amount of Original Notes to be tendered, if any): $</w:t>
      </w:r>
    </w:p>
    <w:p>
      <w:pPr>
        <w:spacing w:after="0" w:line="1" w:lineRule="exact"/>
        <w:rPr>
          <w:rFonts w:ascii="Courier New" w:cs="Courier New" w:eastAsia="Courier New" w:hAnsi="Courier New"/>
          <w:sz w:val="18"/>
          <w:szCs w:val="18"/>
          <w:color w:val="auto"/>
        </w:rPr>
      </w:pP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2619" w:hanging="532"/>
        <w:spacing w:after="0" w:line="235" w:lineRule="auto"/>
        <w:tabs>
          <w:tab w:leader="none" w:pos="224" w:val="left"/>
        </w:tabs>
        <w:numPr>
          <w:ilvl w:val="0"/>
          <w:numId w:val="2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NOT to TENDER any Original Notes held by you for the account of the undersigned.</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If the undersigned instructs you to tender the Original Notes held by you for the account of the undersigned, it is understood that you are authorized (a) to make, on behalf of the undersigned (and the undersigned, by its signature below, hereby makes to you), the representations and warranties contained in the Letter of Transmittal that are to be made with respect to the undersigned as a beneficial owner of the Original Notes, including but not limited to the representations that (i) the undersigned's principal residence is in the state</w:t>
      </w:r>
    </w:p>
    <w:p>
      <w:pPr>
        <w:spacing w:after="0" w:line="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of (fill in state) , (ii) the undersigned is acquiring the Exchange Notes in the ordinary course of business of the undersigned, (iii) the undersigned has no arrangement or understanding with any person to participate in the distribution of Exchange Notes, (iv) the undersigned acknowledges that any person who is a broker-dealer registered under the Exchange Act or is participating in the Exchange Offer for the purpose of distributing the Exchange Notes must comply with the registration and prospectus delivery requirements of Section 10 of the Securities Act in connection with a secondary resale transaction of the Exchange Notes acquired by such person and cannot rely on the position of the Staff of the Securities and Exchange Commission set forth in certain no action letters (See the section of the Prospectus entitled "The exchange offer -- Resale of the exchange notes"), (v) the undersigned understands that a secondary resale transaction described in clause (iv) above and any resales of Exchange Notes obtained by the undersigned in exchange for the Original Notes acquired by the undersigned directly from the Company should be covered by an effective registration statement containing the selling securityholder information required by Item 507 or Item 508, if applicable, of Regulation S-K of the Commission, (vi) the undersigned is not an "affiliate," as defined in Rule 405 under the Securities Act, of the Company, and (vii) if the undersigned is a broker-dealer that will receive Exchange Notes for its own account in exchange for Original Notes that were acquired as a result of market-making activities or other trading activities, it acknowledges that it will deliver a prospectus meeting the requirements of Section 10 of the Securities Act in connection with any resale of such Exchange Notes; however, by so acknowledging and by delivering such prospectus, the undersigned will not be deemed to admit that it is an "underwriter" within the meaning of the Securities Act; (b) to agree, on behalf of the undersigned, as set forth in the Letter of Transmittal; and (c) to take such other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176" w:name="page177"/>
    <w:bookmarkEnd w:id="176"/>
    <w:p>
      <w:pPr>
        <w:ind w:right="1879"/>
        <w:spacing w:after="0" w:line="235" w:lineRule="auto"/>
        <w:rPr>
          <w:sz w:val="20"/>
          <w:szCs w:val="20"/>
          <w:color w:val="auto"/>
        </w:rPr>
      </w:pPr>
      <w:r>
        <w:rPr>
          <w:rFonts w:ascii="Courier New" w:cs="Courier New" w:eastAsia="Courier New" w:hAnsi="Courier New"/>
          <w:sz w:val="18"/>
          <w:szCs w:val="18"/>
          <w:color w:val="auto"/>
        </w:rPr>
        <w:t>action as necessary under the Prospectus or the Letter of Transmittal to effect the valid tender of Original Notes.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purchaser status of the undersigned is (check the box that applies):</w:t>
      </w:r>
    </w:p>
    <w:p>
      <w:pPr>
        <w:spacing w:after="0" w:line="207" w:lineRule="exact"/>
        <w:rPr>
          <w:sz w:val="20"/>
          <w:szCs w:val="20"/>
          <w:color w:val="auto"/>
        </w:rPr>
      </w:pPr>
    </w:p>
    <w:p>
      <w:pPr>
        <w:ind w:left="540" w:right="2519" w:hanging="532"/>
        <w:spacing w:after="0" w:line="235" w:lineRule="auto"/>
        <w:tabs>
          <w:tab w:leader="none" w:pos="224" w:val="left"/>
        </w:tabs>
        <w:numPr>
          <w:ilvl w:val="0"/>
          <w:numId w:val="2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"Qualified Institutional Buyer" (as defined in Rule 144A under the Securities Act)</w:t>
      </w:r>
    </w:p>
    <w:p>
      <w:pPr>
        <w:spacing w:after="0" w:line="203" w:lineRule="exact"/>
        <w:rPr>
          <w:sz w:val="20"/>
          <w:szCs w:val="20"/>
          <w:color w:val="auto"/>
        </w:rPr>
      </w:pPr>
    </w:p>
    <w:p>
      <w:pPr>
        <w:ind w:left="220" w:hanging="212"/>
        <w:spacing w:after="0"/>
        <w:tabs>
          <w:tab w:leader="none" w:pos="220" w:val="left"/>
        </w:tabs>
        <w:numPr>
          <w:ilvl w:val="0"/>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"Institutional Accredited Investor" (as defined in Rule 501(a)(1), (2),</w:t>
      </w:r>
    </w:p>
    <w:p>
      <w:pPr>
        <w:ind w:left="960" w:hanging="425"/>
        <w:spacing w:after="0" w:line="238" w:lineRule="auto"/>
        <w:tabs>
          <w:tab w:leader="none" w:pos="960" w:val="left"/>
        </w:tabs>
        <w:numPr>
          <w:ilvl w:val="1"/>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(7) under the Securities Act)</w:t>
      </w:r>
    </w:p>
    <w:p>
      <w:pPr>
        <w:spacing w:after="0" w:line="207" w:lineRule="exact"/>
        <w:rPr>
          <w:sz w:val="20"/>
          <w:szCs w:val="20"/>
          <w:color w:val="auto"/>
        </w:rPr>
      </w:pPr>
    </w:p>
    <w:p>
      <w:pPr>
        <w:ind w:left="540" w:right="1999" w:hanging="532"/>
        <w:spacing w:after="0" w:line="236" w:lineRule="auto"/>
        <w:tabs>
          <w:tab w:leader="none" w:pos="224" w:val="left"/>
        </w:tabs>
        <w:numPr>
          <w:ilvl w:val="0"/>
          <w:numId w:val="2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non "U.S. person" (as defined in Regulation S under the Securities Act) that purchased the Original Notes outside the United States in accordance with Rule 904 under the Securities Act</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Other (describe)</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 HERE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Beneficial Owner(s):</w:t>
      </w:r>
    </w:p>
    <w:p>
      <w:pPr>
        <w:spacing w:after="0" w:line="4" w:lineRule="exact"/>
        <w:rPr>
          <w:sz w:val="20"/>
          <w:szCs w:val="20"/>
          <w:color w:val="auto"/>
        </w:rPr>
      </w:pPr>
    </w:p>
    <w:p>
      <w:pPr>
        <w:ind w:left="220" w:hanging="212"/>
        <w:spacing w:after="0"/>
        <w:tabs>
          <w:tab w:leader="none" w:pos="220" w:val="left"/>
        </w:tabs>
        <w:numPr>
          <w:ilvl w:val="0"/>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Type or Print)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220" w:hanging="212"/>
        <w:spacing w:after="0"/>
        <w:tabs>
          <w:tab w:leader="none" w:pos="220"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(Zip Code)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place of business (if different from address listed above):</w:t>
      </w:r>
    </w:p>
    <w:p>
      <w:pPr>
        <w:ind w:left="220" w:hanging="212"/>
        <w:spacing w:after="0" w:line="238" w:lineRule="auto"/>
        <w:tabs>
          <w:tab w:leader="none" w:pos="220" w:val="left"/>
        </w:tabs>
        <w:numPr>
          <w:ilvl w:val="0"/>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Telephone Number(s):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Taxpayer Identification or Social Security Number(s)</w:t>
      </w:r>
    </w:p>
    <w:p>
      <w:pPr>
        <w:ind w:left="220" w:hanging="212"/>
        <w:spacing w:after="0" w:line="238" w:lineRule="auto"/>
        <w:tabs>
          <w:tab w:leader="none" w:pos="220" w:val="left"/>
        </w:tabs>
        <w:numPr>
          <w:ilvl w:val="0"/>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2" w:right="1440" w:bottom="1440" w:gutter="0" w:footer="0" w:header="0"/>
        </w:sectPr>
      </w:pPr>
    </w:p>
    <w:bookmarkStart w:id="177" w:name="page178"/>
    <w:bookmarkEnd w:id="177"/>
    <w:p>
      <w:pPr>
        <w:jc w:val="right"/>
        <w:ind w:right="1779"/>
        <w:spacing w:after="0"/>
        <w:rPr>
          <w:sz w:val="20"/>
          <w:szCs w:val="20"/>
          <w:color w:val="auto"/>
        </w:rPr>
      </w:pPr>
      <w:r>
        <w:rPr>
          <w:rFonts w:ascii="Courier New" w:cs="Courier New" w:eastAsia="Courier New" w:hAnsi="Courier New"/>
          <w:sz w:val="18"/>
          <w:szCs w:val="18"/>
          <w:color w:val="auto"/>
        </w:rPr>
        <w:t>EXHIBIT 99.5</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GUIDELINES FOR CERTIFICATION OF TAXPAYER IDENTIFICATION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NUMBER ON SUBSTITUTE FORM W-9</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GUIDELINES FOR DETERMINING THE PROPER IDENTIFICATION NUMBER TO GIVE THE PAYER -- Social Security Numbers have nine digits separated by two hyphens: i.e., 000-00-0000. Employer Identification Numbers have nine digits separated by only one hyphen: i.e., 00-0000000. The table below will help determine the number to give the payer.</w:t>
      </w:r>
    </w:p>
    <w:p>
      <w:pPr>
        <w:spacing w:after="0" w:line="203" w:lineRule="exact"/>
        <w:rPr>
          <w:sz w:val="20"/>
          <w:szCs w:val="20"/>
          <w:color w:val="auto"/>
        </w:rPr>
      </w:pPr>
    </w:p>
    <w:p>
      <w:pPr>
        <w:ind w:left="280" w:hanging="221"/>
        <w:spacing w:after="0"/>
        <w:tabs>
          <w:tab w:leader="none" w:pos="280" w:val="left"/>
        </w:tabs>
        <w:numPr>
          <w:ilvl w:val="0"/>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FOR THIS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TYPE OF</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ACCOUNT: GIVE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SOCIAL</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SECURITY</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w:t>
      </w:r>
    </w:p>
    <w:p>
      <w:pPr>
        <w:ind w:left="280" w:hanging="221"/>
        <w:spacing w:after="0" w:line="238" w:lineRule="auto"/>
        <w:tabs>
          <w:tab w:leader="none" w:pos="280" w:val="left"/>
        </w:tabs>
        <w:numPr>
          <w:ilvl w:val="0"/>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hanging="523"/>
        <w:spacing w:after="0" w:line="238" w:lineRule="auto"/>
        <w:tabs>
          <w:tab w:leader="none" w:pos="740" w:val="left"/>
        </w:tabs>
        <w:numPr>
          <w:ilvl w:val="1"/>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An</w:t>
      </w:r>
    </w:p>
    <w:p>
      <w:pPr>
        <w:spacing w:after="0" w:line="4" w:lineRule="exact"/>
        <w:rPr>
          <w:rFonts w:ascii="Courier New" w:cs="Courier New" w:eastAsia="Courier New" w:hAnsi="Courier New"/>
          <w:sz w:val="18"/>
          <w:szCs w:val="18"/>
          <w:color w:val="auto"/>
        </w:rPr>
      </w:pPr>
    </w:p>
    <w:p>
      <w:pPr>
        <w:jc w:val="center"/>
        <w:ind w:left="60" w:right="879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individual's account The individual 2. Two or more individuals (joint account) The actual owner of the account or, if combined funds, any one of the individuals</w:t>
      </w:r>
    </w:p>
    <w:p>
      <w:pPr>
        <w:ind w:left="840" w:hanging="412"/>
        <w:spacing w:after="0" w:line="238" w:lineRule="auto"/>
        <w:tabs>
          <w:tab w:leader="none" w:pos="840" w:val="left"/>
        </w:tabs>
        <w:numPr>
          <w:ilvl w:val="2"/>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4" w:lineRule="exact"/>
        <w:rPr>
          <w:rFonts w:ascii="Courier New" w:cs="Courier New" w:eastAsia="Courier New" w:hAnsi="Courier New"/>
          <w:sz w:val="18"/>
          <w:szCs w:val="18"/>
          <w:color w:val="auto"/>
        </w:rPr>
      </w:pPr>
    </w:p>
    <w:p>
      <w:pPr>
        <w:jc w:val="center"/>
        <w:ind w:left="60" w:right="8799" w:firstLine="105"/>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Husband and wife (joint account) The actual owner of the account or, if joint funds, either</w:t>
      </w:r>
    </w:p>
    <w:p>
      <w:pPr>
        <w:spacing w:after="0" w:line="178" w:lineRule="exact"/>
        <w:rPr>
          <w:rFonts w:ascii="Courier New" w:cs="Courier New" w:eastAsia="Courier New" w:hAnsi="Courier New"/>
          <w:sz w:val="18"/>
          <w:szCs w:val="18"/>
          <w:color w:val="auto"/>
        </w:rPr>
      </w:pPr>
    </w:p>
    <w:p>
      <w:pPr>
        <w:ind w:left="840" w:hanging="412"/>
        <w:spacing w:after="0" w:line="238" w:lineRule="auto"/>
        <w:tabs>
          <w:tab w:leader="none" w:pos="840" w:val="left"/>
        </w:tabs>
        <w:numPr>
          <w:ilvl w:val="2"/>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Custodian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account of a</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minor</w:t>
      </w:r>
    </w:p>
    <w:p>
      <w:pPr>
        <w:spacing w:after="0" w:line="4" w:lineRule="exact"/>
        <w:rPr>
          <w:rFonts w:ascii="Courier New" w:cs="Courier New" w:eastAsia="Courier New" w:hAnsi="Courier New"/>
          <w:sz w:val="18"/>
          <w:szCs w:val="18"/>
          <w:color w:val="auto"/>
        </w:rPr>
      </w:pPr>
    </w:p>
    <w:p>
      <w:pPr>
        <w:jc w:val="center"/>
        <w:ind w:left="60" w:right="879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(Uniform Gift The minor (2) to Minors Act) 5. Adult and minor (joint account) The adult or, if the minor is the only contributor, the minor (1) 6. Account in the name of guardian or The ward, minor or incompetent person (3) committee for</w:t>
      </w:r>
    </w:p>
    <w:p>
      <w:pPr>
        <w:sectPr>
          <w:pgSz w:w="11900" w:h="16838" w:orient="portrait"/>
          <w:cols w:equalWidth="0" w:num="1">
            <w:col w:w="10219"/>
          </w:cols>
          <w:pgMar w:left="240" w:top="542" w:right="1440" w:bottom="0" w:gutter="0" w:footer="0" w:header="0"/>
        </w:sectPr>
      </w:pPr>
    </w:p>
    <w:bookmarkStart w:id="178" w:name="page179"/>
    <w:bookmarkEnd w:id="178"/>
    <w:p>
      <w:pPr>
        <w:ind w:left="-112" w:right="8739" w:firstLine="112"/>
        <w:spacing w:after="0" w:line="268" w:lineRule="auto"/>
        <w:tabs>
          <w:tab w:leader="none" w:pos="203"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designated ward, minor or incompetent person 7. a. The usual revocable savings trust The grantor-trustee (1) account (grantor is also trustee) b. So-called trust account that is not a The actual owner (1) legal or valid trust under State law 8. Sole proprietorship account The owner (4) 9. A valid trust, estate or pension trust Legal entity (Do not furnish the identifying number of the personal representative or trustee unless the legal entity itself is not designated in the account title) (5) 10. Corporate account The corporation 11. Religious, charitable or educational The organization organization account 12. Partnership account held in the name of The partnership the business 13. Association, club or other tax-exempt The organization organization 14. A broker or registered nominee The broker or nominee 15. Account with the Department of Agriculture The public entity in the name of a public entity (such as a</w:t>
      </w:r>
    </w:p>
    <w:p>
      <w:pPr>
        <w:sectPr>
          <w:pgSz w:w="11900" w:h="16838" w:orient="portrait"/>
          <w:cols w:equalWidth="0" w:num="1">
            <w:col w:w="10107"/>
          </w:cols>
          <w:pgMar w:left="352" w:top="142" w:right="1440" w:bottom="1440" w:gutter="0" w:footer="0" w:header="0"/>
        </w:sectPr>
      </w:pPr>
    </w:p>
    <w:bookmarkStart w:id="179" w:name="page180"/>
    <w:bookmarkEnd w:id="179"/>
    <w:p>
      <w:pPr>
        <w:jc w:val="center"/>
        <w:ind w:right="8739"/>
        <w:spacing w:after="0"/>
        <w:rPr>
          <w:sz w:val="20"/>
          <w:szCs w:val="20"/>
          <w:color w:val="auto"/>
        </w:rPr>
      </w:pPr>
      <w:r>
        <w:rPr>
          <w:rFonts w:ascii="Courier New" w:cs="Courier New" w:eastAsia="Courier New" w:hAnsi="Courier New"/>
          <w:sz w:val="18"/>
          <w:szCs w:val="18"/>
          <w:color w:val="auto"/>
        </w:rPr>
        <w:t>State or</w:t>
      </w:r>
    </w:p>
    <w:p>
      <w:pPr>
        <w:jc w:val="center"/>
        <w:ind w:right="8739"/>
        <w:spacing w:after="0" w:line="238" w:lineRule="auto"/>
        <w:rPr>
          <w:sz w:val="20"/>
          <w:szCs w:val="20"/>
          <w:color w:val="auto"/>
        </w:rPr>
      </w:pPr>
      <w:r>
        <w:rPr>
          <w:rFonts w:ascii="Courier New" w:cs="Courier New" w:eastAsia="Courier New" w:hAnsi="Courier New"/>
          <w:sz w:val="18"/>
          <w:szCs w:val="18"/>
          <w:color w:val="auto"/>
        </w:rPr>
        <w:t>local</w:t>
      </w:r>
    </w:p>
    <w:p>
      <w:pPr>
        <w:jc w:val="center"/>
        <w:ind w:right="8739"/>
        <w:spacing w:after="0"/>
        <w:rPr>
          <w:sz w:val="20"/>
          <w:szCs w:val="20"/>
          <w:color w:val="auto"/>
        </w:rPr>
      </w:pPr>
      <w:r>
        <w:rPr>
          <w:rFonts w:ascii="Courier New" w:cs="Courier New" w:eastAsia="Courier New" w:hAnsi="Courier New"/>
          <w:sz w:val="18"/>
          <w:szCs w:val="18"/>
          <w:color w:val="auto"/>
        </w:rPr>
        <w:t>government,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school</w:t>
      </w:r>
    </w:p>
    <w:p>
      <w:pPr>
        <w:jc w:val="center"/>
        <w:ind w:right="8739"/>
        <w:spacing w:after="0" w:line="238" w:lineRule="auto"/>
        <w:rPr>
          <w:sz w:val="20"/>
          <w:szCs w:val="20"/>
          <w:color w:val="auto"/>
        </w:rPr>
      </w:pPr>
      <w:r>
        <w:rPr>
          <w:rFonts w:ascii="Courier New" w:cs="Courier New" w:eastAsia="Courier New" w:hAnsi="Courier New"/>
          <w:sz w:val="18"/>
          <w:szCs w:val="18"/>
          <w:color w:val="auto"/>
        </w:rPr>
        <w:t>district or</w:t>
      </w:r>
    </w:p>
    <w:p>
      <w:pPr>
        <w:jc w:val="center"/>
        <w:ind w:right="8739"/>
        <w:spacing w:after="0"/>
        <w:rPr>
          <w:sz w:val="20"/>
          <w:szCs w:val="20"/>
          <w:color w:val="auto"/>
        </w:rPr>
      </w:pPr>
      <w:r>
        <w:rPr>
          <w:rFonts w:ascii="Courier New" w:cs="Courier New" w:eastAsia="Courier New" w:hAnsi="Courier New"/>
          <w:sz w:val="18"/>
          <w:szCs w:val="18"/>
          <w:color w:val="auto"/>
        </w:rPr>
        <w:t>prison) that</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receives</w:t>
      </w:r>
    </w:p>
    <w:p>
      <w:pPr>
        <w:jc w:val="center"/>
        <w:ind w:right="8739"/>
        <w:spacing w:after="0"/>
        <w:rPr>
          <w:sz w:val="20"/>
          <w:szCs w:val="20"/>
          <w:color w:val="auto"/>
        </w:rPr>
      </w:pPr>
      <w:r>
        <w:rPr>
          <w:rFonts w:ascii="Courier New" w:cs="Courier New" w:eastAsia="Courier New" w:hAnsi="Courier New"/>
          <w:sz w:val="18"/>
          <w:szCs w:val="18"/>
          <w:color w:val="auto"/>
        </w:rPr>
        <w:t>agricultural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program</w:t>
      </w:r>
    </w:p>
    <w:p>
      <w:pPr>
        <w:jc w:val="center"/>
        <w:ind w:right="8739"/>
        <w:spacing w:after="0"/>
        <w:rPr>
          <w:sz w:val="20"/>
          <w:szCs w:val="20"/>
          <w:color w:val="auto"/>
        </w:rPr>
      </w:pPr>
      <w:r>
        <w:rPr>
          <w:rFonts w:ascii="Courier New" w:cs="Courier New" w:eastAsia="Courier New" w:hAnsi="Courier New"/>
          <w:sz w:val="18"/>
          <w:szCs w:val="18"/>
          <w:color w:val="auto"/>
        </w:rPr>
        <w:t>payments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left="420" w:hanging="412"/>
        <w:spacing w:after="0"/>
        <w:tabs>
          <w:tab w:leader="none" w:pos="420"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 first and circle the name of the person whose number you furnish.</w:t>
      </w:r>
    </w:p>
    <w:p>
      <w:pPr>
        <w:spacing w:after="0" w:line="22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Circle the minor's name and furnish the minor's social security number.</w:t>
      </w:r>
    </w:p>
    <w:p>
      <w:pPr>
        <w:sectPr>
          <w:pgSz w:w="11900" w:h="16838" w:orient="portrait"/>
          <w:cols w:equalWidth="0" w:num="1">
            <w:col w:w="10219"/>
          </w:cols>
          <w:pgMar w:left="240" w:top="136" w:right="1440" w:bottom="1440" w:gutter="0" w:footer="0" w:header="0"/>
        </w:sectPr>
      </w:pPr>
    </w:p>
    <w:bookmarkStart w:id="180" w:name="page181"/>
    <w:bookmarkEnd w:id="180"/>
    <w:p>
      <w:pPr>
        <w:ind w:left="420" w:right="2199" w:hanging="412"/>
        <w:spacing w:after="0" w:line="235" w:lineRule="auto"/>
        <w:tabs>
          <w:tab w:leader="none" w:pos="420" w:val="left"/>
        </w:tabs>
        <w:numPr>
          <w:ilvl w:val="0"/>
          <w:numId w:val="2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Circle the ward's, minor's or incompetent person's name and furnish such person's social security number.</w:t>
      </w:r>
    </w:p>
    <w:p>
      <w:pPr>
        <w:spacing w:after="0" w:line="208" w:lineRule="exact"/>
        <w:rPr>
          <w:rFonts w:ascii="Courier New" w:cs="Courier New" w:eastAsia="Courier New" w:hAnsi="Courier New"/>
          <w:sz w:val="18"/>
          <w:szCs w:val="18"/>
          <w:color w:val="auto"/>
        </w:rPr>
      </w:pPr>
    </w:p>
    <w:p>
      <w:pPr>
        <w:ind w:left="420" w:right="1879" w:hanging="412"/>
        <w:spacing w:after="0" w:line="236" w:lineRule="auto"/>
        <w:tabs>
          <w:tab w:leader="none" w:pos="420" w:val="left"/>
        </w:tabs>
        <w:numPr>
          <w:ilvl w:val="0"/>
          <w:numId w:val="2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must show your individual name, but you may also enter your business or "doing business" name. You may use either your Social Security Number or Employer Identification Number.</w:t>
      </w:r>
    </w:p>
    <w:p>
      <w:pPr>
        <w:spacing w:after="0" w:line="208" w:lineRule="exact"/>
        <w:rPr>
          <w:rFonts w:ascii="Courier New" w:cs="Courier New" w:eastAsia="Courier New" w:hAnsi="Courier New"/>
          <w:sz w:val="18"/>
          <w:szCs w:val="18"/>
          <w:color w:val="auto"/>
        </w:rPr>
      </w:pPr>
    </w:p>
    <w:p>
      <w:pPr>
        <w:ind w:left="420" w:right="1779" w:hanging="412"/>
        <w:spacing w:after="0" w:line="236" w:lineRule="auto"/>
        <w:tabs>
          <w:tab w:leader="none" w:pos="420" w:val="left"/>
        </w:tabs>
        <w:numPr>
          <w:ilvl w:val="0"/>
          <w:numId w:val="2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 first and circle the name of the legal trust, estate, or pension trust. NOTE: If no name is circled when there is more than one name, the number will be considered to be that of the first name listed.</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GUIDELINES FOR CERTIFICATION OF TAXPAYER IDENTIFICATION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NUMBER ON SUBSTITUTE FORM W-9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OBTAINING A NUMBER</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you do not have a taxpayer identification number or if you do not know your number, obtain Form SS-5, Application for Social Security Number Card, or Form SS-4, Application for Employer Identification Number, at the local office of the Social Security Administration or the Internal Revenue Service (the "IRS") and apply for a number.</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Payees specifically exempted from backup withholding on ALL payments by brokers include the following:</w:t>
      </w:r>
    </w:p>
    <w:p>
      <w:pPr>
        <w:spacing w:after="0" w:line="203" w:lineRule="exact"/>
        <w:rPr>
          <w:sz w:val="20"/>
          <w:szCs w:val="20"/>
          <w:color w:val="auto"/>
        </w:rPr>
      </w:pPr>
    </w:p>
    <w:p>
      <w:pPr>
        <w:ind w:left="740" w:hanging="205"/>
        <w:spacing w:after="0"/>
        <w:tabs>
          <w:tab w:leader="none" w:pos="740"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financial institution.</w:t>
      </w:r>
    </w:p>
    <w:p>
      <w:pPr>
        <w:spacing w:after="0" w:line="206" w:lineRule="exact"/>
        <w:rPr>
          <w:rFonts w:ascii="Courier New" w:cs="Courier New" w:eastAsia="Courier New" w:hAnsi="Courier New"/>
          <w:sz w:val="18"/>
          <w:szCs w:val="18"/>
          <w:color w:val="auto"/>
        </w:rPr>
      </w:pPr>
    </w:p>
    <w:p>
      <w:pPr>
        <w:ind w:left="740" w:right="1879" w:hanging="205"/>
        <w:spacing w:after="0" w:line="279" w:lineRule="auto"/>
        <w:tabs>
          <w:tab w:leader="none" w:pos="740"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organization exempt from a tax under section 501(a), or an individual retirement plan or a custodial account under Section 403(b)(7) if the account satisfies the requirements of Section 401(F)(2).</w:t>
      </w:r>
    </w:p>
    <w:p>
      <w:pPr>
        <w:spacing w:after="0" w:line="172"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United States or any agency or instrumentality thereof.</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 the District of Columbia, a possession of the United States, or any subdivision or instrumentality thereof.</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foreign government, a political subdivision of a foreign government, or any agency or instrumentality thereof.</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international organization or any agency or instrumentality thereof.</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registered dealer in securities or commodities registered in the U.S. or a possession of the U.S.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real estate investment trust.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common trust fund operated by a bank under Section 584(a).</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entity registered at all times under the Investment Company Act of 1940.</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foreign central bank of issue.</w:t>
      </w:r>
    </w:p>
    <w:p>
      <w:pPr>
        <w:spacing w:after="0" w:line="206"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futures commission merchant registered with the Commodity Futures Trading Commission.</w:t>
      </w:r>
    </w:p>
    <w:p>
      <w:pPr>
        <w:spacing w:after="0" w:line="208" w:lineRule="exact"/>
        <w:rPr>
          <w:rFonts w:ascii="Courier New" w:cs="Courier New" w:eastAsia="Courier New" w:hAnsi="Courier New"/>
          <w:sz w:val="18"/>
          <w:szCs w:val="18"/>
          <w:color w:val="auto"/>
        </w:rPr>
      </w:pPr>
    </w:p>
    <w:p>
      <w:pPr>
        <w:ind w:left="740" w:right="2619" w:hanging="205"/>
        <w:spacing w:after="0" w:line="235" w:lineRule="auto"/>
        <w:tabs>
          <w:tab w:leader="none" w:pos="740"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registered under the Investment Advisors Act of 1940 who regularly acts as a broker.</w:t>
      </w: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181" w:name="page182"/>
    <w:bookmarkEnd w:id="181"/>
    <w:p>
      <w:pPr>
        <w:ind w:right="2319" w:firstLine="527"/>
        <w:spacing w:after="0" w:line="235" w:lineRule="auto"/>
        <w:rPr>
          <w:sz w:val="20"/>
          <w:szCs w:val="20"/>
          <w:color w:val="auto"/>
        </w:rPr>
      </w:pPr>
      <w:r>
        <w:rPr>
          <w:rFonts w:ascii="Courier New" w:cs="Courier New" w:eastAsia="Courier New" w:hAnsi="Courier New"/>
          <w:sz w:val="18"/>
          <w:szCs w:val="18"/>
          <w:color w:val="auto"/>
        </w:rPr>
        <w:t>Payments of dividends and patronage dividends not generally subject to backup withholding include the following:</w:t>
      </w:r>
    </w:p>
    <w:p>
      <w:pPr>
        <w:spacing w:after="0" w:line="208" w:lineRule="exact"/>
        <w:rPr>
          <w:sz w:val="20"/>
          <w:szCs w:val="20"/>
          <w:color w:val="auto"/>
        </w:rPr>
      </w:pPr>
    </w:p>
    <w:p>
      <w:pPr>
        <w:ind w:left="740" w:hanging="205"/>
        <w:spacing w:after="0"/>
        <w:tabs>
          <w:tab w:leader="none" w:pos="740"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to nonresident aliens subject to withholding under Section 1441.</w:t>
      </w:r>
    </w:p>
    <w:p>
      <w:pPr>
        <w:spacing w:after="0" w:line="223" w:lineRule="exact"/>
        <w:rPr>
          <w:rFonts w:ascii="Courier New" w:cs="Courier New" w:eastAsia="Courier New" w:hAnsi="Courier New"/>
          <w:sz w:val="16"/>
          <w:szCs w:val="16"/>
          <w:color w:val="auto"/>
        </w:rPr>
      </w:pPr>
    </w:p>
    <w:p>
      <w:pPr>
        <w:ind w:left="740" w:right="1999" w:hanging="205"/>
        <w:spacing w:after="0" w:line="235" w:lineRule="auto"/>
        <w:tabs>
          <w:tab w:leader="none" w:pos="740" w:val="left"/>
        </w:tabs>
        <w:numPr>
          <w:ilvl w:val="0"/>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to partnerships not engaged in a trade or business in the U.S. and which have at least one nonresident partner.</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of patronage dividends where the amount received is not paid in money.</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made by certain foreign organizations.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made to a nominee.</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Payments of interest not generally subject to backup withholding include the following:</w:t>
      </w:r>
    </w:p>
    <w:p>
      <w:pPr>
        <w:spacing w:after="0" w:line="208" w:lineRule="exact"/>
        <w:rPr>
          <w:sz w:val="20"/>
          <w:szCs w:val="20"/>
          <w:color w:val="auto"/>
        </w:rPr>
      </w:pPr>
    </w:p>
    <w:p>
      <w:pPr>
        <w:ind w:left="740" w:right="1879" w:hanging="205"/>
        <w:spacing w:after="0" w:line="275" w:lineRule="auto"/>
        <w:tabs>
          <w:tab w:leader="none" w:pos="740" w:val="left"/>
        </w:tabs>
        <w:numPr>
          <w:ilvl w:val="0"/>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of interest on obligations issued by individuals. Note: You may be subject to backup withholding if this interest is $600 or more and is paid in the course of the payer's trade or business and you have not provided your correct taxpayer identification number to the payer.</w:t>
      </w:r>
    </w:p>
    <w:p>
      <w:pPr>
        <w:spacing w:after="0" w:line="182" w:lineRule="exact"/>
        <w:rPr>
          <w:rFonts w:ascii="Courier New" w:cs="Courier New" w:eastAsia="Courier New" w:hAnsi="Courier New"/>
          <w:sz w:val="16"/>
          <w:szCs w:val="16"/>
          <w:color w:val="auto"/>
        </w:rPr>
      </w:pPr>
    </w:p>
    <w:p>
      <w:pPr>
        <w:ind w:left="740" w:right="2319" w:hanging="205"/>
        <w:spacing w:after="0" w:line="235" w:lineRule="auto"/>
        <w:tabs>
          <w:tab w:leader="none" w:pos="740" w:val="left"/>
        </w:tabs>
        <w:numPr>
          <w:ilvl w:val="0"/>
          <w:numId w:val="2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of tax-exempt interest (including exempt-interest dividends under Section 852).</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described in Section 6049(b)(5) to nonresident aliens.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on tax-free covenant bonds under Section 1451.</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made by certain foreign organizations.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made to a nominee.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Exempt payees described above should file Form W-9 to avoid possible erroneous backup withholding. FILE THIS FORM WITH THE PAYER, FURNISH YOUR TAXPAYER IDENTIFICATION NUMBER, CHECK "EXEMPT" IN PART II OF THE FORM, SIGN AND DATE THE FORM AND RETURN IT TO THE PAYER.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Certain payments other than interest, dividends, and patronage dividends, which are not subject to information reporting are also not subject to backup withholding. For details, see the Regulation under Section 6041, 6041A(a), 6045 and 6050A.</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PRIVACY ACT NOTICE. -- Section 6109 requires recipients of dividend, interest, or other payments to give taxpayer identification numbers to payers who must report the payments to IRS. IRS uses the numbers for identification purposes. Payers must be given the numbers whether or not recipients are required to file tax returns. Beginning January 1, 1993, payers must generally withhold a portion of taxable interest, dividend, and certain other payments to a payee who does not furnish a taxpayer identification number to a payer. Certain penalties may also apply.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PENALTIES</w:t>
      </w:r>
    </w:p>
    <w:p>
      <w:pPr>
        <w:spacing w:after="0" w:line="207" w:lineRule="exact"/>
        <w:rPr>
          <w:sz w:val="20"/>
          <w:szCs w:val="20"/>
          <w:color w:val="auto"/>
        </w:rPr>
      </w:pPr>
    </w:p>
    <w:p>
      <w:pPr>
        <w:ind w:right="1879" w:firstLine="8"/>
        <w:spacing w:after="0" w:line="237" w:lineRule="auto"/>
        <w:tabs>
          <w:tab w:leader="none" w:pos="421" w:val="left"/>
        </w:tabs>
        <w:numPr>
          <w:ilvl w:val="0"/>
          <w:numId w:val="2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PENALTY FOR FAILURE TO FURNISH TAXPAYER IDENTIFICATION NUMBER. -- If you fail to furnish your taxpayer identification number to a payer, you are subject to a penalty of $50 for each such failure unless your failure is due to reasonable cause and not to willful neglect.</w:t>
      </w:r>
    </w:p>
    <w:p>
      <w:pPr>
        <w:spacing w:after="0" w:line="207" w:lineRule="exact"/>
        <w:rPr>
          <w:rFonts w:ascii="Courier New" w:cs="Courier New" w:eastAsia="Courier New" w:hAnsi="Courier New"/>
          <w:sz w:val="18"/>
          <w:szCs w:val="18"/>
          <w:color w:val="auto"/>
        </w:rPr>
      </w:pPr>
    </w:p>
    <w:p>
      <w:pPr>
        <w:ind w:right="1879" w:firstLine="8"/>
        <w:spacing w:after="0" w:line="237" w:lineRule="auto"/>
        <w:tabs>
          <w:tab w:leader="none" w:pos="421" w:val="left"/>
        </w:tabs>
        <w:numPr>
          <w:ilvl w:val="0"/>
          <w:numId w:val="2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REPORT CERTAIN DIVIDEND AND INTEREST PAYMENTS. -- If you fail to include any portion of an includible payment for interest, dividends, or patronage dividends in gross income, such failure will be treated as being due to negligence and will be subject to a penalty</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82" w:name="page183"/>
    <w:bookmarkEnd w:id="182"/>
    <w:p>
      <w:pPr>
        <w:ind w:right="2199"/>
        <w:spacing w:after="0" w:line="235" w:lineRule="auto"/>
        <w:rPr>
          <w:sz w:val="20"/>
          <w:szCs w:val="20"/>
          <w:color w:val="auto"/>
        </w:rPr>
      </w:pPr>
      <w:r>
        <w:rPr>
          <w:rFonts w:ascii="Courier New" w:cs="Courier New" w:eastAsia="Courier New" w:hAnsi="Courier New"/>
          <w:sz w:val="18"/>
          <w:szCs w:val="18"/>
          <w:color w:val="auto"/>
        </w:rPr>
        <w:t>of 5% on any portion of an under-payment attributable to that failure unless there is clear and convincing evidence to the contrary.</w:t>
      </w:r>
    </w:p>
    <w:p>
      <w:pPr>
        <w:spacing w:after="0" w:line="208" w:lineRule="exact"/>
        <w:rPr>
          <w:sz w:val="20"/>
          <w:szCs w:val="20"/>
          <w:color w:val="auto"/>
        </w:rPr>
      </w:pPr>
    </w:p>
    <w:p>
      <w:pPr>
        <w:ind w:right="2099" w:firstLine="8"/>
        <w:spacing w:after="0" w:line="236" w:lineRule="auto"/>
        <w:tabs>
          <w:tab w:leader="none" w:pos="421"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CRIMINAL PENALTY FOR FALSE INFORMATION WITH RESPECT TO WITHHOLDING. -- If you make a false statement with no reasonable basis which results in no imposition of backup withholding, you are subject to penalty of $500.</w:t>
      </w:r>
    </w:p>
    <w:p>
      <w:pPr>
        <w:spacing w:after="0" w:line="208" w:lineRule="exact"/>
        <w:rPr>
          <w:rFonts w:ascii="Courier New" w:cs="Courier New" w:eastAsia="Courier New" w:hAnsi="Courier New"/>
          <w:sz w:val="18"/>
          <w:szCs w:val="18"/>
          <w:color w:val="auto"/>
        </w:rPr>
      </w:pPr>
    </w:p>
    <w:p>
      <w:pPr>
        <w:ind w:right="1999" w:firstLine="8"/>
        <w:spacing w:after="0" w:line="236" w:lineRule="auto"/>
        <w:tabs>
          <w:tab w:leader="none" w:pos="421"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CRIMINAL PENALTY FOR FALSIFYING INFORMATION. -- Falsifying certificates or affirmations may subject you to criminal penalties including fines and/or imprisonment.</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ADDITIONAL INFORMATION CONTACT YOUR TAX CONSULTANT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OR THE INTERNAL REVENUE SERVICE.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9F82CD"/>
    <w:multiLevelType w:val="hybridMultilevel"/>
    <w:lvl w:ilvl="0">
      <w:lvlJc w:val="left"/>
      <w:lvlText w:val="-"/>
      <w:numFmt w:val="bullet"/>
      <w:start w:val="1"/>
    </w:lvl>
  </w:abstractNum>
  <w:abstractNum w:abstractNumId="1">
    <w:nsid w:val="61E74EA3"/>
    <w:multiLevelType w:val="hybridMultilevel"/>
    <w:lvl w:ilvl="0">
      <w:lvlJc w:val="left"/>
      <w:lvlText w:val="-"/>
      <w:numFmt w:val="bullet"/>
      <w:start w:val="1"/>
    </w:lvl>
  </w:abstractNum>
  <w:abstractNum w:abstractNumId="2">
    <w:nsid w:val="597B4D84"/>
    <w:multiLevelType w:val="hybridMultilevel"/>
    <w:lvl w:ilvl="0">
      <w:lvlJc w:val="left"/>
      <w:lvlText w:val="---"/>
      <w:numFmt w:val="bullet"/>
      <w:start w:val="1"/>
    </w:lvl>
  </w:abstractNum>
  <w:abstractNum w:abstractNumId="3">
    <w:nsid w:val="F819E7F"/>
    <w:multiLevelType w:val="hybridMultilevel"/>
    <w:lvl w:ilvl="0">
      <w:lvlJc w:val="left"/>
      <w:lvlText w:val="-"/>
      <w:numFmt w:val="bullet"/>
      <w:start w:val="1"/>
    </w:lvl>
  </w:abstractNum>
  <w:abstractNum w:abstractNumId="4">
    <w:nsid w:val="57C7D42D"/>
    <w:multiLevelType w:val="hybridMultilevel"/>
    <w:lvl w:ilvl="0">
      <w:lvlJc w:val="left"/>
      <w:lvlText w:val="(%1)"/>
      <w:numFmt w:val="decimal"/>
      <w:start w:val="1"/>
    </w:lvl>
  </w:abstractNum>
  <w:abstractNum w:abstractNumId="5">
    <w:nsid w:val="312167AD"/>
    <w:multiLevelType w:val="hybridMultilevel"/>
    <w:lvl w:ilvl="0">
      <w:lvlJc w:val="left"/>
      <w:lvlText w:val="-"/>
      <w:numFmt w:val="bullet"/>
      <w:start w:val="1"/>
    </w:lvl>
  </w:abstractNum>
  <w:abstractNum w:abstractNumId="6">
    <w:nsid w:val="631B64D4"/>
    <w:multiLevelType w:val="hybridMultilevel"/>
    <w:lvl w:ilvl="0">
      <w:lvlJc w:val="left"/>
      <w:lvlText w:val="-"/>
      <w:numFmt w:val="bullet"/>
      <w:start w:val="1"/>
    </w:lvl>
  </w:abstractNum>
  <w:abstractNum w:abstractNumId="7">
    <w:nsid w:val="78B5E776"/>
    <w:multiLevelType w:val="hybridMultilevel"/>
    <w:lvl w:ilvl="0">
      <w:lvlJc w:val="left"/>
      <w:lvlText w:val="-"/>
      <w:numFmt w:val="bullet"/>
      <w:start w:val="1"/>
    </w:lvl>
  </w:abstractNum>
  <w:abstractNum w:abstractNumId="8">
    <w:nsid w:val="75486E47"/>
    <w:multiLevelType w:val="hybridMultilevel"/>
    <w:lvl w:ilvl="0">
      <w:lvlJc w:val="left"/>
      <w:lvlText w:val="-"/>
      <w:numFmt w:val="bullet"/>
      <w:start w:val="1"/>
    </w:lvl>
  </w:abstractNum>
  <w:abstractNum w:abstractNumId="9">
    <w:nsid w:val="6E534CDE"/>
    <w:multiLevelType w:val="hybridMultilevel"/>
    <w:lvl w:ilvl="0">
      <w:lvlJc w:val="left"/>
      <w:lvlText w:val="*"/>
      <w:numFmt w:val="bullet"/>
      <w:start w:val="1"/>
    </w:lvl>
  </w:abstractNum>
  <w:abstractNum w:abstractNumId="10">
    <w:nsid w:val="1A0DDE32"/>
    <w:multiLevelType w:val="hybridMultilevel"/>
    <w:lvl w:ilvl="0">
      <w:lvlJc w:val="left"/>
      <w:lvlText w:val="-"/>
      <w:numFmt w:val="bullet"/>
      <w:start w:val="1"/>
    </w:lvl>
  </w:abstractNum>
  <w:abstractNum w:abstractNumId="11">
    <w:nsid w:val="65968C1C"/>
    <w:multiLevelType w:val="hybridMultilevel"/>
    <w:lvl w:ilvl="0">
      <w:lvlJc w:val="left"/>
      <w:lvlText w:val="-"/>
      <w:numFmt w:val="bullet"/>
      <w:start w:val="1"/>
    </w:lvl>
  </w:abstractNum>
  <w:abstractNum w:abstractNumId="12">
    <w:nsid w:val="46263DEC"/>
    <w:multiLevelType w:val="hybridMultilevel"/>
    <w:lvl w:ilvl="0">
      <w:lvlJc w:val="left"/>
      <w:lvlText w:val="-"/>
      <w:numFmt w:val="bullet"/>
      <w:start w:val="1"/>
    </w:lvl>
  </w:abstractNum>
  <w:abstractNum w:abstractNumId="13">
    <w:nsid w:val="260D8C4A"/>
    <w:multiLevelType w:val="hybridMultilevel"/>
    <w:lvl w:ilvl="0">
      <w:lvlJc w:val="left"/>
      <w:lvlText w:val="-"/>
      <w:numFmt w:val="bullet"/>
      <w:start w:val="1"/>
    </w:lvl>
  </w:abstractNum>
  <w:abstractNum w:abstractNumId="14">
    <w:nsid w:val="73D4D3C4"/>
    <w:multiLevelType w:val="hybridMultilevel"/>
    <w:lvl w:ilvl="0">
      <w:lvlJc w:val="left"/>
      <w:lvlText w:val="-"/>
      <w:numFmt w:val="bullet"/>
      <w:start w:val="1"/>
    </w:lvl>
  </w:abstractNum>
  <w:abstractNum w:abstractNumId="15">
    <w:nsid w:val="746F2E30"/>
    <w:multiLevelType w:val="hybridMultilevel"/>
    <w:lvl w:ilvl="0">
      <w:lvlJc w:val="left"/>
      <w:lvlText w:val="-"/>
      <w:numFmt w:val="bullet"/>
      <w:start w:val="1"/>
    </w:lvl>
  </w:abstractNum>
  <w:abstractNum w:abstractNumId="16">
    <w:nsid w:val="6FDE8AF6"/>
    <w:multiLevelType w:val="hybridMultilevel"/>
    <w:lvl w:ilvl="0">
      <w:lvlJc w:val="left"/>
      <w:lvlText w:val="-"/>
      <w:numFmt w:val="bullet"/>
      <w:start w:val="1"/>
    </w:lvl>
  </w:abstractNum>
  <w:abstractNum w:abstractNumId="17">
    <w:nsid w:val="3FC32E20"/>
    <w:multiLevelType w:val="hybridMultilevel"/>
    <w:lvl w:ilvl="0">
      <w:lvlJc w:val="left"/>
      <w:lvlText w:val="$"/>
      <w:numFmt w:val="bullet"/>
      <w:start w:val="1"/>
    </w:lvl>
  </w:abstractNum>
  <w:abstractNum w:abstractNumId="18">
    <w:nsid w:val="49C0E823"/>
    <w:multiLevelType w:val="hybridMultilevel"/>
    <w:lvl w:ilvl="0">
      <w:lvlJc w:val="left"/>
      <w:lvlText w:val="(%1)"/>
      <w:numFmt w:val="decimal"/>
      <w:start w:val="1"/>
    </w:lvl>
  </w:abstractNum>
  <w:abstractNum w:abstractNumId="19">
    <w:nsid w:val="14D53685"/>
    <w:multiLevelType w:val="hybridMultilevel"/>
    <w:lvl w:ilvl="0">
      <w:lvlJc w:val="left"/>
      <w:lvlText w:val="(%1)"/>
      <w:numFmt w:val="decimal"/>
      <w:start w:val="2"/>
    </w:lvl>
  </w:abstractNum>
  <w:abstractNum w:abstractNumId="20">
    <w:nsid w:val="230F856C"/>
    <w:multiLevelType w:val="hybridMultilevel"/>
    <w:lvl w:ilvl="0">
      <w:lvlJc w:val="left"/>
      <w:lvlText w:val="-----"/>
      <w:numFmt w:val="bullet"/>
      <w:start w:val="1"/>
    </w:lvl>
  </w:abstractNum>
  <w:abstractNum w:abstractNumId="21">
    <w:nsid w:val="6EAA85FB"/>
    <w:multiLevelType w:val="hybridMultilevel"/>
    <w:lvl w:ilvl="0">
      <w:lvlJc w:val="left"/>
      <w:lvlText w:val="(%1)"/>
      <w:numFmt w:val="decimal"/>
      <w:start w:val="11"/>
    </w:lvl>
  </w:abstractNum>
  <w:abstractNum w:abstractNumId="22">
    <w:nsid w:val="3F06ECB2"/>
    <w:multiLevelType w:val="hybridMultilevel"/>
    <w:lvl w:ilvl="0">
      <w:lvlJc w:val="left"/>
      <w:lvlText w:val="-"/>
      <w:numFmt w:val="bullet"/>
      <w:start w:val="1"/>
    </w:lvl>
  </w:abstractNum>
  <w:abstractNum w:abstractNumId="23">
    <w:nsid w:val="3B594807"/>
    <w:multiLevelType w:val="hybridMultilevel"/>
    <w:lvl w:ilvl="0">
      <w:lvlJc w:val="left"/>
      <w:lvlText w:val="-"/>
      <w:numFmt w:val="bullet"/>
      <w:start w:val="1"/>
    </w:lvl>
  </w:abstractNum>
  <w:abstractNum w:abstractNumId="24">
    <w:nsid w:val="6CAA2304"/>
    <w:multiLevelType w:val="hybridMultilevel"/>
    <w:lvl w:ilvl="0">
      <w:lvlJc w:val="left"/>
      <w:lvlText w:val="-"/>
      <w:numFmt w:val="bullet"/>
      <w:start w:val="1"/>
    </w:lvl>
  </w:abstractNum>
  <w:abstractNum w:abstractNumId="25">
    <w:nsid w:val="3F7C2FF4"/>
    <w:multiLevelType w:val="hybridMultilevel"/>
    <w:lvl w:ilvl="0">
      <w:lvlJc w:val="left"/>
      <w:lvlText w:val="-"/>
      <w:numFmt w:val="bullet"/>
      <w:start w:val="1"/>
    </w:lvl>
  </w:abstractNum>
  <w:abstractNum w:abstractNumId="26">
    <w:nsid w:val="25413BEC"/>
    <w:multiLevelType w:val="hybridMultilevel"/>
    <w:lvl w:ilvl="0">
      <w:lvlJc w:val="left"/>
      <w:lvlText w:val="-"/>
      <w:numFmt w:val="bullet"/>
      <w:start w:val="1"/>
    </w:lvl>
  </w:abstractNum>
  <w:abstractNum w:abstractNumId="27">
    <w:nsid w:val="17180B0B"/>
    <w:multiLevelType w:val="hybridMultilevel"/>
    <w:lvl w:ilvl="0">
      <w:lvlJc w:val="left"/>
      <w:lvlText w:val="-"/>
      <w:numFmt w:val="bullet"/>
      <w:start w:val="1"/>
    </w:lvl>
  </w:abstractNum>
  <w:abstractNum w:abstractNumId="28">
    <w:nsid w:val="579328B9"/>
    <w:multiLevelType w:val="hybridMultilevel"/>
    <w:lvl w:ilvl="0">
      <w:lvlJc w:val="left"/>
      <w:lvlText w:val="-"/>
      <w:numFmt w:val="bullet"/>
      <w:start w:val="1"/>
    </w:lvl>
  </w:abstractNum>
  <w:abstractNum w:abstractNumId="29">
    <w:nsid w:val="5D205E20"/>
    <w:multiLevelType w:val="hybridMultilevel"/>
    <w:lvl w:ilvl="0">
      <w:lvlJc w:val="left"/>
      <w:lvlText w:val="-"/>
      <w:numFmt w:val="bullet"/>
      <w:start w:val="1"/>
    </w:lvl>
  </w:abstractNum>
  <w:abstractNum w:abstractNumId="30">
    <w:nsid w:val="11CCA8BA"/>
    <w:multiLevelType w:val="hybridMultilevel"/>
    <w:lvl w:ilvl="0">
      <w:lvlJc w:val="left"/>
      <w:lvlText w:val="-"/>
      <w:numFmt w:val="bullet"/>
      <w:start w:val="1"/>
    </w:lvl>
  </w:abstractNum>
  <w:abstractNum w:abstractNumId="31">
    <w:nsid w:val="4D32AB86"/>
    <w:multiLevelType w:val="hybridMultilevel"/>
    <w:lvl w:ilvl="0">
      <w:lvlJc w:val="left"/>
      <w:lvlText w:val="-"/>
      <w:numFmt w:val="bullet"/>
      <w:start w:val="1"/>
    </w:lvl>
  </w:abstractNum>
  <w:abstractNum w:abstractNumId="32">
    <w:nsid w:val="3F07ACC3"/>
    <w:multiLevelType w:val="hybridMultilevel"/>
    <w:lvl w:ilvl="0">
      <w:lvlJc w:val="left"/>
      <w:lvlText w:val="(%1)"/>
      <w:numFmt w:val="decimal"/>
      <w:start w:val="2"/>
    </w:lvl>
  </w:abstractNum>
  <w:abstractNum w:abstractNumId="33">
    <w:nsid w:val="6B47F63E"/>
    <w:multiLevelType w:val="hybridMultilevel"/>
    <w:lvl w:ilvl="0">
      <w:lvlJc w:val="left"/>
      <w:lvlText w:val="-"/>
      <w:numFmt w:val="bullet"/>
      <w:start w:val="1"/>
    </w:lvl>
  </w:abstractNum>
  <w:abstractNum w:abstractNumId="34">
    <w:nsid w:val="5CB44A05"/>
    <w:multiLevelType w:val="hybridMultilevel"/>
    <w:lvl w:ilvl="0">
      <w:lvlJc w:val="left"/>
      <w:lvlText w:val="-"/>
      <w:numFmt w:val="bullet"/>
      <w:start w:val="1"/>
    </w:lvl>
  </w:abstractNum>
  <w:abstractNum w:abstractNumId="35">
    <w:nsid w:val="16CF80F1"/>
    <w:multiLevelType w:val="hybridMultilevel"/>
    <w:lvl w:ilvl="0">
      <w:lvlJc w:val="left"/>
      <w:lvlText w:val="-"/>
      <w:numFmt w:val="bullet"/>
      <w:start w:val="1"/>
    </w:lvl>
  </w:abstractNum>
  <w:abstractNum w:abstractNumId="36">
    <w:nsid w:val="1C695DEC"/>
    <w:multiLevelType w:val="hybridMultilevel"/>
    <w:lvl w:ilvl="0">
      <w:lvlJc w:val="left"/>
      <w:lvlText w:val="-"/>
      <w:numFmt w:val="bullet"/>
      <w:start w:val="1"/>
    </w:lvl>
  </w:abstractNum>
  <w:abstractNum w:abstractNumId="37">
    <w:nsid w:val="3FCFAED9"/>
    <w:multiLevelType w:val="hybridMultilevel"/>
    <w:lvl w:ilvl="0">
      <w:lvlJc w:val="left"/>
      <w:lvlText w:val="-"/>
      <w:numFmt w:val="bullet"/>
      <w:start w:val="1"/>
    </w:lvl>
  </w:abstractNum>
  <w:abstractNum w:abstractNumId="38">
    <w:nsid w:val="F856867"/>
    <w:multiLevelType w:val="hybridMultilevel"/>
    <w:lvl w:ilvl="0">
      <w:lvlJc w:val="left"/>
      <w:lvlText w:val="-"/>
      <w:numFmt w:val="bullet"/>
      <w:start w:val="1"/>
    </w:lvl>
  </w:abstractNum>
  <w:abstractNum w:abstractNumId="39">
    <w:nsid w:val="11B1CC33"/>
    <w:multiLevelType w:val="hybridMultilevel"/>
    <w:lvl w:ilvl="0">
      <w:lvlJc w:val="left"/>
      <w:lvlText w:val="-"/>
      <w:numFmt w:val="bullet"/>
      <w:start w:val="1"/>
    </w:lvl>
  </w:abstractNum>
  <w:abstractNum w:abstractNumId="40">
    <w:nsid w:val="2E22FBB7"/>
    <w:multiLevelType w:val="hybridMultilevel"/>
    <w:lvl w:ilvl="0">
      <w:lvlJc w:val="left"/>
      <w:lvlText w:val="-"/>
      <w:numFmt w:val="bullet"/>
      <w:start w:val="1"/>
    </w:lvl>
  </w:abstractNum>
  <w:abstractNum w:abstractNumId="41">
    <w:nsid w:val="29934699"/>
    <w:multiLevelType w:val="hybridMultilevel"/>
    <w:lvl w:ilvl="0">
      <w:lvlJc w:val="left"/>
      <w:lvlText w:val="-"/>
      <w:numFmt w:val="bullet"/>
      <w:start w:val="1"/>
    </w:lvl>
  </w:abstractNum>
  <w:abstractNum w:abstractNumId="42">
    <w:nsid w:val="77485850"/>
    <w:multiLevelType w:val="hybridMultilevel"/>
    <w:lvl w:ilvl="0">
      <w:lvlJc w:val="left"/>
      <w:lvlText w:val="(%1)"/>
      <w:numFmt w:val="decimal"/>
      <w:start w:val="1"/>
    </w:lvl>
    <w:lvl w:ilvl="1">
      <w:lvlJc w:val="left"/>
      <w:lvlText w:val="-"/>
      <w:numFmt w:val="bullet"/>
      <w:start w:val="1"/>
    </w:lvl>
  </w:abstractNum>
  <w:abstractNum w:abstractNumId="43">
    <w:nsid w:val="744939A3"/>
    <w:multiLevelType w:val="hybridMultilevel"/>
    <w:lvl w:ilvl="0">
      <w:lvlJc w:val="left"/>
      <w:lvlText w:val="-"/>
      <w:numFmt w:val="bullet"/>
      <w:start w:val="1"/>
    </w:lvl>
  </w:abstractNum>
  <w:abstractNum w:abstractNumId="44">
    <w:nsid w:val="4FA0D2E3"/>
    <w:multiLevelType w:val="hybridMultilevel"/>
    <w:lvl w:ilvl="0">
      <w:lvlJc w:val="left"/>
      <w:lvlText w:val="-"/>
      <w:numFmt w:val="bullet"/>
      <w:start w:val="1"/>
    </w:lvl>
  </w:abstractNum>
  <w:abstractNum w:abstractNumId="45">
    <w:nsid w:val="6B1D2C14"/>
    <w:multiLevelType w:val="hybridMultilevel"/>
    <w:lvl w:ilvl="0">
      <w:lvlJc w:val="left"/>
      <w:lvlText w:val="(%1)"/>
      <w:numFmt w:val="lowerLetter"/>
      <w:start w:val="1"/>
    </w:lvl>
  </w:abstractNum>
  <w:abstractNum w:abstractNumId="46">
    <w:nsid w:val="68B867D3"/>
    <w:multiLevelType w:val="hybridMultilevel"/>
    <w:lvl w:ilvl="0">
      <w:lvlJc w:val="left"/>
      <w:lvlText w:val="-"/>
      <w:numFmt w:val="bullet"/>
      <w:start w:val="1"/>
    </w:lvl>
  </w:abstractNum>
  <w:abstractNum w:abstractNumId="47">
    <w:nsid w:val="3F7F5DD9"/>
    <w:multiLevelType w:val="hybridMultilevel"/>
    <w:lvl w:ilvl="0">
      <w:lvlJc w:val="left"/>
      <w:lvlText w:val="(%1)"/>
      <w:numFmt w:val="lowerLetter"/>
      <w:start w:val="3"/>
    </w:lvl>
  </w:abstractNum>
  <w:abstractNum w:abstractNumId="48">
    <w:nsid w:val="2AE05A34"/>
    <w:multiLevelType w:val="hybridMultilevel"/>
    <w:lvl w:ilvl="0">
      <w:lvlJc w:val="left"/>
      <w:lvlText w:val="-"/>
      <w:numFmt w:val="bullet"/>
      <w:start w:val="1"/>
    </w:lvl>
  </w:abstractNum>
  <w:abstractNum w:abstractNumId="49">
    <w:nsid w:val="32794FF7"/>
    <w:multiLevelType w:val="hybridMultilevel"/>
    <w:lvl w:ilvl="0">
      <w:lvlJc w:val="left"/>
      <w:lvlText w:val="-"/>
      <w:numFmt w:val="bullet"/>
      <w:start w:val="1"/>
    </w:lvl>
  </w:abstractNum>
  <w:abstractNum w:abstractNumId="50">
    <w:nsid w:val="5454945E"/>
    <w:multiLevelType w:val="hybridMultilevel"/>
    <w:lvl w:ilvl="0">
      <w:lvlJc w:val="left"/>
      <w:lvlText w:val="-"/>
      <w:numFmt w:val="bullet"/>
      <w:start w:val="1"/>
    </w:lvl>
  </w:abstractNum>
  <w:abstractNum w:abstractNumId="51">
    <w:nsid w:val="4DEFDFA0"/>
    <w:multiLevelType w:val="hybridMultilevel"/>
    <w:lvl w:ilvl="0">
      <w:lvlJc w:val="left"/>
      <w:lvlText w:val="-"/>
      <w:numFmt w:val="bullet"/>
      <w:start w:val="1"/>
    </w:lvl>
  </w:abstractNum>
  <w:abstractNum w:abstractNumId="52">
    <w:nsid w:val="2123D5F2"/>
    <w:multiLevelType w:val="hybridMultilevel"/>
    <w:lvl w:ilvl="0">
      <w:lvlJc w:val="left"/>
      <w:lvlText w:val="(%1)"/>
      <w:numFmt w:val="decimal"/>
      <w:start w:val="2"/>
    </w:lvl>
  </w:abstractNum>
  <w:abstractNum w:abstractNumId="53">
    <w:nsid w:val="135B8110"/>
    <w:multiLevelType w:val="hybridMultilevel"/>
    <w:lvl w:ilvl="0">
      <w:lvlJc w:val="left"/>
      <w:lvlText w:val="(%1)"/>
      <w:numFmt w:val="decimal"/>
      <w:start w:val="617"/>
    </w:lvl>
  </w:abstractNum>
  <w:abstractNum w:abstractNumId="54">
    <w:nsid w:val="94927A8"/>
    <w:multiLevelType w:val="hybridMultilevel"/>
    <w:lvl w:ilvl="0">
      <w:lvlJc w:val="left"/>
      <w:lvlText w:val="-"/>
      <w:numFmt w:val="bullet"/>
      <w:start w:val="1"/>
    </w:lvl>
  </w:abstractNum>
  <w:abstractNum w:abstractNumId="55">
    <w:nsid w:val="DCDF8F6"/>
    <w:multiLevelType w:val="hybridMultilevel"/>
    <w:lvl w:ilvl="0">
      <w:lvlJc w:val="left"/>
      <w:lvlText w:val="---"/>
      <w:numFmt w:val="bullet"/>
      <w:start w:val="1"/>
    </w:lvl>
    <w:lvl w:ilvl="1">
      <w:lvlJc w:val="left"/>
      <w:lvlText w:val="----"/>
      <w:numFmt w:val="bullet"/>
      <w:start w:val="1"/>
    </w:lvl>
  </w:abstractNum>
  <w:abstractNum w:abstractNumId="56">
    <w:nsid w:val="52D7B105"/>
    <w:multiLevelType w:val="hybridMultilevel"/>
    <w:lvl w:ilvl="0">
      <w:lvlJc w:val="left"/>
      <w:lvlText w:val="-"/>
      <w:numFmt w:val="bullet"/>
      <w:start w:val="1"/>
    </w:lvl>
  </w:abstractNum>
  <w:abstractNum w:abstractNumId="57">
    <w:nsid w:val="2E8A6394"/>
    <w:multiLevelType w:val="hybridMultilevel"/>
    <w:lvl w:ilvl="0">
      <w:lvlJc w:val="left"/>
      <w:lvlText w:val="-"/>
      <w:numFmt w:val="bullet"/>
      <w:start w:val="1"/>
    </w:lvl>
  </w:abstractNum>
  <w:abstractNum w:abstractNumId="58">
    <w:nsid w:val="24E60401"/>
    <w:multiLevelType w:val="hybridMultilevel"/>
    <w:lvl w:ilvl="0">
      <w:lvlJc w:val="left"/>
      <w:lvlText w:val="(%1)"/>
      <w:numFmt w:val="decimal"/>
      <w:start w:val="1"/>
    </w:lvl>
  </w:abstractNum>
  <w:abstractNum w:abstractNumId="59">
    <w:nsid w:val="2A6AD9BE"/>
    <w:multiLevelType w:val="hybridMultilevel"/>
    <w:lvl w:ilvl="0">
      <w:lvlJc w:val="left"/>
      <w:lvlText w:val="-"/>
      <w:numFmt w:val="bullet"/>
      <w:start w:val="1"/>
    </w:lvl>
  </w:abstractNum>
  <w:abstractNum w:abstractNumId="60">
    <w:nsid w:val="BAAC1B4"/>
    <w:multiLevelType w:val="hybridMultilevel"/>
    <w:lvl w:ilvl="0">
      <w:lvlJc w:val="left"/>
      <w:lvlText w:val="-"/>
      <w:numFmt w:val="bullet"/>
      <w:start w:val="1"/>
    </w:lvl>
  </w:abstractNum>
  <w:abstractNum w:abstractNumId="61">
    <w:nsid w:val="36B2ACBC"/>
    <w:multiLevelType w:val="hybridMultilevel"/>
    <w:lvl w:ilvl="0">
      <w:lvlJc w:val="left"/>
      <w:lvlText w:val="$"/>
      <w:numFmt w:val="bullet"/>
      <w:start w:val="1"/>
    </w:lvl>
  </w:abstractNum>
  <w:abstractNum w:abstractNumId="62">
    <w:nsid w:val="779D8544"/>
    <w:multiLevelType w:val="hybridMultilevel"/>
    <w:lvl w:ilvl="0">
      <w:lvlJc w:val="left"/>
      <w:lvlText w:val="("/>
      <w:numFmt w:val="bullet"/>
      <w:start w:val="1"/>
    </w:lvl>
  </w:abstractNum>
  <w:abstractNum w:abstractNumId="63">
    <w:nsid w:val="4AB26E78"/>
    <w:multiLevelType w:val="hybridMultilevel"/>
    <w:lvl w:ilvl="0">
      <w:lvlJc w:val="left"/>
      <w:lvlText w:val="-"/>
      <w:numFmt w:val="bullet"/>
      <w:start w:val="1"/>
    </w:lvl>
  </w:abstractNum>
  <w:abstractNum w:abstractNumId="64">
    <w:nsid w:val="21FAA2FA"/>
    <w:multiLevelType w:val="hybridMultilevel"/>
    <w:lvl w:ilvl="0">
      <w:lvlJc w:val="left"/>
      <w:lvlText w:val="-"/>
      <w:numFmt w:val="bullet"/>
      <w:start w:val="1"/>
    </w:lvl>
  </w:abstractNum>
  <w:abstractNum w:abstractNumId="65">
    <w:nsid w:val="5451CF49"/>
    <w:multiLevelType w:val="hybridMultilevel"/>
    <w:lvl w:ilvl="0">
      <w:lvlJc w:val="left"/>
      <w:lvlText w:val="(%1)"/>
      <w:numFmt w:val="decimal"/>
      <w:start w:val="1"/>
    </w:lvl>
  </w:abstractNum>
  <w:abstractNum w:abstractNumId="66">
    <w:nsid w:val="6181EF69"/>
    <w:multiLevelType w:val="hybridMultilevel"/>
    <w:lvl w:ilvl="0">
      <w:lvlJc w:val="left"/>
      <w:lvlText w:val="-"/>
      <w:numFmt w:val="bullet"/>
      <w:start w:val="1"/>
    </w:lvl>
  </w:abstractNum>
  <w:abstractNum w:abstractNumId="67">
    <w:nsid w:val="3E6400E6"/>
    <w:multiLevelType w:val="hybridMultilevel"/>
    <w:lvl w:ilvl="0">
      <w:lvlJc w:val="left"/>
      <w:lvlText w:val="(%1)"/>
      <w:numFmt w:val="decimal"/>
      <w:start w:val="2"/>
    </w:lvl>
  </w:abstractNum>
  <w:abstractNum w:abstractNumId="68">
    <w:nsid w:val="14217E23"/>
    <w:multiLevelType w:val="hybridMultilevel"/>
    <w:lvl w:ilvl="0">
      <w:lvlJc w:val="left"/>
      <w:lvlText w:val="(%1)"/>
      <w:numFmt w:val="decimal"/>
      <w:start w:val="5"/>
    </w:lvl>
  </w:abstractNum>
  <w:abstractNum w:abstractNumId="69">
    <w:nsid w:val="710757D0"/>
    <w:multiLevelType w:val="hybridMultilevel"/>
    <w:lvl w:ilvl="0">
      <w:lvlJc w:val="left"/>
      <w:lvlText w:val="-"/>
      <w:numFmt w:val="bullet"/>
      <w:start w:val="1"/>
    </w:lvl>
  </w:abstractNum>
  <w:abstractNum w:abstractNumId="70">
    <w:nsid w:val="5015CD1A"/>
    <w:multiLevelType w:val="hybridMultilevel"/>
    <w:lvl w:ilvl="0">
      <w:lvlJc w:val="left"/>
      <w:lvlText w:val="(%1)"/>
      <w:numFmt w:val="decimal"/>
      <w:start w:val="12"/>
    </w:lvl>
  </w:abstractNum>
  <w:abstractNum w:abstractNumId="71">
    <w:nsid w:val="424479DA"/>
    <w:multiLevelType w:val="hybridMultilevel"/>
    <w:lvl w:ilvl="0">
      <w:lvlJc w:val="left"/>
      <w:lvlText w:val="-"/>
      <w:numFmt w:val="bullet"/>
      <w:start w:val="1"/>
    </w:lvl>
  </w:abstractNum>
  <w:abstractNum w:abstractNumId="72">
    <w:nsid w:val="1A9A9E69"/>
    <w:multiLevelType w:val="hybridMultilevel"/>
    <w:lvl w:ilvl="0">
      <w:lvlJc w:val="left"/>
      <w:lvlText w:val="-"/>
      <w:numFmt w:val="bullet"/>
      <w:start w:val="1"/>
    </w:lvl>
  </w:abstractNum>
  <w:abstractNum w:abstractNumId="73">
    <w:nsid w:val="475E256A"/>
    <w:multiLevelType w:val="hybridMultilevel"/>
    <w:lvl w:ilvl="0">
      <w:lvlJc w:val="left"/>
      <w:lvlText w:val="(%1)"/>
      <w:numFmt w:val="decimal"/>
      <w:start w:val="1"/>
    </w:lvl>
    <w:lvl w:ilvl="1">
      <w:lvlJc w:val="left"/>
      <w:lvlText w:val="(%2)"/>
      <w:numFmt w:val="lowerLetter"/>
      <w:start w:val="1"/>
    </w:lvl>
  </w:abstractNum>
  <w:abstractNum w:abstractNumId="74">
    <w:nsid w:val="368DB37E"/>
    <w:multiLevelType w:val="hybridMultilevel"/>
    <w:lvl w:ilvl="0">
      <w:lvlJc w:val="left"/>
      <w:lvlText w:val="(%1)"/>
      <w:numFmt w:val="lowerLetter"/>
      <w:start w:val="2"/>
    </w:lvl>
  </w:abstractNum>
  <w:abstractNum w:abstractNumId="75">
    <w:nsid w:val="6A3B714C"/>
    <w:multiLevelType w:val="hybridMultilevel"/>
    <w:lvl w:ilvl="0">
      <w:lvlJc w:val="left"/>
      <w:lvlText w:val="(%1)"/>
      <w:numFmt w:val="decimal"/>
      <w:start w:val="1"/>
    </w:lvl>
  </w:abstractNum>
  <w:abstractNum w:abstractNumId="76">
    <w:nsid w:val="327B517E"/>
    <w:multiLevelType w:val="hybridMultilevel"/>
    <w:lvl w:ilvl="0">
      <w:lvlJc w:val="left"/>
      <w:lvlText w:val="(%1)"/>
      <w:numFmt w:val="decimal"/>
      <w:start w:val="1"/>
    </w:lvl>
  </w:abstractNum>
  <w:abstractNum w:abstractNumId="77">
    <w:nsid w:val="1F461B51"/>
    <w:multiLevelType w:val="hybridMultilevel"/>
    <w:lvl w:ilvl="0">
      <w:lvlJc w:val="left"/>
      <w:lvlText w:val="(%1)"/>
      <w:numFmt w:val="decimal"/>
      <w:start w:val="1"/>
    </w:lvl>
  </w:abstractNum>
  <w:abstractNum w:abstractNumId="78">
    <w:nsid w:val="29BACF25"/>
    <w:multiLevelType w:val="hybridMultilevel"/>
    <w:lvl w:ilvl="0">
      <w:lvlJc w:val="left"/>
      <w:lvlText w:val="(%1)"/>
      <w:numFmt w:val="decimal"/>
      <w:start w:val="2"/>
    </w:lvl>
  </w:abstractNum>
  <w:abstractNum w:abstractNumId="79">
    <w:nsid w:val="5D5BABB3"/>
    <w:multiLevelType w:val="hybridMultilevel"/>
    <w:lvl w:ilvl="0">
      <w:lvlJc w:val="left"/>
      <w:lvlText w:val="(%1)"/>
      <w:numFmt w:val="decimal"/>
      <w:start w:val="1"/>
    </w:lvl>
  </w:abstractNum>
  <w:abstractNum w:abstractNumId="80">
    <w:nsid w:val="51BF6B48"/>
    <w:multiLevelType w:val="hybridMultilevel"/>
    <w:lvl w:ilvl="0">
      <w:lvlJc w:val="left"/>
      <w:lvlText w:val="(%1)"/>
      <w:numFmt w:val="decimal"/>
      <w:start w:val="1"/>
    </w:lvl>
  </w:abstractNum>
  <w:abstractNum w:abstractNumId="81">
    <w:nsid w:val="7E0F6384"/>
    <w:multiLevelType w:val="hybridMultilevel"/>
    <w:lvl w:ilvl="0">
      <w:lvlJc w:val="left"/>
      <w:lvlText w:val="-"/>
      <w:numFmt w:val="bullet"/>
      <w:start w:val="1"/>
    </w:lvl>
  </w:abstractNum>
  <w:abstractNum w:abstractNumId="82">
    <w:nsid w:val="2B4B8B53"/>
    <w:multiLevelType w:val="hybridMultilevel"/>
    <w:lvl w:ilvl="0">
      <w:lvlJc w:val="left"/>
      <w:lvlText w:val="(%1)"/>
      <w:numFmt w:val="decimal"/>
      <w:start w:val="1"/>
    </w:lvl>
  </w:abstractNum>
  <w:abstractNum w:abstractNumId="83">
    <w:nsid w:val="72E3413A"/>
    <w:multiLevelType w:val="hybridMultilevel"/>
    <w:lvl w:ilvl="0">
      <w:lvlJc w:val="left"/>
      <w:lvlText w:val="(%1)"/>
      <w:numFmt w:val="decimal"/>
      <w:start w:val="1"/>
    </w:lvl>
    <w:lvl w:ilvl="1">
      <w:lvlJc w:val="left"/>
      <w:lvlText w:val="(%2)"/>
      <w:numFmt w:val="lowerLetter"/>
      <w:start w:val="1"/>
    </w:lvl>
  </w:abstractNum>
  <w:abstractNum w:abstractNumId="84">
    <w:nsid w:val="116AE494"/>
    <w:multiLevelType w:val="hybridMultilevel"/>
    <w:lvl w:ilvl="0">
      <w:lvlJc w:val="left"/>
      <w:lvlText w:val="(%1)"/>
      <w:numFmt w:val="lowerRoman"/>
      <w:start w:val="1"/>
    </w:lvl>
  </w:abstractNum>
  <w:abstractNum w:abstractNumId="85">
    <w:nsid w:val="3494B2FB"/>
    <w:multiLevelType w:val="hybridMultilevel"/>
    <w:lvl w:ilvl="0">
      <w:lvlJc w:val="left"/>
      <w:lvlText w:val="(%1)"/>
      <w:numFmt w:val="lowerRoman"/>
      <w:start w:val="2"/>
    </w:lvl>
  </w:abstractNum>
  <w:abstractNum w:abstractNumId="86">
    <w:nsid w:val="B13A31"/>
    <w:multiLevelType w:val="hybridMultilevel"/>
    <w:lvl w:ilvl="0">
      <w:lvlJc w:val="left"/>
      <w:lvlText w:val="(%1)"/>
      <w:numFmt w:val="decimal"/>
      <w:start w:val="1"/>
    </w:lvl>
  </w:abstractNum>
  <w:abstractNum w:abstractNumId="87">
    <w:nsid w:val="64429599"/>
    <w:multiLevelType w:val="hybridMultilevel"/>
    <w:lvl w:ilvl="0">
      <w:lvlJc w:val="left"/>
      <w:lvlText w:val="(%1)"/>
      <w:numFmt w:val="decimal"/>
      <w:start w:val="1"/>
    </w:lvl>
  </w:abstractNum>
  <w:abstractNum w:abstractNumId="88">
    <w:nsid w:val="631F1690"/>
    <w:multiLevelType w:val="hybridMultilevel"/>
    <w:lvl w:ilvl="0">
      <w:lvlJc w:val="left"/>
      <w:lvlText w:val="(%1)"/>
      <w:numFmt w:val="decimal"/>
      <w:start w:val="1"/>
    </w:lvl>
  </w:abstractNum>
  <w:abstractNum w:abstractNumId="89">
    <w:nsid w:val="25973E32"/>
    <w:multiLevelType w:val="hybridMultilevel"/>
    <w:lvl w:ilvl="0">
      <w:lvlJc w:val="left"/>
      <w:lvlText w:val="(%1)"/>
      <w:numFmt w:val="decimal"/>
      <w:start w:val="1"/>
    </w:lvl>
  </w:abstractNum>
  <w:abstractNum w:abstractNumId="90">
    <w:nsid w:val="EAD6F57"/>
    <w:multiLevelType w:val="hybridMultilevel"/>
    <w:lvl w:ilvl="0">
      <w:lvlJc w:val="left"/>
      <w:lvlText w:val="(%1)"/>
      <w:numFmt w:val="decimal"/>
      <w:start w:val="4"/>
    </w:lvl>
    <w:lvl w:ilvl="1">
      <w:lvlJc w:val="left"/>
      <w:lvlText w:val="(%2)"/>
      <w:numFmt w:val="lowerLetter"/>
      <w:start w:val="1"/>
    </w:lvl>
  </w:abstractNum>
  <w:abstractNum w:abstractNumId="91">
    <w:nsid w:val="6EC9D844"/>
    <w:multiLevelType w:val="hybridMultilevel"/>
    <w:lvl w:ilvl="0">
      <w:lvlJc w:val="left"/>
      <w:lvlText w:val="(%1)"/>
      <w:numFmt w:val="decimal"/>
      <w:start w:val="1"/>
    </w:lvl>
  </w:abstractNum>
  <w:abstractNum w:abstractNumId="92">
    <w:nsid w:val="5C49EAEE"/>
    <w:multiLevelType w:val="hybridMultilevel"/>
    <w:lvl w:ilvl="0">
      <w:lvlJc w:val="left"/>
      <w:lvlText w:val="(%1)"/>
      <w:numFmt w:val="decimal"/>
      <w:start w:val="5"/>
    </w:lvl>
  </w:abstractNum>
  <w:abstractNum w:abstractNumId="93">
    <w:nsid w:val="64AF49B"/>
    <w:multiLevelType w:val="hybridMultilevel"/>
    <w:lvl w:ilvl="0">
      <w:lvlJc w:val="left"/>
      <w:lvlText w:val="(%1)"/>
      <w:numFmt w:val="decimal"/>
      <w:start w:val="1"/>
    </w:lvl>
    <w:lvl w:ilvl="1">
      <w:lvlJc w:val="left"/>
      <w:lvlText w:val="(%2)"/>
      <w:numFmt w:val="lowerLetter"/>
      <w:start w:val="1"/>
    </w:lvl>
  </w:abstractNum>
  <w:abstractNum w:abstractNumId="94">
    <w:nsid w:val="397C46BC"/>
    <w:multiLevelType w:val="hybridMultilevel"/>
    <w:lvl w:ilvl="0">
      <w:lvlJc w:val="left"/>
      <w:lvlText w:val="%1"/>
      <w:numFmt w:val="decimal"/>
      <w:start w:val="1"/>
    </w:lvl>
    <w:lvl w:ilvl="1">
      <w:lvlJc w:val="left"/>
      <w:lvlText w:val="(%2)"/>
      <w:numFmt w:val="lowerLetter"/>
      <w:start w:val="2"/>
    </w:lvl>
  </w:abstractNum>
  <w:abstractNum w:abstractNumId="95">
    <w:nsid w:val="7E448DE9"/>
    <w:multiLevelType w:val="hybridMultilevel"/>
    <w:lvl w:ilvl="0">
      <w:lvlJc w:val="left"/>
      <w:lvlText w:val="(%1)"/>
      <w:numFmt w:val="decimal"/>
      <w:start w:val="7"/>
    </w:lvl>
    <w:lvl w:ilvl="1">
      <w:lvlJc w:val="left"/>
      <w:lvlText w:val="%2"/>
      <w:numFmt w:val="lowerLetter"/>
      <w:start w:val="1"/>
    </w:lvl>
  </w:abstractNum>
  <w:abstractNum w:abstractNumId="96">
    <w:nsid w:val="5A9CC3E5"/>
    <w:multiLevelType w:val="hybridMultilevel"/>
    <w:lvl w:ilvl="0">
      <w:lvlJc w:val="left"/>
      <w:lvlText w:val="(%1)"/>
      <w:numFmt w:val="decimal"/>
      <w:start w:val="1"/>
    </w:lvl>
  </w:abstractNum>
  <w:abstractNum w:abstractNumId="97">
    <w:nsid w:val="1AFE3625"/>
    <w:multiLevelType w:val="hybridMultilevel"/>
    <w:lvl w:ilvl="0">
      <w:lvlJc w:val="left"/>
      <w:lvlText w:val="(%1)"/>
      <w:numFmt w:val="decimal"/>
      <w:start w:val="1"/>
    </w:lvl>
  </w:abstractNum>
  <w:abstractNum w:abstractNumId="98">
    <w:nsid w:val="3CA88ECF"/>
    <w:multiLevelType w:val="hybridMultilevel"/>
    <w:lvl w:ilvl="0">
      <w:lvlJc w:val="left"/>
      <w:lvlText w:val="(%1)"/>
      <w:numFmt w:val="decimal"/>
      <w:start w:val="3"/>
    </w:lvl>
  </w:abstractNum>
  <w:abstractNum w:abstractNumId="99">
    <w:nsid w:val="6EBE4208"/>
    <w:multiLevelType w:val="hybridMultilevel"/>
    <w:lvl w:ilvl="0">
      <w:lvlJc w:val="left"/>
      <w:lvlText w:val="(%1)"/>
      <w:numFmt w:val="decimal"/>
      <w:start w:val="1"/>
    </w:lvl>
  </w:abstractNum>
  <w:abstractNum w:abstractNumId="100">
    <w:nsid w:val="C058DF5"/>
    <w:multiLevelType w:val="hybridMultilevel"/>
    <w:lvl w:ilvl="0">
      <w:lvlJc w:val="left"/>
      <w:lvlText w:val="(%1)"/>
      <w:numFmt w:val="decimal"/>
      <w:start w:val="2"/>
    </w:lvl>
  </w:abstractNum>
  <w:abstractNum w:abstractNumId="101">
    <w:nsid w:val="CBE5BE9"/>
    <w:multiLevelType w:val="hybridMultilevel"/>
    <w:lvl w:ilvl="0">
      <w:lvlJc w:val="left"/>
      <w:lvlText w:val="(%1)"/>
      <w:numFmt w:val="decimal"/>
      <w:start w:val="1"/>
    </w:lvl>
    <w:lvl w:ilvl="1">
      <w:lvlJc w:val="left"/>
      <w:lvlText w:val="(%2)"/>
      <w:numFmt w:val="lowerLetter"/>
      <w:start w:val="1"/>
    </w:lvl>
  </w:abstractNum>
  <w:abstractNum w:abstractNumId="102">
    <w:nsid w:val="3102BBE2"/>
    <w:multiLevelType w:val="hybridMultilevel"/>
    <w:lvl w:ilvl="0">
      <w:lvlJc w:val="left"/>
      <w:lvlText w:val="(%1)"/>
      <w:numFmt w:val="decimal"/>
      <w:start w:val="1"/>
    </w:lvl>
  </w:abstractNum>
  <w:abstractNum w:abstractNumId="103">
    <w:nsid w:val="26A02C5E"/>
    <w:multiLevelType w:val="hybridMultilevel"/>
    <w:lvl w:ilvl="0">
      <w:lvlJc w:val="left"/>
      <w:lvlText w:val="(%1)"/>
      <w:numFmt w:val="decimal"/>
      <w:start w:val="1"/>
    </w:lvl>
  </w:abstractNum>
  <w:abstractNum w:abstractNumId="104">
    <w:nsid w:val="541C8153"/>
    <w:multiLevelType w:val="hybridMultilevel"/>
    <w:lvl w:ilvl="0">
      <w:lvlJc w:val="left"/>
      <w:lvlText w:val="(%1)"/>
      <w:numFmt w:val="decimal"/>
      <w:start w:val="2"/>
    </w:lvl>
  </w:abstractNum>
  <w:abstractNum w:abstractNumId="105">
    <w:nsid w:val="67906F60"/>
    <w:multiLevelType w:val="hybridMultilevel"/>
    <w:lvl w:ilvl="0">
      <w:lvlJc w:val="left"/>
      <w:lvlText w:val="(%1)"/>
      <w:numFmt w:val="decimal"/>
      <w:start w:val="1"/>
    </w:lvl>
  </w:abstractNum>
  <w:abstractNum w:abstractNumId="106">
    <w:nsid w:val="10DB9DAA"/>
    <w:multiLevelType w:val="hybridMultilevel"/>
    <w:lvl w:ilvl="0">
      <w:lvlJc w:val="left"/>
      <w:lvlText w:val="(%1)"/>
      <w:numFmt w:val="decimal"/>
      <w:start w:val="1"/>
    </w:lvl>
  </w:abstractNum>
  <w:abstractNum w:abstractNumId="107">
    <w:nsid w:val="697D2D2"/>
    <w:multiLevelType w:val="hybridMultilevel"/>
    <w:lvl w:ilvl="0">
      <w:lvlJc w:val="left"/>
      <w:lvlText w:val="(%1)"/>
      <w:numFmt w:val="decimal"/>
      <w:start w:val="4"/>
    </w:lvl>
    <w:lvl w:ilvl="1">
      <w:lvlJc w:val="left"/>
      <w:lvlText w:val="(%2)"/>
      <w:numFmt w:val="lowerLetter"/>
      <w:start w:val="1"/>
    </w:lvl>
  </w:abstractNum>
  <w:abstractNum w:abstractNumId="108">
    <w:nsid w:val="6D68AB2"/>
    <w:multiLevelType w:val="hybridMultilevel"/>
    <w:lvl w:ilvl="0">
      <w:lvlJc w:val="left"/>
      <w:lvlText w:val="(%1)"/>
      <w:numFmt w:val="decimal"/>
      <w:start w:val="6"/>
    </w:lvl>
  </w:abstractNum>
  <w:abstractNum w:abstractNumId="109">
    <w:nsid w:val="3A966CD0"/>
    <w:multiLevelType w:val="hybridMultilevel"/>
    <w:lvl w:ilvl="0">
      <w:lvlJc w:val="left"/>
      <w:lvlText w:val="(%1)"/>
      <w:numFmt w:val="decimal"/>
      <w:start w:val="1"/>
    </w:lvl>
  </w:abstractNum>
  <w:abstractNum w:abstractNumId="110">
    <w:nsid w:val="63F37E85"/>
    <w:multiLevelType w:val="hybridMultilevel"/>
    <w:lvl w:ilvl="0">
      <w:lvlJc w:val="left"/>
      <w:lvlText w:val="(%1)"/>
      <w:numFmt w:val="decimal"/>
      <w:start w:val="1"/>
    </w:lvl>
  </w:abstractNum>
  <w:abstractNum w:abstractNumId="111">
    <w:nsid w:val="5895F5FA"/>
    <w:multiLevelType w:val="hybridMultilevel"/>
    <w:lvl w:ilvl="0">
      <w:lvlJc w:val="left"/>
      <w:lvlText w:val="(%1)"/>
      <w:numFmt w:val="decimal"/>
      <w:start w:val="7"/>
    </w:lvl>
  </w:abstractNum>
  <w:abstractNum w:abstractNumId="112">
    <w:nsid w:val="38A5D054"/>
    <w:multiLevelType w:val="hybridMultilevel"/>
    <w:lvl w:ilvl="0">
      <w:lvlJc w:val="left"/>
      <w:lvlText w:val="(%1)"/>
      <w:numFmt w:val="decimal"/>
      <w:start w:val="1"/>
    </w:lvl>
  </w:abstractNum>
  <w:abstractNum w:abstractNumId="113">
    <w:nsid w:val="F3F09D8"/>
    <w:multiLevelType w:val="hybridMultilevel"/>
    <w:lvl w:ilvl="0">
      <w:lvlJc w:val="left"/>
      <w:lvlText w:val="(%1)"/>
      <w:numFmt w:val="decimal"/>
      <w:start w:val="1"/>
    </w:lvl>
  </w:abstractNum>
  <w:abstractNum w:abstractNumId="114">
    <w:nsid w:val="4B793735"/>
    <w:multiLevelType w:val="hybridMultilevel"/>
    <w:lvl w:ilvl="0">
      <w:lvlJc w:val="left"/>
      <w:lvlText w:val="(%1)"/>
      <w:numFmt w:val="decimal"/>
      <w:start w:val="3"/>
    </w:lvl>
  </w:abstractNum>
  <w:abstractNum w:abstractNumId="115">
    <w:nsid w:val="4A10B4E8"/>
    <w:multiLevelType w:val="hybridMultilevel"/>
    <w:lvl w:ilvl="0">
      <w:lvlJc w:val="left"/>
      <w:lvlText w:val="(%1)"/>
      <w:numFmt w:val="decimal"/>
      <w:start w:val="1"/>
    </w:lvl>
  </w:abstractNum>
  <w:abstractNum w:abstractNumId="116">
    <w:nsid w:val="43D3BCD4"/>
    <w:multiLevelType w:val="hybridMultilevel"/>
    <w:lvl w:ilvl="0">
      <w:lvlJc w:val="left"/>
      <w:lvlText w:val="(%1)"/>
      <w:numFmt w:val="decimal"/>
      <w:start w:val="1"/>
    </w:lvl>
  </w:abstractNum>
  <w:abstractNum w:abstractNumId="117">
    <w:nsid w:val="4C2A7166"/>
    <w:multiLevelType w:val="hybridMultilevel"/>
    <w:lvl w:ilvl="0">
      <w:lvlJc w:val="left"/>
      <w:lvlText w:val="(%1)"/>
      <w:numFmt w:val="decimal"/>
      <w:start w:val="1"/>
    </w:lvl>
    <w:lvl w:ilvl="1">
      <w:lvlJc w:val="left"/>
      <w:lvlText w:val="(%2)"/>
      <w:numFmt w:val="lowerLetter"/>
      <w:start w:val="9"/>
    </w:lvl>
  </w:abstractNum>
  <w:abstractNum w:abstractNumId="118">
    <w:nsid w:val="2E534A82"/>
    <w:multiLevelType w:val="hybridMultilevel"/>
    <w:lvl w:ilvl="0">
      <w:lvlJc w:val="left"/>
      <w:lvlText w:val="%1"/>
      <w:numFmt w:val="decimal"/>
      <w:start w:val="1"/>
    </w:lvl>
    <w:lvl w:ilvl="1">
      <w:lvlJc w:val="left"/>
      <w:lvlText w:val="(%2)"/>
      <w:numFmt w:val="lowerRoman"/>
      <w:start w:val="2"/>
    </w:lvl>
  </w:abstractNum>
  <w:abstractNum w:abstractNumId="119">
    <w:nsid w:val="26F2D364"/>
    <w:multiLevelType w:val="hybridMultilevel"/>
    <w:lvl w:ilvl="0">
      <w:lvlJc w:val="left"/>
      <w:lvlText w:val="(%1)"/>
      <w:numFmt w:val="decimal"/>
      <w:start w:val="6"/>
    </w:lvl>
    <w:lvl w:ilvl="1">
      <w:lvlJc w:val="left"/>
      <w:lvlText w:val="%2"/>
      <w:numFmt w:val="lowerRoman"/>
      <w:start w:val="1"/>
    </w:lvl>
  </w:abstractNum>
  <w:abstractNum w:abstractNumId="120">
    <w:nsid w:val="71C1AF98"/>
    <w:multiLevelType w:val="hybridMultilevel"/>
    <w:lvl w:ilvl="0">
      <w:lvlJc w:val="left"/>
      <w:lvlText w:val="(%1)"/>
      <w:numFmt w:val="decimal"/>
      <w:start w:val="7"/>
    </w:lvl>
  </w:abstractNum>
  <w:abstractNum w:abstractNumId="121">
    <w:nsid w:val="3D00B9D9"/>
    <w:multiLevelType w:val="hybridMultilevel"/>
    <w:lvl w:ilvl="0">
      <w:lvlJc w:val="left"/>
      <w:lvlText w:val="(%1)"/>
      <w:numFmt w:val="decimal"/>
      <w:start w:val="1"/>
    </w:lvl>
  </w:abstractNum>
  <w:abstractNum w:abstractNumId="122">
    <w:nsid w:val="15BCABA8"/>
    <w:multiLevelType w:val="hybridMultilevel"/>
    <w:lvl w:ilvl="0">
      <w:lvlJc w:val="left"/>
      <w:lvlText w:val="(%1)"/>
      <w:numFmt w:val="decimal"/>
      <w:start w:val="1"/>
    </w:lvl>
  </w:abstractNum>
  <w:abstractNum w:abstractNumId="123">
    <w:nsid w:val="4E0B9A87"/>
    <w:multiLevelType w:val="hybridMultilevel"/>
    <w:lvl w:ilvl="0">
      <w:lvlJc w:val="left"/>
      <w:lvlText w:val="(%1)"/>
      <w:numFmt w:val="decimal"/>
      <w:start w:val="5"/>
    </w:lvl>
  </w:abstractNum>
  <w:abstractNum w:abstractNumId="124">
    <w:nsid w:val="434BAE75"/>
    <w:multiLevelType w:val="hybridMultilevel"/>
    <w:lvl w:ilvl="0">
      <w:lvlJc w:val="left"/>
      <w:lvlText w:val="(%1)"/>
      <w:numFmt w:val="decimal"/>
      <w:start w:val="1"/>
    </w:lvl>
  </w:abstractNum>
  <w:abstractNum w:abstractNumId="125">
    <w:nsid w:val="4F38F265"/>
    <w:multiLevelType w:val="hybridMultilevel"/>
    <w:lvl w:ilvl="0">
      <w:lvlJc w:val="left"/>
      <w:lvlText w:val="(%1)"/>
      <w:numFmt w:val="decimal"/>
      <w:start w:val="1"/>
    </w:lvl>
  </w:abstractNum>
  <w:abstractNum w:abstractNumId="126">
    <w:nsid w:val="4C502870"/>
    <w:multiLevelType w:val="hybridMultilevel"/>
    <w:lvl w:ilvl="0">
      <w:lvlJc w:val="left"/>
      <w:lvlText w:val="(%1)"/>
      <w:numFmt w:val="decimal"/>
      <w:start w:val="3"/>
    </w:lvl>
  </w:abstractNum>
  <w:abstractNum w:abstractNumId="127">
    <w:nsid w:val="1DE8725A"/>
    <w:multiLevelType w:val="hybridMultilevel"/>
    <w:lvl w:ilvl="0">
      <w:lvlJc w:val="left"/>
      <w:lvlText w:val="(%1)"/>
      <w:numFmt w:val="decimal"/>
      <w:start w:val="1"/>
    </w:lvl>
  </w:abstractNum>
  <w:abstractNum w:abstractNumId="128">
    <w:nsid w:val="6A37288A"/>
    <w:multiLevelType w:val="hybridMultilevel"/>
    <w:lvl w:ilvl="0">
      <w:lvlJc w:val="left"/>
      <w:lvlText w:val="(%1)"/>
      <w:numFmt w:val="decimal"/>
      <w:start w:val="3"/>
    </w:lvl>
  </w:abstractNum>
  <w:abstractNum w:abstractNumId="129">
    <w:nsid w:val="8F8B73F"/>
    <w:multiLevelType w:val="hybridMultilevel"/>
    <w:lvl w:ilvl="0">
      <w:lvlJc w:val="left"/>
      <w:lvlText w:val="(%1)"/>
      <w:numFmt w:val="decimal"/>
      <w:start w:val="1"/>
    </w:lvl>
  </w:abstractNum>
  <w:abstractNum w:abstractNumId="130">
    <w:nsid w:val="CA6B462"/>
    <w:multiLevelType w:val="hybridMultilevel"/>
    <w:lvl w:ilvl="0">
      <w:lvlJc w:val="left"/>
      <w:lvlText w:val="(%1)"/>
      <w:numFmt w:val="decimal"/>
      <w:start w:val="1"/>
    </w:lvl>
  </w:abstractNum>
  <w:abstractNum w:abstractNumId="131">
    <w:nsid w:val="763CB680"/>
    <w:multiLevelType w:val="hybridMultilevel"/>
    <w:lvl w:ilvl="0">
      <w:lvlJc w:val="left"/>
      <w:lvlText w:val="(%1)"/>
      <w:numFmt w:val="decimal"/>
      <w:start w:val="1"/>
    </w:lvl>
  </w:abstractNum>
  <w:abstractNum w:abstractNumId="132">
    <w:nsid w:val="15B71329"/>
    <w:multiLevelType w:val="hybridMultilevel"/>
    <w:lvl w:ilvl="0">
      <w:lvlJc w:val="left"/>
      <w:lvlText w:val="(%1)"/>
      <w:numFmt w:val="decimal"/>
      <w:start w:val="1"/>
    </w:lvl>
  </w:abstractNum>
  <w:abstractNum w:abstractNumId="133">
    <w:nsid w:val="3DA97044"/>
    <w:multiLevelType w:val="hybridMultilevel"/>
    <w:lvl w:ilvl="0">
      <w:lvlJc w:val="left"/>
      <w:lvlText w:val="(%1)"/>
      <w:numFmt w:val="decimal"/>
      <w:start w:val="1"/>
    </w:lvl>
  </w:abstractNum>
  <w:abstractNum w:abstractNumId="134">
    <w:nsid w:val="1CDCE2DE"/>
    <w:multiLevelType w:val="hybridMultilevel"/>
    <w:lvl w:ilvl="0">
      <w:lvlJc w:val="left"/>
      <w:lvlText w:val="(%1)"/>
      <w:numFmt w:val="decimal"/>
      <w:start w:val="1"/>
    </w:lvl>
  </w:abstractNum>
  <w:abstractNum w:abstractNumId="135">
    <w:nsid w:val="69D3947C"/>
    <w:multiLevelType w:val="hybridMultilevel"/>
    <w:lvl w:ilvl="0">
      <w:lvlJc w:val="left"/>
      <w:lvlText w:val="(%1)"/>
      <w:numFmt w:val="decimal"/>
      <w:start w:val="2"/>
    </w:lvl>
  </w:abstractNum>
  <w:abstractNum w:abstractNumId="136">
    <w:nsid w:val="2539DFA5"/>
    <w:multiLevelType w:val="hybridMultilevel"/>
    <w:lvl w:ilvl="0">
      <w:lvlJc w:val="left"/>
      <w:lvlText w:val="(%1)"/>
      <w:numFmt w:val="decimal"/>
      <w:start w:val="1"/>
    </w:lvl>
  </w:abstractNum>
  <w:abstractNum w:abstractNumId="137">
    <w:nsid w:val="2DB88089"/>
    <w:multiLevelType w:val="hybridMultilevel"/>
    <w:lvl w:ilvl="0">
      <w:lvlJc w:val="left"/>
      <w:lvlText w:val="(%1)"/>
      <w:numFmt w:val="decimal"/>
      <w:start w:val="1"/>
    </w:lvl>
  </w:abstractNum>
  <w:abstractNum w:abstractNumId="138">
    <w:nsid w:val="706B674E"/>
    <w:multiLevelType w:val="hybridMultilevel"/>
    <w:lvl w:ilvl="0">
      <w:lvlJc w:val="left"/>
      <w:lvlText w:val="(%1)"/>
      <w:numFmt w:val="decimal"/>
      <w:start w:val="1"/>
    </w:lvl>
  </w:abstractNum>
  <w:abstractNum w:abstractNumId="139">
    <w:nsid w:val="2C106A57"/>
    <w:multiLevelType w:val="hybridMultilevel"/>
    <w:lvl w:ilvl="0">
      <w:lvlJc w:val="left"/>
      <w:lvlText w:val="(%1)"/>
      <w:numFmt w:val="decimal"/>
      <w:start w:val="1"/>
    </w:lvl>
  </w:abstractNum>
  <w:abstractNum w:abstractNumId="140">
    <w:nsid w:val="684EED59"/>
    <w:multiLevelType w:val="hybridMultilevel"/>
    <w:lvl w:ilvl="0">
      <w:lvlJc w:val="left"/>
      <w:lvlText w:val="(%1)"/>
      <w:numFmt w:val="decimal"/>
      <w:start w:val="1"/>
    </w:lvl>
  </w:abstractNum>
  <w:abstractNum w:abstractNumId="141">
    <w:nsid w:val="545EE5D3"/>
    <w:multiLevelType w:val="hybridMultilevel"/>
    <w:lvl w:ilvl="0">
      <w:lvlJc w:val="left"/>
      <w:lvlText w:val="(%1)"/>
      <w:numFmt w:val="decimal"/>
      <w:start w:val="3"/>
    </w:lvl>
  </w:abstractNum>
  <w:abstractNum w:abstractNumId="142">
    <w:nsid w:val="4A66051"/>
    <w:multiLevelType w:val="hybridMultilevel"/>
    <w:lvl w:ilvl="0">
      <w:lvlJc w:val="left"/>
      <w:lvlText w:val="(%1)"/>
      <w:numFmt w:val="decimal"/>
      <w:start w:val="1"/>
    </w:lvl>
    <w:lvl w:ilvl="1">
      <w:lvlJc w:val="left"/>
      <w:lvlText w:val="(%2)"/>
      <w:numFmt w:val="lowerLetter"/>
      <w:start w:val="1"/>
    </w:lvl>
  </w:abstractNum>
  <w:abstractNum w:abstractNumId="143">
    <w:nsid w:val="20F4BDAD"/>
    <w:multiLevelType w:val="hybridMultilevel"/>
    <w:lvl w:ilvl="0">
      <w:lvlJc w:val="left"/>
      <w:lvlText w:val="(%1)"/>
      <w:numFmt w:val="decimal"/>
      <w:start w:val="1"/>
    </w:lvl>
  </w:abstractNum>
  <w:abstractNum w:abstractNumId="144">
    <w:nsid w:val="639DEFAC"/>
    <w:multiLevelType w:val="hybridMultilevel"/>
    <w:lvl w:ilvl="0">
      <w:lvlJc w:val="left"/>
      <w:lvlText w:val="(%1)"/>
      <w:numFmt w:val="decimal"/>
      <w:start w:val="2"/>
    </w:lvl>
  </w:abstractNum>
  <w:abstractNum w:abstractNumId="145">
    <w:nsid w:val="501F9786"/>
    <w:multiLevelType w:val="hybridMultilevel"/>
    <w:lvl w:ilvl="0">
      <w:lvlJc w:val="left"/>
      <w:lvlText w:val="(%1)"/>
      <w:numFmt w:val="decimal"/>
      <w:start w:val="1"/>
    </w:lvl>
  </w:abstractNum>
  <w:abstractNum w:abstractNumId="146">
    <w:nsid w:val="6B057295"/>
    <w:multiLevelType w:val="hybridMultilevel"/>
    <w:lvl w:ilvl="0">
      <w:lvlJc w:val="left"/>
      <w:lvlText w:val="(%1)"/>
      <w:numFmt w:val="decimal"/>
      <w:start w:val="3"/>
    </w:lvl>
  </w:abstractNum>
  <w:abstractNum w:abstractNumId="147">
    <w:nsid w:val="2771AC80"/>
    <w:multiLevelType w:val="hybridMultilevel"/>
    <w:lvl w:ilvl="0">
      <w:lvlJc w:val="left"/>
      <w:lvlText w:val="(%1)"/>
      <w:numFmt w:val="decimal"/>
      <w:start w:val="1"/>
    </w:lvl>
  </w:abstractNum>
  <w:abstractNum w:abstractNumId="148">
    <w:nsid w:val="1C4A08EC"/>
    <w:multiLevelType w:val="hybridMultilevel"/>
    <w:lvl w:ilvl="0">
      <w:lvlJc w:val="left"/>
      <w:lvlText w:val="(%1)"/>
      <w:numFmt w:val="lowerLetter"/>
      <w:start w:val="35"/>
    </w:lvl>
  </w:abstractNum>
  <w:abstractNum w:abstractNumId="149">
    <w:nsid w:val="1958BD17"/>
    <w:multiLevelType w:val="hybridMultilevel"/>
    <w:lvl w:ilvl="0">
      <w:lvlJc w:val="left"/>
      <w:lvlText w:val="(%1)"/>
      <w:numFmt w:val="lowerLetter"/>
      <w:start w:val="3"/>
    </w:lvl>
  </w:abstractNum>
  <w:abstractNum w:abstractNumId="150">
    <w:nsid w:val="4E647FE4"/>
    <w:multiLevelType w:val="hybridMultilevel"/>
    <w:lvl w:ilvl="0">
      <w:lvlJc w:val="left"/>
      <w:lvlText w:val="(%1)"/>
      <w:numFmt w:val="decimal"/>
      <w:start w:val="1"/>
    </w:lvl>
  </w:abstractNum>
  <w:abstractNum w:abstractNumId="151">
    <w:nsid w:val="E0BB885"/>
    <w:multiLevelType w:val="hybridMultilevel"/>
    <w:lvl w:ilvl="0">
      <w:lvlJc w:val="left"/>
      <w:lvlText w:val="(%1)"/>
      <w:numFmt w:val="decimal"/>
      <w:start w:val="1"/>
    </w:lvl>
  </w:abstractNum>
  <w:abstractNum w:abstractNumId="152">
    <w:nsid w:val="565976F1"/>
    <w:multiLevelType w:val="hybridMultilevel"/>
    <w:lvl w:ilvl="0">
      <w:lvlJc w:val="left"/>
      <w:lvlText w:val="(%1)"/>
      <w:numFmt w:val="decimal"/>
      <w:start w:val="1"/>
    </w:lvl>
  </w:abstractNum>
  <w:abstractNum w:abstractNumId="153">
    <w:nsid w:val="64212B8C"/>
    <w:multiLevelType w:val="hybridMultilevel"/>
    <w:lvl w:ilvl="0">
      <w:lvlJc w:val="left"/>
      <w:lvlText w:val="(%1)"/>
      <w:numFmt w:val="decimal"/>
      <w:start w:val="1"/>
    </w:lvl>
  </w:abstractNum>
  <w:abstractNum w:abstractNumId="154">
    <w:nsid w:val="5C17530C"/>
    <w:multiLevelType w:val="hybridMultilevel"/>
    <w:lvl w:ilvl="0">
      <w:lvlJc w:val="left"/>
      <w:lvlText w:val="(%1)"/>
      <w:numFmt w:val="decimal"/>
      <w:start w:val="1"/>
    </w:lvl>
  </w:abstractNum>
  <w:abstractNum w:abstractNumId="155">
    <w:nsid w:val="19A52566"/>
    <w:multiLevelType w:val="hybridMultilevel"/>
    <w:lvl w:ilvl="0">
      <w:lvlJc w:val="left"/>
      <w:lvlText w:val="-"/>
      <w:numFmt w:val="bullet"/>
      <w:start w:val="1"/>
    </w:lvl>
  </w:abstractNum>
  <w:abstractNum w:abstractNumId="156">
    <w:nsid w:val="335A1DF1"/>
    <w:multiLevelType w:val="hybridMultilevel"/>
    <w:lvl w:ilvl="0">
      <w:lvlJc w:val="left"/>
      <w:lvlText w:val="-"/>
      <w:numFmt w:val="bullet"/>
      <w:start w:val="1"/>
    </w:lvl>
  </w:abstractNum>
  <w:abstractNum w:abstractNumId="157">
    <w:nsid w:val="28677B7C"/>
    <w:multiLevelType w:val="hybridMultilevel"/>
    <w:lvl w:ilvl="0">
      <w:lvlJc w:val="left"/>
      <w:lvlText w:val="-"/>
      <w:numFmt w:val="bullet"/>
      <w:start w:val="1"/>
    </w:lvl>
  </w:abstractNum>
  <w:abstractNum w:abstractNumId="158">
    <w:nsid w:val="378D97C0"/>
    <w:multiLevelType w:val="hybridMultilevel"/>
    <w:lvl w:ilvl="0">
      <w:lvlJc w:val="left"/>
      <w:lvlText w:val="-"/>
      <w:numFmt w:val="bullet"/>
      <w:start w:val="1"/>
    </w:lvl>
  </w:abstractNum>
  <w:abstractNum w:abstractNumId="159">
    <w:nsid w:val="1D91467C"/>
    <w:multiLevelType w:val="hybridMultilevel"/>
    <w:lvl w:ilvl="0">
      <w:lvlJc w:val="left"/>
      <w:lvlText w:val="-"/>
      <w:numFmt w:val="bullet"/>
      <w:start w:val="1"/>
    </w:lvl>
  </w:abstractNum>
  <w:abstractNum w:abstractNumId="160">
    <w:nsid w:val="316032BB"/>
    <w:multiLevelType w:val="hybridMultilevel"/>
    <w:lvl w:ilvl="0">
      <w:lvlJc w:val="left"/>
      <w:lvlText w:val="-"/>
      <w:numFmt w:val="bullet"/>
      <w:start w:val="1"/>
    </w:lvl>
  </w:abstractNum>
  <w:abstractNum w:abstractNumId="161">
    <w:nsid w:val="44344C22"/>
    <w:multiLevelType w:val="hybridMultilevel"/>
    <w:lvl w:ilvl="0">
      <w:lvlJc w:val="left"/>
      <w:lvlText w:val="-"/>
      <w:numFmt w:val="bullet"/>
      <w:start w:val="1"/>
    </w:lvl>
  </w:abstractNum>
  <w:abstractNum w:abstractNumId="162">
    <w:nsid w:val="13CDFCFC"/>
    <w:multiLevelType w:val="hybridMultilevel"/>
    <w:lvl w:ilvl="0">
      <w:lvlJc w:val="left"/>
      <w:lvlText w:val="-"/>
      <w:numFmt w:val="bullet"/>
      <w:start w:val="1"/>
    </w:lvl>
  </w:abstractNum>
  <w:abstractNum w:abstractNumId="163">
    <w:nsid w:val="471745E4"/>
    <w:multiLevelType w:val="hybridMultilevel"/>
    <w:lvl w:ilvl="0">
      <w:lvlJc w:val="left"/>
      <w:lvlText w:val="-"/>
      <w:numFmt w:val="bullet"/>
      <w:start w:val="1"/>
    </w:lvl>
  </w:abstractNum>
  <w:abstractNum w:abstractNumId="164">
    <w:nsid w:val="1DDBC66"/>
    <w:multiLevelType w:val="hybridMultilevel"/>
    <w:lvl w:ilvl="0">
      <w:lvlJc w:val="left"/>
      <w:lvlText w:val="-"/>
      <w:numFmt w:val="bullet"/>
      <w:start w:val="1"/>
    </w:lvl>
  </w:abstractNum>
  <w:abstractNum w:abstractNumId="165">
    <w:nsid w:val="30AADFDA"/>
    <w:multiLevelType w:val="hybridMultilevel"/>
    <w:lvl w:ilvl="0">
      <w:lvlJc w:val="left"/>
      <w:lvlText w:val="(%1)"/>
      <w:numFmt w:val="decimal"/>
      <w:start w:val="2"/>
    </w:lvl>
    <w:lvl w:ilvl="1">
      <w:lvlJc w:val="left"/>
      <w:lvlText w:val="(%2)"/>
      <w:numFmt w:val="lowerLetter"/>
      <w:start w:val="1"/>
    </w:lvl>
  </w:abstractNum>
  <w:abstractNum w:abstractNumId="166">
    <w:nsid w:val="30EADA61"/>
    <w:multiLevelType w:val="hybridMultilevel"/>
    <w:lvl w:ilvl="0">
      <w:lvlJc w:val="left"/>
      <w:lvlText w:val="%1"/>
      <w:numFmt w:val="decimal"/>
      <w:start w:val="1"/>
    </w:lvl>
    <w:lvl w:ilvl="1">
      <w:lvlJc w:val="left"/>
      <w:lvlText w:val="(%2)"/>
      <w:numFmt w:val="lowerLetter"/>
      <w:start w:val="2"/>
    </w:lvl>
  </w:abstractNum>
  <w:abstractNum w:abstractNumId="167">
    <w:nsid w:val="27179C0B"/>
    <w:multiLevelType w:val="hybridMultilevel"/>
    <w:lvl w:ilvl="0">
      <w:lvlJc w:val="left"/>
      <w:lvlText w:val="(%1)"/>
      <w:numFmt w:val="decimal"/>
      <w:start w:val="3"/>
    </w:lvl>
    <w:lvl w:ilvl="1">
      <w:lvlJc w:val="left"/>
      <w:lvlText w:val="(%2)"/>
      <w:numFmt w:val="lowerLetter"/>
      <w:start w:val="1"/>
    </w:lvl>
  </w:abstractNum>
  <w:abstractNum w:abstractNumId="168">
    <w:nsid w:val="5E636063"/>
    <w:multiLevelType w:val="hybridMultilevel"/>
    <w:lvl w:ilvl="0">
      <w:lvlJc w:val="left"/>
      <w:lvlText w:val="(%1)"/>
      <w:numFmt w:val="lowerRoman"/>
      <w:start w:val="1"/>
    </w:lvl>
  </w:abstractNum>
  <w:abstractNum w:abstractNumId="169">
    <w:nsid w:val="215641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70">
    <w:nsid w:val="53280662"/>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71">
    <w:nsid w:val="46B24DB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72">
    <w:nsid w:val="75B52783"/>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73">
    <w:nsid w:val="57CE66B4"/>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174">
    <w:nsid w:val="67A70B69"/>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75">
    <w:nsid w:val="5953172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76">
    <w:nsid w:val="27EDFE3A"/>
    <w:multiLevelType w:val="hybridMultilevel"/>
    <w:lvl w:ilvl="0">
      <w:lvlJc w:val="left"/>
      <w:lvlText w:val="(%1)"/>
      <w:numFmt w:val="decimal"/>
      <w:start w:val="2"/>
    </w:lvl>
  </w:abstractNum>
  <w:abstractNum w:abstractNumId="177">
    <w:nsid w:val="52AC7DFF"/>
    <w:multiLevelType w:val="hybridMultilevel"/>
    <w:lvl w:ilvl="0">
      <w:lvlJc w:val="left"/>
      <w:lvlText w:val="%1"/>
      <w:numFmt w:val="lowerLetter"/>
      <w:start w:val="1"/>
    </w:lvl>
    <w:lvl w:ilvl="1">
      <w:lvlJc w:val="left"/>
      <w:lvlText w:val="(%2)"/>
      <w:numFmt w:val="decimal"/>
      <w:start w:val="3"/>
    </w:lvl>
  </w:abstractNum>
  <w:abstractNum w:abstractNumId="178">
    <w:nsid w:val="C4C3AF"/>
    <w:multiLevelType w:val="hybridMultilevel"/>
    <w:lvl w:ilvl="0">
      <w:lvlJc w:val="left"/>
      <w:lvlText w:val="(%1)"/>
      <w:numFmt w:val="lowerLetter"/>
      <w:start w:val="2"/>
    </w:lvl>
    <w:lvl w:ilvl="1">
      <w:lvlJc w:val="left"/>
      <w:lvlText w:val="%2"/>
      <w:numFmt w:val="decimal"/>
      <w:start w:val="1"/>
    </w:lvl>
  </w:abstractNum>
  <w:abstractNum w:abstractNumId="179">
    <w:nsid w:val="44380727"/>
    <w:multiLevelType w:val="hybridMultilevel"/>
    <w:lvl w:ilvl="0">
      <w:lvlJc w:val="left"/>
      <w:lvlText w:val="-----"/>
      <w:numFmt w:val="bullet"/>
      <w:start w:val="1"/>
    </w:lvl>
  </w:abstractNum>
  <w:abstractNum w:abstractNumId="180">
    <w:nsid w:val="6C053B16"/>
    <w:multiLevelType w:val="hybridMultilevel"/>
    <w:lvl w:ilvl="0">
      <w:lvlJc w:val="left"/>
      <w:lvlText w:val="%1."/>
      <w:numFmt w:val="upperLetter"/>
      <w:start w:val="12"/>
    </w:lvl>
  </w:abstractNum>
  <w:abstractNum w:abstractNumId="181">
    <w:nsid w:val="4F294393"/>
    <w:multiLevelType w:val="hybridMultilevel"/>
    <w:lvl w:ilvl="0">
      <w:lvlJc w:val="left"/>
      <w:lvlText w:val="%1."/>
      <w:numFmt w:val="upperLetter"/>
      <w:start w:val="12"/>
    </w:lvl>
  </w:abstractNum>
  <w:abstractNum w:abstractNumId="182">
    <w:nsid w:val="5243BFAC"/>
    <w:multiLevelType w:val="hybridMultilevel"/>
    <w:lvl w:ilvl="0">
      <w:lvlJc w:val="left"/>
      <w:lvlText w:val="-----"/>
      <w:numFmt w:val="bullet"/>
      <w:start w:val="1"/>
    </w:lvl>
  </w:abstractNum>
  <w:abstractNum w:abstractNumId="183">
    <w:nsid w:val="425EB207"/>
    <w:multiLevelType w:val="hybridMultilevel"/>
    <w:lvl w:ilvl="0">
      <w:lvlJc w:val="left"/>
      <w:lvlText w:val="---"/>
      <w:numFmt w:val="bullet"/>
      <w:start w:val="1"/>
    </w:lvl>
  </w:abstractNum>
  <w:abstractNum w:abstractNumId="184">
    <w:nsid w:val="334A6F1F"/>
    <w:multiLevelType w:val="hybridMultilevel"/>
    <w:lvl w:ilvl="0">
      <w:lvlJc w:val="left"/>
      <w:lvlText w:val="%1."/>
      <w:numFmt w:val="upperLetter"/>
      <w:start w:val="5"/>
    </w:lvl>
  </w:abstractNum>
  <w:abstractNum w:abstractNumId="185">
    <w:nsid w:val="2E5B12B8"/>
    <w:multiLevelType w:val="hybridMultilevel"/>
    <w:lvl w:ilvl="0">
      <w:lvlJc w:val="left"/>
      <w:lvlText w:val="---"/>
      <w:numFmt w:val="bullet"/>
      <w:start w:val="1"/>
    </w:lvl>
    <w:lvl w:ilvl="1">
      <w:lvlJc w:val="left"/>
      <w:lvlText w:val="---"/>
      <w:numFmt w:val="bullet"/>
      <w:start w:val="1"/>
    </w:lvl>
  </w:abstractNum>
  <w:abstractNum w:abstractNumId="186">
    <w:nsid w:val="5C03D76D"/>
    <w:multiLevelType w:val="hybridMultilevel"/>
    <w:lvl w:ilvl="0">
      <w:lvlJc w:val="left"/>
      <w:lvlText w:val="%1."/>
      <w:numFmt w:val="upperLetter"/>
      <w:start w:val="7"/>
    </w:lvl>
  </w:abstractNum>
  <w:abstractNum w:abstractNumId="187">
    <w:nsid w:val="66A48D11"/>
    <w:multiLevelType w:val="hybridMultilevel"/>
    <w:lvl w:ilvl="0">
      <w:lvlJc w:val="left"/>
      <w:lvlText w:val="---"/>
      <w:numFmt w:val="bullet"/>
      <w:start w:val="1"/>
    </w:lvl>
  </w:abstractNum>
  <w:abstractNum w:abstractNumId="188">
    <w:nsid w:val="56C28E34"/>
    <w:multiLevelType w:val="hybridMultilevel"/>
    <w:lvl w:ilvl="0">
      <w:lvlJc w:val="left"/>
      <w:lvlText w:val="---"/>
      <w:numFmt w:val="bullet"/>
      <w:start w:val="1"/>
    </w:lvl>
  </w:abstractNum>
  <w:abstractNum w:abstractNumId="189">
    <w:nsid w:val="13916F2D"/>
    <w:multiLevelType w:val="hybridMultilevel"/>
    <w:lvl w:ilvl="0">
      <w:lvlJc w:val="left"/>
      <w:lvlText w:val="---"/>
      <w:numFmt w:val="bullet"/>
      <w:start w:val="1"/>
    </w:lvl>
  </w:abstractNum>
  <w:abstractNum w:abstractNumId="190">
    <w:nsid w:val="435D38D"/>
    <w:multiLevelType w:val="hybridMultilevel"/>
    <w:lvl w:ilvl="0">
      <w:lvlJc w:val="left"/>
      <w:lvlText w:val="(%1)"/>
      <w:numFmt w:val="lowerLetter"/>
      <w:start w:val="1"/>
    </w:lvl>
  </w:abstractNum>
  <w:abstractNum w:abstractNumId="191">
    <w:nsid w:val="822C0EF"/>
    <w:multiLevelType w:val="hybridMultilevel"/>
    <w:lvl w:ilvl="0">
      <w:lvlJc w:val="left"/>
      <w:lvlText w:val="(%1)"/>
      <w:numFmt w:val="lowerLetter"/>
      <w:start w:val="2"/>
    </w:lvl>
  </w:abstractNum>
  <w:abstractNum w:abstractNumId="192">
    <w:nsid w:val="57C5BB4F"/>
    <w:multiLevelType w:val="hybridMultilevel"/>
    <w:lvl w:ilvl="0">
      <w:lvlJc w:val="left"/>
      <w:lvlText w:val="(%1)"/>
      <w:numFmt w:val="lowerLetter"/>
      <w:start w:val="3"/>
    </w:lvl>
  </w:abstractNum>
  <w:abstractNum w:abstractNumId="193">
    <w:nsid w:val="1803D089"/>
    <w:multiLevelType w:val="hybridMultilevel"/>
    <w:lvl w:ilvl="0">
      <w:lvlJc w:val="left"/>
      <w:lvlText w:val="(%1)"/>
      <w:numFmt w:val="lowerLetter"/>
      <w:start w:val="4"/>
    </w:lvl>
  </w:abstractNum>
  <w:abstractNum w:abstractNumId="194">
    <w:nsid w:val="4F3A06D4"/>
    <w:multiLevelType w:val="hybridMultilevel"/>
    <w:lvl w:ilvl="0">
      <w:lvlJc w:val="left"/>
      <w:lvlText w:val="(%1)"/>
      <w:numFmt w:val="lowerLetter"/>
      <w:start w:val="5"/>
    </w:lvl>
  </w:abstractNum>
  <w:abstractNum w:abstractNumId="195">
    <w:nsid w:val="59A377B6"/>
    <w:multiLevelType w:val="hybridMultilevel"/>
    <w:lvl w:ilvl="0">
      <w:lvlJc w:val="left"/>
      <w:lvlText w:val="(%1)"/>
      <w:numFmt w:val="lowerLetter"/>
      <w:start w:val="1"/>
    </w:lvl>
  </w:abstractNum>
  <w:abstractNum w:abstractNumId="196">
    <w:nsid w:val="48AEB063"/>
    <w:multiLevelType w:val="hybridMultilevel"/>
    <w:lvl w:ilvl="0">
      <w:lvlJc w:val="left"/>
      <w:lvlText w:val="(%1)"/>
      <w:numFmt w:val="lowerLetter"/>
      <w:start w:val="2"/>
    </w:lvl>
  </w:abstractNum>
  <w:abstractNum w:abstractNumId="197">
    <w:nsid w:val="24E135"/>
    <w:multiLevelType w:val="hybridMultilevel"/>
    <w:lvl w:ilvl="0">
      <w:lvlJc w:val="left"/>
      <w:lvlText w:val="%1."/>
      <w:numFmt w:val="decimal"/>
      <w:start w:val="2"/>
    </w:lvl>
  </w:abstractNum>
  <w:abstractNum w:abstractNumId="198">
    <w:nsid w:val="BB13C1"/>
    <w:multiLevelType w:val="hybridMultilevel"/>
    <w:lvl w:ilvl="0">
      <w:lvlJc w:val="left"/>
      <w:lvlText w:val="(%1)"/>
      <w:numFmt w:val="lowerLetter"/>
      <w:start w:val="1"/>
    </w:lvl>
    <w:lvl w:ilvl="1">
      <w:lvlJc w:val="left"/>
      <w:lvlText w:val="(%2)"/>
      <w:numFmt w:val="lowerRoman"/>
      <w:start w:val="1"/>
    </w:lvl>
  </w:abstractNum>
  <w:abstractNum w:abstractNumId="199">
    <w:nsid w:val="271210C7"/>
    <w:multiLevelType w:val="hybridMultilevel"/>
    <w:lvl w:ilvl="0">
      <w:lvlJc w:val="left"/>
      <w:lvlText w:val="(%1)"/>
      <w:numFmt w:val="lowerLetter"/>
      <w:start w:val="3"/>
    </w:lvl>
  </w:abstractNum>
  <w:abstractNum w:abstractNumId="200">
    <w:nsid w:val="217B22E4"/>
    <w:multiLevelType w:val="hybridMultilevel"/>
    <w:lvl w:ilvl="0">
      <w:lvlJc w:val="left"/>
      <w:lvlText w:val="%1."/>
      <w:numFmt w:val="decimal"/>
      <w:start w:val="4"/>
    </w:lvl>
  </w:abstractNum>
  <w:abstractNum w:abstractNumId="201">
    <w:nsid w:val="53E31A24"/>
    <w:multiLevelType w:val="hybridMultilevel"/>
    <w:lvl w:ilvl="0">
      <w:lvlJc w:val="left"/>
      <w:lvlText w:val="(%1)"/>
      <w:numFmt w:val="lowerLetter"/>
      <w:start w:val="1"/>
    </w:lvl>
    <w:lvl w:ilvl="1">
      <w:lvlJc w:val="left"/>
      <w:lvlText w:val="(%2)"/>
      <w:numFmt w:val="lowerRoman"/>
      <w:start w:val="1"/>
    </w:lvl>
  </w:abstractNum>
  <w:abstractNum w:abstractNumId="202">
    <w:nsid w:val="6DC45E83"/>
    <w:multiLevelType w:val="hybridMultilevel"/>
    <w:lvl w:ilvl="0">
      <w:lvlJc w:val="left"/>
      <w:lvlText w:val="%1"/>
      <w:numFmt w:val="lowerLetter"/>
      <w:start w:val="1"/>
    </w:lvl>
    <w:lvl w:ilvl="1">
      <w:lvlJc w:val="left"/>
      <w:lvlText w:val="(%2)"/>
      <w:numFmt w:val="lowerLetter"/>
      <w:start w:val="35"/>
    </w:lvl>
  </w:abstractNum>
  <w:abstractNum w:abstractNumId="203">
    <w:nsid w:val="17304A67"/>
    <w:multiLevelType w:val="hybridMultilevel"/>
    <w:lvl w:ilvl="0">
      <w:lvlJc w:val="left"/>
      <w:lvlText w:val="(%1)"/>
      <w:numFmt w:val="lowerLetter"/>
      <w:start w:val="2"/>
    </w:lvl>
    <w:lvl w:ilvl="1">
      <w:lvlJc w:val="left"/>
      <w:lvlText w:val="%2"/>
      <w:numFmt w:val="lowerLetter"/>
      <w:start w:val="1"/>
    </w:lvl>
  </w:abstractNum>
  <w:abstractNum w:abstractNumId="204">
    <w:nsid w:val="2BB180D8"/>
    <w:multiLevelType w:val="hybridMultilevel"/>
    <w:lvl w:ilvl="0">
      <w:lvlJc w:val="left"/>
      <w:lvlText w:val="(%1)"/>
      <w:numFmt w:val="lowerLetter"/>
      <w:start w:val="1"/>
    </w:lvl>
    <w:lvl w:ilvl="1">
      <w:lvlJc w:val="left"/>
      <w:lvlText w:val="%2"/>
      <w:numFmt w:val="lowerLetter"/>
      <w:start w:val="1"/>
    </w:lvl>
  </w:abstractNum>
  <w:abstractNum w:abstractNumId="205">
    <w:nsid w:val="556B69ED"/>
    <w:multiLevelType w:val="hybridMultilevel"/>
    <w:lvl w:ilvl="0">
      <w:lvlJc w:val="left"/>
      <w:lvlText w:val="(%1)"/>
      <w:numFmt w:val="lowerLetter"/>
      <w:start w:val="1"/>
    </w:lvl>
  </w:abstractNum>
  <w:abstractNum w:abstractNumId="206">
    <w:nsid w:val="70836196"/>
    <w:multiLevelType w:val="hybridMultilevel"/>
    <w:lvl w:ilvl="0">
      <w:lvlJc w:val="left"/>
      <w:lvlText w:val="(%1)"/>
      <w:numFmt w:val="lowerLetter"/>
      <w:start w:val="2"/>
    </w:lvl>
  </w:abstractNum>
  <w:abstractNum w:abstractNumId="207">
    <w:nsid w:val="539F7F12"/>
    <w:multiLevelType w:val="hybridMultilevel"/>
    <w:lvl w:ilvl="0">
      <w:lvlJc w:val="left"/>
      <w:lvlText w:val="%1."/>
      <w:numFmt w:val="decimal"/>
      <w:start w:val="7"/>
    </w:lvl>
  </w:abstractNum>
  <w:abstractNum w:abstractNumId="208">
    <w:nsid w:val="2817E7EC"/>
    <w:multiLevelType w:val="hybridMultilevel"/>
    <w:lvl w:ilvl="0">
      <w:lvlJc w:val="left"/>
      <w:lvlText w:val="%1."/>
      <w:numFmt w:val="decimal"/>
      <w:start w:val="10"/>
    </w:lvl>
  </w:abstractNum>
  <w:abstractNum w:abstractNumId="209">
    <w:nsid w:val="71482545"/>
    <w:multiLevelType w:val="hybridMultilevel"/>
    <w:lvl w:ilvl="0">
      <w:lvlJc w:val="left"/>
      <w:lvlText w:val="%1."/>
      <w:numFmt w:val="decimal"/>
      <w:start w:val="14"/>
    </w:lvl>
  </w:abstractNum>
  <w:abstractNum w:abstractNumId="210">
    <w:nsid w:val="17D78639"/>
    <w:multiLevelType w:val="hybridMultilevel"/>
    <w:lvl w:ilvl="0">
      <w:lvlJc w:val="left"/>
      <w:lvlText w:val="%1."/>
      <w:numFmt w:val="decimal"/>
      <w:start w:val="1"/>
    </w:lvl>
  </w:abstractNum>
  <w:abstractNum w:abstractNumId="211">
    <w:nsid w:val="141D2302"/>
    <w:multiLevelType w:val="hybridMultilevel"/>
    <w:lvl w:ilvl="0">
      <w:lvlJc w:val="left"/>
      <w:lvlText w:val="%1."/>
      <w:numFmt w:val="decimal"/>
      <w:start w:val="2"/>
    </w:lvl>
  </w:abstractNum>
  <w:abstractNum w:abstractNumId="212">
    <w:nsid w:val="407168D8"/>
    <w:multiLevelType w:val="hybridMultilevel"/>
    <w:lvl w:ilvl="0">
      <w:lvlJc w:val="left"/>
      <w:lvlText w:val="(%1)"/>
      <w:numFmt w:val="lowerRoman"/>
      <w:start w:val="1"/>
    </w:lvl>
  </w:abstractNum>
  <w:abstractNum w:abstractNumId="213">
    <w:nsid w:val="6A1B45E5"/>
    <w:multiLevelType w:val="hybridMultilevel"/>
    <w:lvl w:ilvl="0">
      <w:lvlJc w:val="left"/>
      <w:lvlText w:val="(%1)"/>
      <w:numFmt w:val="lowerRoman"/>
      <w:start w:val="1"/>
    </w:lvl>
  </w:abstractNum>
  <w:abstractNum w:abstractNumId="214">
    <w:nsid w:val="567BD50A"/>
    <w:multiLevelType w:val="hybridMultilevel"/>
    <w:lvl w:ilvl="0">
      <w:lvlJc w:val="left"/>
      <w:lvlText w:val="(%1)"/>
      <w:numFmt w:val="lowerLetter"/>
      <w:start w:val="2"/>
    </w:lvl>
  </w:abstractNum>
  <w:abstractNum w:abstractNumId="215">
    <w:nsid w:val="73BBD7F8"/>
    <w:multiLevelType w:val="hybridMultilevel"/>
    <w:lvl w:ilvl="0">
      <w:lvlJc w:val="left"/>
      <w:lvlText w:val="(%1)"/>
      <w:numFmt w:val="lowerRoman"/>
      <w:start w:val="3"/>
    </w:lvl>
  </w:abstractNum>
  <w:abstractNum w:abstractNumId="216">
    <w:nsid w:val="1876589D"/>
    <w:multiLevelType w:val="hybridMultilevel"/>
    <w:lvl w:ilvl="0">
      <w:lvlJc w:val="left"/>
      <w:lvlText w:val="(%1)"/>
      <w:numFmt w:val="lowerLetter"/>
      <w:start w:val="3"/>
    </w:lvl>
  </w:abstractNum>
  <w:abstractNum w:abstractNumId="217">
    <w:nsid w:val="327FAC77"/>
    <w:multiLevelType w:val="hybridMultilevel"/>
    <w:lvl w:ilvl="0">
      <w:lvlJc w:val="left"/>
      <w:lvlText w:val="(%1)"/>
      <w:numFmt w:val="lowerLetter"/>
      <w:start w:val="5"/>
    </w:lvl>
  </w:abstractNum>
  <w:abstractNum w:abstractNumId="218">
    <w:nsid w:val="5A606509"/>
    <w:multiLevelType w:val="hybridMultilevel"/>
    <w:lvl w:ilvl="0">
      <w:lvlJc w:val="left"/>
      <w:lvlText w:val="%1."/>
      <w:numFmt w:val="decimal"/>
      <w:start w:val="3"/>
    </w:lvl>
  </w:abstractNum>
  <w:abstractNum w:abstractNumId="219">
    <w:nsid w:val="6F38E6D1"/>
    <w:multiLevelType w:val="hybridMultilevel"/>
    <w:lvl w:ilvl="0">
      <w:lvlJc w:val="left"/>
      <w:lvlText w:val="(%1)"/>
      <w:numFmt w:val="lowerLetter"/>
      <w:start w:val="1"/>
    </w:lvl>
  </w:abstractNum>
  <w:abstractNum w:abstractNumId="220">
    <w:nsid w:val="46111BA5"/>
    <w:multiLevelType w:val="hybridMultilevel"/>
    <w:lvl w:ilvl="0">
      <w:lvlJc w:val="left"/>
      <w:lvlText w:val="%1"/>
      <w:numFmt w:val="lowerLetter"/>
      <w:start w:val="1"/>
    </w:lvl>
    <w:lvl w:ilvl="1">
      <w:lvlJc w:val="left"/>
      <w:lvlText w:val="(%2)"/>
      <w:numFmt w:val="lowerLetter"/>
      <w:start w:val="3"/>
    </w:lvl>
  </w:abstractNum>
  <w:abstractNum w:abstractNumId="221">
    <w:nsid w:val="5E963896"/>
    <w:multiLevelType w:val="hybridMultilevel"/>
    <w:lvl w:ilvl="0">
      <w:lvlJc w:val="left"/>
      <w:lvlText w:val="(%1)"/>
      <w:numFmt w:val="lowerLetter"/>
      <w:start w:val="61"/>
    </w:lvl>
    <w:lvl w:ilvl="1">
      <w:lvlJc w:val="left"/>
      <w:lvlText w:val="%2"/>
      <w:numFmt w:val="lowerLetter"/>
      <w:start w:val="1"/>
    </w:lvl>
  </w:abstractNum>
  <w:abstractNum w:abstractNumId="222">
    <w:nsid w:val="775BA7C1"/>
    <w:multiLevelType w:val="hybridMultilevel"/>
    <w:lvl w:ilvl="0">
      <w:lvlJc w:val="left"/>
      <w:lvlText w:val="(%1)"/>
      <w:numFmt w:val="lowerLetter"/>
      <w:start w:val="6"/>
    </w:lvl>
  </w:abstractNum>
  <w:abstractNum w:abstractNumId="223">
    <w:nsid w:val="1DD6D6F4"/>
    <w:multiLevelType w:val="hybridMultilevel"/>
    <w:lvl w:ilvl="0">
      <w:lvlJc w:val="left"/>
      <w:lvlText w:val="(%1)"/>
      <w:numFmt w:val="lowerLetter"/>
      <w:start w:val="10"/>
    </w:lvl>
  </w:abstractNum>
  <w:abstractNum w:abstractNumId="224">
    <w:nsid w:val="769A091F"/>
    <w:multiLevelType w:val="hybridMultilevel"/>
    <w:lvl w:ilvl="0">
      <w:lvlJc w:val="left"/>
      <w:lvlText w:val="(%1)"/>
      <w:numFmt w:val="lowerLetter"/>
      <w:start w:val="14"/>
    </w:lvl>
  </w:abstractNum>
  <w:abstractNum w:abstractNumId="225">
    <w:nsid w:val="4695AE95"/>
    <w:multiLevelType w:val="hybridMultilevel"/>
    <w:lvl w:ilvl="0">
      <w:lvlJc w:val="left"/>
      <w:lvlText w:val="%1."/>
      <w:numFmt w:val="decimal"/>
      <w:start w:val="4"/>
    </w:lvl>
  </w:abstractNum>
  <w:abstractNum w:abstractNumId="226">
    <w:nsid w:val="777A4EAA"/>
    <w:multiLevelType w:val="hybridMultilevel"/>
    <w:lvl w:ilvl="0">
      <w:lvlJc w:val="left"/>
      <w:lvlText w:val="(%1)"/>
      <w:numFmt w:val="lowerLetter"/>
      <w:start w:val="2"/>
    </w:lvl>
  </w:abstractNum>
  <w:abstractNum w:abstractNumId="227">
    <w:nsid w:val="3F48B982"/>
    <w:multiLevelType w:val="hybridMultilevel"/>
    <w:lvl w:ilvl="0">
      <w:lvlJc w:val="left"/>
      <w:lvlText w:val="%1."/>
      <w:numFmt w:val="decimal"/>
      <w:start w:val="5"/>
    </w:lvl>
  </w:abstractNum>
  <w:abstractNum w:abstractNumId="228">
    <w:nsid w:val="46BA8FCA"/>
    <w:multiLevelType w:val="hybridMultilevel"/>
    <w:lvl w:ilvl="0">
      <w:lvlJc w:val="left"/>
      <w:lvlText w:val="(%1)"/>
      <w:numFmt w:val="lowerLetter"/>
      <w:start w:val="2"/>
    </w:lvl>
  </w:abstractNum>
  <w:abstractNum w:abstractNumId="229">
    <w:nsid w:val="7835626C"/>
    <w:multiLevelType w:val="hybridMultilevel"/>
    <w:lvl w:ilvl="0">
      <w:lvlJc w:val="left"/>
      <w:lvlText w:val="(%1)"/>
      <w:numFmt w:val="lowerLetter"/>
      <w:start w:val="4"/>
    </w:lvl>
  </w:abstractNum>
  <w:abstractNum w:abstractNumId="230">
    <w:nsid w:val="665ACA49"/>
    <w:multiLevelType w:val="hybridMultilevel"/>
    <w:lvl w:ilvl="0">
      <w:lvlJc w:val="left"/>
      <w:lvlText w:val="(%1)"/>
      <w:numFmt w:val="lowerLetter"/>
      <w:start w:val="6"/>
    </w:lvl>
  </w:abstractNum>
  <w:abstractNum w:abstractNumId="231">
    <w:nsid w:val="6835B2AE"/>
    <w:multiLevelType w:val="hybridMultilevel"/>
    <w:lvl w:ilvl="0">
      <w:lvlJc w:val="left"/>
      <w:lvlText w:val="%1."/>
      <w:numFmt w:val="decimal"/>
      <w:start w:val="6"/>
    </w:lvl>
  </w:abstractNum>
  <w:abstractNum w:abstractNumId="232">
    <w:nsid w:val="4C187C90"/>
    <w:multiLevelType w:val="hybridMultilevel"/>
    <w:lvl w:ilvl="0">
      <w:lvlJc w:val="left"/>
      <w:lvlText w:val="(%1)"/>
      <w:numFmt w:val="lowerLetter"/>
      <w:start w:val="1"/>
    </w:lvl>
  </w:abstractNum>
  <w:abstractNum w:abstractNumId="233">
    <w:nsid w:val="541F28CD"/>
    <w:multiLevelType w:val="hybridMultilevel"/>
    <w:lvl w:ilvl="0">
      <w:lvlJc w:val="left"/>
      <w:lvlText w:val="(%1)"/>
      <w:numFmt w:val="lowerLetter"/>
      <w:start w:val="4"/>
    </w:lvl>
  </w:abstractNum>
  <w:abstractNum w:abstractNumId="234">
    <w:nsid w:val="7F65FD16"/>
    <w:multiLevelType w:val="hybridMultilevel"/>
    <w:lvl w:ilvl="0">
      <w:lvlJc w:val="left"/>
      <w:lvlText w:val="(%1)"/>
      <w:numFmt w:val="lowerLetter"/>
      <w:start w:val="8"/>
    </w:lvl>
  </w:abstractNum>
  <w:abstractNum w:abstractNumId="235">
    <w:nsid w:val="77C9FD68"/>
    <w:multiLevelType w:val="hybridMultilevel"/>
    <w:lvl w:ilvl="0">
      <w:lvlJc w:val="left"/>
      <w:lvlText w:val="(%1)"/>
      <w:numFmt w:val="lowerRoman"/>
      <w:start w:val="4"/>
    </w:lvl>
  </w:abstractNum>
  <w:abstractNum w:abstractNumId="236">
    <w:nsid w:val="298A92BA"/>
    <w:multiLevelType w:val="hybridMultilevel"/>
    <w:lvl w:ilvl="0">
      <w:lvlJc w:val="left"/>
      <w:lvlText w:val="-"/>
      <w:numFmt w:val="bullet"/>
      <w:start w:val="1"/>
    </w:lvl>
  </w:abstractNum>
  <w:abstractNum w:abstractNumId="237">
    <w:nsid w:val="6FE95EAC"/>
    <w:multiLevelType w:val="hybridMultilevel"/>
    <w:lvl w:ilvl="0">
      <w:lvlJc w:val="left"/>
      <w:lvlText w:val="--"/>
      <w:numFmt w:val="bullet"/>
      <w:start w:val="1"/>
    </w:lvl>
  </w:abstractNum>
  <w:abstractNum w:abstractNumId="238">
    <w:nsid w:val="4B697C7A"/>
    <w:multiLevelType w:val="hybridMultilevel"/>
    <w:lvl w:ilvl="0">
      <w:lvlJc w:val="left"/>
      <w:lvlText w:val="-"/>
      <w:numFmt w:val="bullet"/>
      <w:start w:val="1"/>
    </w:lvl>
    <w:lvl w:ilvl="1">
      <w:lvlJc w:val="left"/>
      <w:lvlText w:val="--"/>
      <w:numFmt w:val="bullet"/>
      <w:start w:val="1"/>
    </w:lvl>
  </w:abstractNum>
  <w:abstractNum w:abstractNumId="239">
    <w:nsid w:val="51A27AA6"/>
    <w:multiLevelType w:val="hybridMultilevel"/>
    <w:lvl w:ilvl="0">
      <w:lvlJc w:val="left"/>
      <w:lvlText w:val="$"/>
      <w:numFmt w:val="bullet"/>
      <w:start w:val="1"/>
    </w:lvl>
  </w:abstractNum>
  <w:abstractNum w:abstractNumId="240">
    <w:nsid w:val="613183F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41">
    <w:nsid w:val="634102B4"/>
    <w:multiLevelType w:val="hybridMultilevel"/>
    <w:lvl w:ilvl="0">
      <w:lvlJc w:val="left"/>
      <w:lvlText w:val="$"/>
      <w:numFmt w:val="bullet"/>
      <w:start w:val="1"/>
    </w:lvl>
  </w:abstractNum>
  <w:abstractNum w:abstractNumId="242">
    <w:nsid w:val="65BF9DA8"/>
    <w:multiLevelType w:val="hybridMultilevel"/>
    <w:lvl w:ilvl="0">
      <w:lvlJc w:val="left"/>
      <w:lvlText w:val="-"/>
      <w:numFmt w:val="bullet"/>
      <w:start w:val="1"/>
    </w:lvl>
    <w:lvl w:ilvl="1">
      <w:lvlJc w:val="left"/>
      <w:lvlText w:val="---"/>
      <w:numFmt w:val="bullet"/>
      <w:start w:val="1"/>
    </w:lvl>
  </w:abstractNum>
  <w:abstractNum w:abstractNumId="243">
    <w:nsid w:val="21A2ECCA"/>
    <w:multiLevelType w:val="hybridMultilevel"/>
    <w:lvl w:ilvl="0">
      <w:lvlJc w:val="left"/>
      <w:lvlText w:val="-"/>
      <w:numFmt w:val="bullet"/>
      <w:start w:val="1"/>
    </w:lvl>
  </w:abstractNum>
  <w:abstractNum w:abstractNumId="244">
    <w:nsid w:val="4D5C4899"/>
    <w:multiLevelType w:val="hybridMultilevel"/>
    <w:lvl w:ilvl="0">
      <w:lvlJc w:val="left"/>
      <w:lvlText w:val="-"/>
      <w:numFmt w:val="bullet"/>
      <w:start w:val="1"/>
    </w:lvl>
  </w:abstractNum>
  <w:abstractNum w:abstractNumId="245">
    <w:nsid w:val="3C3B72B2"/>
    <w:multiLevelType w:val="hybridMultilevel"/>
    <w:lvl w:ilvl="0">
      <w:lvlJc w:val="left"/>
      <w:lvlText w:val="**"/>
      <w:numFmt w:val="bullet"/>
      <w:start w:val="1"/>
    </w:lvl>
  </w:abstractNum>
  <w:abstractNum w:abstractNumId="246">
    <w:nsid w:val="155EC4C2"/>
    <w:multiLevelType w:val="hybridMultilevel"/>
    <w:lvl w:ilvl="0">
      <w:lvlJc w:val="left"/>
      <w:lvlText w:val="["/>
      <w:numFmt w:val="bullet"/>
      <w:start w:val="1"/>
    </w:lvl>
  </w:abstractNum>
  <w:abstractNum w:abstractNumId="247">
    <w:nsid w:val="65D2A137"/>
    <w:multiLevelType w:val="hybridMultilevel"/>
    <w:lvl w:ilvl="0">
      <w:lvlJc w:val="left"/>
      <w:lvlText w:val="["/>
      <w:numFmt w:val="bullet"/>
      <w:start w:val="1"/>
    </w:lvl>
  </w:abstractNum>
  <w:abstractNum w:abstractNumId="248">
    <w:nsid w:val="6EBB1F2A"/>
    <w:multiLevelType w:val="hybridMultilevel"/>
    <w:lvl w:ilvl="0">
      <w:lvlJc w:val="left"/>
      <w:lvlText w:val="(%1)"/>
      <w:numFmt w:val="lowerRoman"/>
      <w:start w:val="2"/>
    </w:lvl>
  </w:abstractNum>
  <w:abstractNum w:abstractNumId="249">
    <w:nsid w:val="6FBF29CB"/>
    <w:multiLevelType w:val="hybridMultilevel"/>
    <w:lvl w:ilvl="0">
      <w:lvlJc w:val="left"/>
      <w:lvlText w:val="-"/>
      <w:numFmt w:val="bullet"/>
      <w:start w:val="1"/>
    </w:lvl>
  </w:abstractNum>
  <w:abstractNum w:abstractNumId="250">
    <w:nsid w:val="550B8808"/>
    <w:multiLevelType w:val="hybridMultilevel"/>
    <w:lvl w:ilvl="0">
      <w:lvlJc w:val="left"/>
      <w:lvlText w:val="-"/>
      <w:numFmt w:val="bullet"/>
      <w:start w:val="1"/>
    </w:lvl>
  </w:abstractNum>
  <w:abstractNum w:abstractNumId="251">
    <w:nsid w:val="34CC3ACF"/>
    <w:multiLevelType w:val="hybridMultilevel"/>
    <w:lvl w:ilvl="0">
      <w:lvlJc w:val="left"/>
      <w:lvlText w:val="(%1)"/>
      <w:numFmt w:val="lowerRoman"/>
      <w:start w:val="1"/>
    </w:lvl>
  </w:abstractNum>
  <w:abstractNum w:abstractNumId="252">
    <w:nsid w:val="4E556261"/>
    <w:multiLevelType w:val="hybridMultilevel"/>
    <w:lvl w:ilvl="0">
      <w:lvlJc w:val="left"/>
      <w:lvlText w:val="-"/>
      <w:numFmt w:val="bullet"/>
      <w:start w:val="1"/>
    </w:lvl>
  </w:abstractNum>
  <w:abstractNum w:abstractNumId="253">
    <w:nsid w:val="4C672FC9"/>
    <w:multiLevelType w:val="hybridMultilevel"/>
    <w:lvl w:ilvl="0">
      <w:lvlJc w:val="left"/>
      <w:lvlText w:val="-"/>
      <w:numFmt w:val="bullet"/>
      <w:start w:val="1"/>
    </w:lvl>
  </w:abstractNum>
  <w:abstractNum w:abstractNumId="254">
    <w:nsid w:val="52A311C3"/>
    <w:multiLevelType w:val="hybridMultilevel"/>
    <w:lvl w:ilvl="0">
      <w:lvlJc w:val="left"/>
      <w:lvlText w:val="(%1)"/>
      <w:numFmt w:val="lowerLetter"/>
      <w:start w:val="1"/>
    </w:lvl>
  </w:abstractNum>
  <w:abstractNum w:abstractNumId="255">
    <w:nsid w:val="44EF6B80"/>
    <w:multiLevelType w:val="hybridMultilevel"/>
    <w:lvl w:ilvl="0">
      <w:lvlJc w:val="left"/>
      <w:lvlText w:val="%1."/>
      <w:numFmt w:val="decimal"/>
      <w:start w:val="2"/>
    </w:lvl>
  </w:abstractNum>
  <w:abstractNum w:abstractNumId="256">
    <w:nsid w:val="12FCDE5E"/>
    <w:multiLevelType w:val="hybridMultilevel"/>
    <w:lvl w:ilvl="0">
      <w:lvlJc w:val="left"/>
      <w:lvlText w:val="(%1)"/>
      <w:numFmt w:val="lowerLetter"/>
      <w:start w:val="1"/>
    </w:lvl>
  </w:abstractNum>
  <w:abstractNum w:abstractNumId="257">
    <w:nsid w:val="4A1D606E"/>
    <w:multiLevelType w:val="hybridMultilevel"/>
    <w:lvl w:ilvl="0">
      <w:lvlJc w:val="left"/>
      <w:lvlText w:val="(%1)"/>
      <w:numFmt w:val="lowerLetter"/>
      <w:start w:val="3"/>
    </w:lvl>
  </w:abstractNum>
  <w:abstractNum w:abstractNumId="258">
    <w:nsid w:val="4382503"/>
    <w:multiLevelType w:val="hybridMultilevel"/>
    <w:lvl w:ilvl="0">
      <w:lvlJc w:val="left"/>
      <w:lvlText w:val="%1."/>
      <w:numFmt w:val="decimal"/>
      <w:start w:val="6"/>
    </w:lvl>
    <w:lvl w:ilvl="1">
      <w:lvlJc w:val="left"/>
      <w:lvlText w:val="(%2)"/>
      <w:numFmt w:val="lowerLetter"/>
      <w:start w:val="1"/>
    </w:lvl>
  </w:abstractNum>
  <w:abstractNum w:abstractNumId="259">
    <w:nsid w:val="59B76E28"/>
    <w:multiLevelType w:val="hybridMultilevel"/>
    <w:lvl w:ilvl="0">
      <w:lvlJc w:val="left"/>
      <w:lvlText w:val="(%1)"/>
      <w:numFmt w:val="lowerRoman"/>
      <w:start w:val="1"/>
    </w:lvl>
  </w:abstractNum>
  <w:abstractNum w:abstractNumId="260">
    <w:nsid w:val="4252C2DA"/>
    <w:multiLevelType w:val="hybridMultilevel"/>
    <w:lvl w:ilvl="0">
      <w:lvlJc w:val="left"/>
      <w:lvlText w:val="-"/>
      <w:numFmt w:val="bullet"/>
      <w:start w:val="1"/>
    </w:lvl>
  </w:abstractNum>
  <w:abstractNum w:abstractNumId="261">
    <w:nsid w:val="6A92EF4C"/>
    <w:multiLevelType w:val="hybridMultilevel"/>
    <w:lvl w:ilvl="0">
      <w:lvlJc w:val="left"/>
      <w:lvlText w:val="-"/>
      <w:numFmt w:val="bullet"/>
      <w:start w:val="1"/>
    </w:lvl>
  </w:abstractNum>
  <w:abstractNum w:abstractNumId="262">
    <w:nsid w:val="41ED20D7"/>
    <w:multiLevelType w:val="hybridMultilevel"/>
    <w:lvl w:ilvl="0">
      <w:lvlJc w:val="left"/>
      <w:lvlText w:val="-"/>
      <w:numFmt w:val="bullet"/>
      <w:start w:val="1"/>
    </w:lvl>
  </w:abstractNum>
  <w:abstractNum w:abstractNumId="263">
    <w:nsid w:val="E6B3F6A"/>
    <w:multiLevelType w:val="hybridMultilevel"/>
    <w:lvl w:ilvl="0">
      <w:lvlJc w:val="left"/>
      <w:lvlText w:val="-"/>
      <w:numFmt w:val="bullet"/>
      <w:start w:val="1"/>
    </w:lvl>
  </w:abstractNum>
  <w:abstractNum w:abstractNumId="264">
    <w:nsid w:val="3EB21819"/>
    <w:multiLevelType w:val="hybridMultilevel"/>
    <w:lvl w:ilvl="0">
      <w:lvlJc w:val="left"/>
      <w:lvlText w:val="-"/>
      <w:numFmt w:val="bullet"/>
      <w:start w:val="1"/>
    </w:lvl>
  </w:abstractNum>
  <w:abstractNum w:abstractNumId="265">
    <w:nsid w:val="41531DED"/>
    <w:multiLevelType w:val="hybridMultilevel"/>
    <w:lvl w:ilvl="0">
      <w:lvlJc w:val="left"/>
      <w:lvlText w:val="-"/>
      <w:numFmt w:val="bullet"/>
      <w:start w:val="1"/>
    </w:lvl>
  </w:abstractNum>
  <w:abstractNum w:abstractNumId="266">
    <w:nsid w:val="6353CD2"/>
    <w:multiLevelType w:val="hybridMultilevel"/>
    <w:lvl w:ilvl="0">
      <w:lvlJc w:val="left"/>
      <w:lvlText w:val="-"/>
      <w:numFmt w:val="bullet"/>
      <w:start w:val="1"/>
    </w:lvl>
  </w:abstractNum>
  <w:abstractNum w:abstractNumId="267">
    <w:nsid w:val="683CAAD3"/>
    <w:multiLevelType w:val="hybridMultilevel"/>
    <w:lvl w:ilvl="0">
      <w:lvlJc w:val="left"/>
      <w:lvlText w:val="%1."/>
      <w:numFmt w:val="decimal"/>
      <w:start w:val="1"/>
    </w:lvl>
  </w:abstractNum>
  <w:abstractNum w:abstractNumId="268">
    <w:nsid w:val="313C7C99"/>
    <w:multiLevelType w:val="hybridMultilevel"/>
    <w:lvl w:ilvl="0">
      <w:lvlJc w:val="left"/>
      <w:lvlText w:val="%1."/>
      <w:numFmt w:val="decimal"/>
      <w:start w:val="1"/>
    </w:lvl>
  </w:abstractNum>
  <w:abstractNum w:abstractNumId="269">
    <w:nsid w:val="519EB94C"/>
    <w:multiLevelType w:val="hybridMultilevel"/>
    <w:lvl w:ilvl="0">
      <w:lvlJc w:val="left"/>
      <w:lvlText w:val="["/>
      <w:numFmt w:val="bullet"/>
      <w:start w:val="1"/>
    </w:lvl>
  </w:abstractNum>
  <w:abstractNum w:abstractNumId="270">
    <w:nsid w:val="39DF2579"/>
    <w:multiLevelType w:val="hybridMultilevel"/>
    <w:lvl w:ilvl="0">
      <w:lvlJc w:val="left"/>
      <w:lvlText w:val="["/>
      <w:numFmt w:val="bullet"/>
      <w:start w:val="1"/>
    </w:lvl>
  </w:abstractNum>
  <w:abstractNum w:abstractNumId="271">
    <w:nsid w:val="126E008B"/>
    <w:multiLevelType w:val="hybridMultilevel"/>
    <w:lvl w:ilvl="0">
      <w:lvlJc w:val="left"/>
      <w:lvlText w:val="["/>
      <w:numFmt w:val="bullet"/>
      <w:start w:val="1"/>
    </w:lvl>
  </w:abstractNum>
  <w:abstractNum w:abstractNumId="272">
    <w:nsid w:val="34DFBC00"/>
    <w:multiLevelType w:val="hybridMultilevel"/>
    <w:lvl w:ilvl="0">
      <w:lvlJc w:val="left"/>
      <w:lvlText w:val="["/>
      <w:numFmt w:val="bullet"/>
      <w:start w:val="1"/>
    </w:lvl>
    <w:lvl w:ilvl="1">
      <w:lvlJc w:val="left"/>
      <w:lvlText w:val="(%2)"/>
      <w:numFmt w:val="decimal"/>
      <w:start w:val="3"/>
    </w:lvl>
  </w:abstractNum>
  <w:abstractNum w:abstractNumId="273">
    <w:nsid w:val="1F9EC322"/>
    <w:multiLevelType w:val="hybridMultilevel"/>
    <w:lvl w:ilvl="0">
      <w:lvlJc w:val="left"/>
      <w:lvlText w:val="["/>
      <w:numFmt w:val="bullet"/>
      <w:start w:val="1"/>
    </w:lvl>
  </w:abstractNum>
  <w:abstractNum w:abstractNumId="274">
    <w:nsid w:val="3410ED56"/>
    <w:multiLevelType w:val="hybridMultilevel"/>
    <w:lvl w:ilvl="0">
      <w:lvlJc w:val="left"/>
      <w:lvlText w:val="-"/>
      <w:numFmt w:val="bullet"/>
      <w:start w:val="1"/>
    </w:lvl>
  </w:abstractNum>
  <w:abstractNum w:abstractNumId="275">
    <w:nsid w:val="23C049A"/>
    <w:multiLevelType w:val="hybridMultilevel"/>
    <w:lvl w:ilvl="0">
      <w:lvlJc w:val="left"/>
      <w:lvlText w:val="-"/>
      <w:numFmt w:val="bullet"/>
      <w:start w:val="1"/>
    </w:lvl>
  </w:abstractNum>
  <w:abstractNum w:abstractNumId="276">
    <w:nsid w:val="5BDA35D4"/>
    <w:multiLevelType w:val="hybridMultilevel"/>
    <w:lvl w:ilvl="0">
      <w:lvlJc w:val="left"/>
      <w:lvlText w:val="-"/>
      <w:numFmt w:val="bullet"/>
      <w:start w:val="1"/>
    </w:lvl>
  </w:abstractNum>
  <w:abstractNum w:abstractNumId="277">
    <w:nsid w:val="496FB218"/>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78">
    <w:nsid w:val="680EA5D1"/>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79">
    <w:nsid w:val="4A9554FE"/>
    <w:multiLevelType w:val="hybridMultilevel"/>
    <w:lvl w:ilvl="0">
      <w:lvlJc w:val="left"/>
      <w:lvlText w:val="a"/>
      <w:numFmt w:val="bullet"/>
      <w:start w:val="1"/>
    </w:lvl>
  </w:abstractNum>
  <w:abstractNum w:abstractNumId="280">
    <w:nsid w:val="392EDBE4"/>
    <w:multiLevelType w:val="hybridMultilevel"/>
    <w:lvl w:ilvl="0">
      <w:lvlJc w:val="left"/>
      <w:lvlText w:val="(%1)"/>
      <w:numFmt w:val="decimal"/>
      <w:start w:val="1"/>
    </w:lvl>
  </w:abstractNum>
  <w:abstractNum w:abstractNumId="281">
    <w:nsid w:val="3D1A2DD9"/>
    <w:multiLevelType w:val="hybridMultilevel"/>
    <w:lvl w:ilvl="0">
      <w:lvlJc w:val="left"/>
      <w:lvlText w:val="(%1)"/>
      <w:numFmt w:val="decimal"/>
      <w:start w:val="3"/>
    </w:lvl>
  </w:abstractNum>
  <w:abstractNum w:abstractNumId="282">
    <w:nsid w:val="7F618FCD"/>
    <w:multiLevelType w:val="hybridMultilevel"/>
    <w:lvl w:ilvl="0">
      <w:lvlJc w:val="left"/>
      <w:lvlText w:val="-"/>
      <w:numFmt w:val="bullet"/>
      <w:start w:val="1"/>
    </w:lvl>
  </w:abstractNum>
  <w:abstractNum w:abstractNumId="283">
    <w:nsid w:val="7843E45"/>
    <w:multiLevelType w:val="hybridMultilevel"/>
    <w:lvl w:ilvl="0">
      <w:lvlJc w:val="left"/>
      <w:lvlText w:val="-"/>
      <w:numFmt w:val="bullet"/>
      <w:start w:val="1"/>
    </w:lvl>
  </w:abstractNum>
  <w:abstractNum w:abstractNumId="284">
    <w:nsid w:val="9815DA3"/>
    <w:multiLevelType w:val="hybridMultilevel"/>
    <w:lvl w:ilvl="0">
      <w:lvlJc w:val="left"/>
      <w:lvlText w:val="-"/>
      <w:numFmt w:val="bullet"/>
      <w:start w:val="1"/>
    </w:lvl>
  </w:abstractNum>
  <w:abstractNum w:abstractNumId="285">
    <w:nsid w:val="5204A191"/>
    <w:multiLevelType w:val="hybridMultilevel"/>
    <w:lvl w:ilvl="0">
      <w:lvlJc w:val="left"/>
      <w:lvlText w:val="(%1)"/>
      <w:numFmt w:val="decimal"/>
      <w:start w:val="1"/>
    </w:lvl>
  </w:abstractNum>
  <w:abstractNum w:abstractNumId="286">
    <w:nsid w:val="4C73A9C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2019-12-20T06:17:03Z</dcterms:created>
  <dcterms:modified xsi:type="dcterms:W3CDTF">2019-12-20T06:17:03Z</dcterms:modified>
</cp:coreProperties>
</file>