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Garth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Scotts Miracle-Gro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Marysville, Ohio 43041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Scotts Miracle-Gro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22,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9,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001-11593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Garth: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9,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January 26,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September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Measures, page 43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1. Notwithstanding their scope and magnitude,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inventory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 charges recognized following the decision to discontinue and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exit the market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your lighting brands and product lines do not appear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outside the normal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course of your operations. With reference to Question 100.01 of the Compliance and</w:t>
      </w:r>
    </w:p>
    <w:p>
      <w:pPr>
        <w:ind w:left="5900" w:right="2119" w:hanging="5896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for Non-GAAP Financial Measures and ASC 420-10-S99-3,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you will no longer exclude these inventory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impairments from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Jeanne Baker at 202-551-3691 or Terence O'Brien at 202-551-3355 if you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Garth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Scotts Miracle-Gro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LastNameMatthew Garth</w:t>
      </w:r>
    </w:p>
    <w:p>
      <w:pPr>
        <w:ind w:left="3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NameScotts Miracle-Gro Co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 2024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2024-05-29T23:09:22Z</dcterms:created>
  <dcterms:modified xsi:type="dcterms:W3CDTF">2024-05-29T23:09:22Z</dcterms:modified>
</cp:coreProperties>
</file>