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WASHINGTON, D. C. 20549</w:t>
      </w:r>
    </w:p>
    <w:p>
      <w:pPr>
        <w:spacing w:after="0" w:line="186" w:lineRule="exact"/>
        <w:rPr>
          <w:sz w:val="24"/>
          <w:szCs w:val="24"/>
          <w:color w:val="auto"/>
        </w:rPr>
      </w:pPr>
    </w:p>
    <w:p>
      <w:pPr>
        <w:ind w:left="1720" w:hanging="387"/>
        <w:spacing w:after="0"/>
        <w:tabs>
          <w:tab w:leader="none" w:pos="1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2"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6"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For the quarterly period ended April 4, 1998</w:t>
      </w:r>
    </w:p>
    <w:p>
      <w:pPr>
        <w:spacing w:after="0" w:line="186"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1520" w:hanging="187"/>
        <w:spacing w:after="0"/>
        <w:tabs>
          <w:tab w:leader="none" w:pos="15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2"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94"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Commission file number 1-11593</w:t>
      </w:r>
    </w:p>
    <w:p>
      <w:pPr>
        <w:spacing w:after="0" w:line="186"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7" w:right="1440" w:bottom="1440" w:gutter="0" w:footer="0" w:header="0"/>
        </w:sectPr>
      </w:pPr>
    </w:p>
    <w:p>
      <w:pPr>
        <w:spacing w:after="0" w:line="186"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31-1199481</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69" w:lineRule="exact"/>
        <w:rPr>
          <w:sz w:val="24"/>
          <w:szCs w:val="24"/>
          <w:color w:val="auto"/>
        </w:rPr>
      </w:pPr>
    </w:p>
    <w:p>
      <w:pPr>
        <w:sectPr>
          <w:pgSz w:w="11900" w:h="16838" w:orient="portrait"/>
          <w:cols w:equalWidth="0" w:num="2">
            <w:col w:w="3480" w:space="720"/>
            <w:col w:w="6019"/>
          </w:cols>
          <w:pgMar w:left="240" w:top="237"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Marysville, Ohio 43041</w:t>
      </w: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(Zip Code)</w:t>
      </w:r>
    </w:p>
    <w:p>
      <w:pPr>
        <w:spacing w:after="0" w:line="186"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(937) 644-0011</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No change</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(Former name, former address and former fiscal year,</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if changed since last report.)</w:t>
      </w:r>
    </w:p>
    <w:p>
      <w:pPr>
        <w:spacing w:after="0" w:line="188" w:lineRule="exact"/>
        <w:rPr>
          <w:sz w:val="24"/>
          <w:szCs w:val="24"/>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37" w:right="1440" w:bottom="1440" w:gutter="0" w:footer="0" w:header="0"/>
          <w:type w:val="continuous"/>
        </w:sectPr>
      </w:pPr>
    </w:p>
    <w:p>
      <w:pPr>
        <w:spacing w:after="0" w:line="190" w:lineRule="exact"/>
        <w:rPr>
          <w:sz w:val="24"/>
          <w:szCs w:val="24"/>
          <w:color w:val="auto"/>
        </w:rPr>
      </w:pPr>
    </w:p>
    <w:p>
      <w:pPr>
        <w:ind w:left="362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4"/>
          <w:szCs w:val="24"/>
          <w:color w:val="auto"/>
        </w:rPr>
      </w:pPr>
    </w:p>
    <w:p>
      <w:pPr>
        <w:sectPr>
          <w:pgSz w:w="11900" w:h="16838" w:orient="portrait"/>
          <w:cols w:equalWidth="0" w:num="4">
            <w:col w:w="3900" w:space="0"/>
            <w:col w:w="620" w:space="720"/>
            <w:col w:w="200" w:space="0"/>
            <w:col w:w="4779"/>
          </w:cols>
          <w:pgMar w:left="240" w:top="237" w:right="1440" w:bottom="1440" w:gutter="0" w:footer="0" w:header="0"/>
          <w:type w:val="continuous"/>
        </w:sectPr>
      </w:pPr>
    </w:p>
    <w:p>
      <w:pPr>
        <w:ind w:right="2979"/>
        <w:spacing w:after="0" w:line="239"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7" w:right="1440" w:bottom="1440" w:gutter="0" w:footer="0" w:header="0"/>
          <w:type w:val="continuous"/>
        </w:sectPr>
      </w:pPr>
    </w:p>
    <w:p>
      <w:pPr>
        <w:spacing w:after="0" w:line="189" w:lineRule="exact"/>
        <w:rPr>
          <w:sz w:val="24"/>
          <w:szCs w:val="24"/>
          <w:color w:val="auto"/>
        </w:rPr>
      </w:pPr>
    </w:p>
    <w:p>
      <w:pPr>
        <w:spacing w:after="0" w:line="271" w:lineRule="auto"/>
        <w:rPr>
          <w:sz w:val="20"/>
          <w:szCs w:val="20"/>
          <w:color w:val="auto"/>
        </w:rPr>
      </w:pPr>
      <w:r>
        <w:rPr>
          <w:rFonts w:ascii="Courier New" w:cs="Courier New" w:eastAsia="Courier New" w:hAnsi="Courier New"/>
          <w:sz w:val="15"/>
          <w:szCs w:val="15"/>
          <w:color w:val="auto"/>
        </w:rPr>
        <w:t>18,744,823 Common Shares, voting, no par value - ----------------------------------------------</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4, 1998</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30" w:lineRule="exact"/>
        <w:rPr>
          <w:sz w:val="24"/>
          <w:szCs w:val="24"/>
          <w:color w:val="auto"/>
        </w:rPr>
      </w:pPr>
    </w:p>
    <w:p>
      <w:pPr>
        <w:sectPr>
          <w:pgSz w:w="11900" w:h="16838" w:orient="portrait"/>
          <w:cols w:equalWidth="0" w:num="2">
            <w:col w:w="4580" w:space="560"/>
            <w:col w:w="5079"/>
          </w:cols>
          <w:pgMar w:left="240" w:top="237" w:right="1440" w:bottom="1440" w:gutter="0" w:footer="0" w:header="0"/>
          <w:type w:val="continuous"/>
        </w:sectPr>
      </w:pPr>
    </w:p>
    <w:p>
      <w:pPr>
        <w:spacing w:after="0" w:line="333"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Exhibit Index at page 23</w:t>
      </w:r>
    </w:p>
    <w:p>
      <w:pPr>
        <w:sectPr>
          <w:pgSz w:w="11900" w:h="16838" w:orient="portrait"/>
          <w:cols w:equalWidth="0" w:num="1">
            <w:col w:w="10219"/>
          </w:cols>
          <w:pgMar w:left="240" w:top="23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5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17"/>
        </w:trPr>
        <w:tc>
          <w:tcPr>
            <w:tcW w:w="960" w:type="dxa"/>
            <w:vAlign w:val="bottom"/>
          </w:tcPr>
          <w:p>
            <w:pPr>
              <w:spacing w:after="0"/>
              <w:rPr>
                <w:sz w:val="24"/>
                <w:szCs w:val="24"/>
                <w:color w:val="auto"/>
              </w:rPr>
            </w:pPr>
          </w:p>
        </w:tc>
        <w:tc>
          <w:tcPr>
            <w:tcW w:w="5800" w:type="dxa"/>
            <w:vAlign w:val="bottom"/>
          </w:tcPr>
          <w:p>
            <w:pPr>
              <w:ind w:left="1240"/>
              <w:spacing w:after="0"/>
              <w:rPr>
                <w:sz w:val="20"/>
                <w:szCs w:val="20"/>
                <w:color w:val="auto"/>
              </w:rPr>
            </w:pPr>
            <w:r>
              <w:rPr>
                <w:rFonts w:ascii="Courier New" w:cs="Courier New" w:eastAsia="Courier New" w:hAnsi="Courier New"/>
                <w:sz w:val="16"/>
                <w:szCs w:val="16"/>
                <w:color w:val="auto"/>
              </w:rPr>
              <w:t>THE SCOTTS COMPANY AND SUBSIDIARIES</w:t>
            </w:r>
          </w:p>
        </w:tc>
        <w:tc>
          <w:tcPr>
            <w:tcW w:w="860" w:type="dxa"/>
            <w:vAlign w:val="bottom"/>
          </w:tcPr>
          <w:p>
            <w:pPr>
              <w:spacing w:after="0"/>
              <w:rPr>
                <w:sz w:val="24"/>
                <w:szCs w:val="24"/>
                <w:color w:val="auto"/>
              </w:rPr>
            </w:pPr>
          </w:p>
        </w:tc>
      </w:tr>
      <w:tr>
        <w:trPr>
          <w:trHeight w:val="367"/>
        </w:trPr>
        <w:tc>
          <w:tcPr>
            <w:tcW w:w="960" w:type="dxa"/>
            <w:vAlign w:val="bottom"/>
          </w:tcPr>
          <w:p>
            <w:pPr>
              <w:spacing w:after="0"/>
              <w:rPr>
                <w:sz w:val="24"/>
                <w:szCs w:val="24"/>
                <w:color w:val="auto"/>
              </w:rPr>
            </w:pPr>
          </w:p>
        </w:tc>
        <w:tc>
          <w:tcPr>
            <w:tcW w:w="5800" w:type="dxa"/>
            <w:vAlign w:val="bottom"/>
          </w:tcPr>
          <w:p>
            <w:pPr>
              <w:ind w:left="2660"/>
              <w:spacing w:after="0"/>
              <w:rPr>
                <w:sz w:val="20"/>
                <w:szCs w:val="20"/>
                <w:color w:val="auto"/>
              </w:rPr>
            </w:pPr>
            <w:r>
              <w:rPr>
                <w:rFonts w:ascii="Courier New" w:cs="Courier New" w:eastAsia="Courier New" w:hAnsi="Courier New"/>
                <w:sz w:val="16"/>
                <w:szCs w:val="16"/>
                <w:color w:val="auto"/>
              </w:rPr>
              <w:t>INDEX</w:t>
            </w:r>
          </w:p>
        </w:tc>
        <w:tc>
          <w:tcPr>
            <w:tcW w:w="860" w:type="dxa"/>
            <w:vAlign w:val="bottom"/>
          </w:tcPr>
          <w:p>
            <w:pPr>
              <w:spacing w:after="0"/>
              <w:rPr>
                <w:sz w:val="24"/>
                <w:szCs w:val="24"/>
                <w:color w:val="auto"/>
              </w:rPr>
            </w:pPr>
          </w:p>
        </w:tc>
      </w:tr>
      <w:tr>
        <w:trPr>
          <w:trHeight w:val="917"/>
        </w:trPr>
        <w:tc>
          <w:tcPr>
            <w:tcW w:w="9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9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860" w:type="dxa"/>
            <w:vAlign w:val="bottom"/>
          </w:tcPr>
          <w:p>
            <w:pPr>
              <w:spacing w:after="0"/>
              <w:rPr>
                <w:sz w:val="24"/>
                <w:szCs w:val="24"/>
                <w:color w:val="auto"/>
              </w:rPr>
            </w:pPr>
          </w:p>
        </w:tc>
      </w:tr>
      <w:tr>
        <w:trPr>
          <w:trHeight w:val="367"/>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Item 1.</w:t>
            </w:r>
          </w:p>
        </w:tc>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860" w:type="dxa"/>
            <w:vAlign w:val="bottom"/>
          </w:tcPr>
          <w:p>
            <w:pPr>
              <w:spacing w:after="0"/>
              <w:rPr>
                <w:sz w:val="24"/>
                <w:szCs w:val="24"/>
                <w:color w:val="auto"/>
              </w:rPr>
            </w:pPr>
          </w:p>
        </w:tc>
      </w:tr>
      <w:tr>
        <w:trPr>
          <w:trHeight w:val="367"/>
        </w:trPr>
        <w:tc>
          <w:tcPr>
            <w:tcW w:w="96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 of Operations - Three and six month</w:t>
            </w:r>
          </w:p>
        </w:tc>
        <w:tc>
          <w:tcPr>
            <w:tcW w:w="8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periods ended April 4, 1998 and March 29, 1997</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r>
      <w:tr>
        <w:trPr>
          <w:trHeight w:val="367"/>
        </w:trPr>
        <w:tc>
          <w:tcPr>
            <w:tcW w:w="96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Consolidated Statements of Cash Flows - Six month periods</w:t>
            </w:r>
          </w:p>
        </w:tc>
        <w:tc>
          <w:tcPr>
            <w:tcW w:w="8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ended April 4, 1998 and March 29, 1997</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r>
      <w:tr>
        <w:trPr>
          <w:trHeight w:val="367"/>
        </w:trPr>
        <w:tc>
          <w:tcPr>
            <w:tcW w:w="96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Consolidated Balance Sheets -</w:t>
            </w:r>
          </w:p>
        </w:tc>
        <w:tc>
          <w:tcPr>
            <w:tcW w:w="8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April 4, 1998, March 29, 1997, and September 30, 1997</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367"/>
        </w:trPr>
        <w:tc>
          <w:tcPr>
            <w:tcW w:w="960" w:type="dxa"/>
            <w:vAlign w:val="bottom"/>
          </w:tcPr>
          <w:p>
            <w:pPr>
              <w:spacing w:after="0"/>
              <w:rPr>
                <w:sz w:val="24"/>
                <w:szCs w:val="24"/>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6-12</w:t>
            </w:r>
          </w:p>
        </w:tc>
      </w:tr>
      <w:tr>
        <w:trPr>
          <w:trHeight w:val="367"/>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Item 2.</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Management's Discussion and Analysis of</w:t>
            </w:r>
          </w:p>
        </w:tc>
        <w:tc>
          <w:tcPr>
            <w:tcW w:w="8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13-20</w:t>
            </w:r>
          </w:p>
        </w:tc>
      </w:tr>
      <w:tr>
        <w:trPr>
          <w:trHeight w:val="550"/>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80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860" w:type="dxa"/>
            <w:vAlign w:val="bottom"/>
          </w:tcPr>
          <w:p>
            <w:pPr>
              <w:spacing w:after="0"/>
              <w:rPr>
                <w:sz w:val="24"/>
                <w:szCs w:val="24"/>
                <w:color w:val="auto"/>
              </w:rPr>
            </w:pPr>
          </w:p>
        </w:tc>
      </w:tr>
      <w:tr>
        <w:trPr>
          <w:trHeight w:val="367"/>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Item 1.</w:t>
            </w:r>
          </w:p>
        </w:tc>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Legal Proceedings</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w:t>
            </w:r>
          </w:p>
        </w:tc>
      </w:tr>
      <w:tr>
        <w:trPr>
          <w:trHeight w:val="367"/>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Item 4.</w:t>
            </w:r>
          </w:p>
        </w:tc>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w:t>
            </w:r>
          </w:p>
        </w:tc>
      </w:tr>
      <w:tr>
        <w:trPr>
          <w:trHeight w:val="367"/>
        </w:trPr>
        <w:tc>
          <w:tcPr>
            <w:tcW w:w="960" w:type="dxa"/>
            <w:vAlign w:val="bottom"/>
          </w:tcPr>
          <w:p>
            <w:pPr>
              <w:ind w:left="280"/>
              <w:spacing w:after="0"/>
              <w:rPr>
                <w:sz w:val="20"/>
                <w:szCs w:val="20"/>
                <w:color w:val="auto"/>
              </w:rPr>
            </w:pPr>
            <w:r>
              <w:rPr>
                <w:rFonts w:ascii="Courier New" w:cs="Courier New" w:eastAsia="Courier New" w:hAnsi="Courier New"/>
                <w:sz w:val="16"/>
                <w:szCs w:val="16"/>
                <w:color w:val="auto"/>
                <w:w w:val="98"/>
              </w:rPr>
              <w:t>Item 6.</w:t>
            </w:r>
          </w:p>
        </w:tc>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Exhibits and Reports on Form 8-K</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w:t>
            </w:r>
          </w:p>
        </w:tc>
      </w:tr>
      <w:tr>
        <w:trPr>
          <w:trHeight w:val="550"/>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Signatures</w:t>
            </w:r>
          </w:p>
        </w:tc>
        <w:tc>
          <w:tcPr>
            <w:tcW w:w="580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r>
      <w:tr>
        <w:trPr>
          <w:trHeight w:val="550"/>
        </w:trPr>
        <w:tc>
          <w:tcPr>
            <w:tcW w:w="676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PART I - FINANCIAL INFORMATION</w:t>
      </w:r>
    </w:p>
    <w:p>
      <w:pPr>
        <w:spacing w:after="0" w:line="2"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ITEM 1. FINANCIAL STATEMENTS</w:t>
      </w:r>
    </w:p>
    <w:p>
      <w:pPr>
        <w:spacing w:after="0" w:line="186"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Three Months Ended</w:t>
            </w:r>
          </w:p>
        </w:tc>
        <w:tc>
          <w:tcPr>
            <w:tcW w:w="520" w:type="dxa"/>
            <w:vAlign w:val="bottom"/>
          </w:tcPr>
          <w:p>
            <w:pPr>
              <w:spacing w:after="0"/>
              <w:rPr>
                <w:sz w:val="15"/>
                <w:szCs w:val="15"/>
                <w:color w:val="auto"/>
              </w:rPr>
            </w:pPr>
          </w:p>
        </w:tc>
        <w:tc>
          <w:tcPr>
            <w:tcW w:w="22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April 4,</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March 29,</w:t>
            </w:r>
          </w:p>
        </w:tc>
        <w:tc>
          <w:tcPr>
            <w:tcW w:w="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April 4,</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March 29,</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6"/>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430.6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346.2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555.7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446.4</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259.6</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207.8</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343.1</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275.4</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171.0</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138.4</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212.6</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171.0</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50.7</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41.0</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61.0</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46.2</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34.1</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78.1</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59.4</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Other expense, net</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68.9</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57.4</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65.9</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52.4</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10.6</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8.3</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17.3</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58.3</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49.1</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48.6</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38.5</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24.8</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21.2</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20.6</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16.6</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33.5</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28.0</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21.9</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Extraordinary loss on early extinguishment of debt,</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net of income tax benefit</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0.7</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32.8</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27.3</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21.9</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200" w:type="dxa"/>
            <w:vAlign w:val="bottom"/>
          </w:tcPr>
          <w:p>
            <w:pPr>
              <w:spacing w:after="0"/>
              <w:rPr>
                <w:sz w:val="24"/>
                <w:szCs w:val="24"/>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w:t>
            </w:r>
          </w:p>
        </w:tc>
        <w:tc>
          <w:tcPr>
            <w:tcW w:w="3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w:t>
            </w:r>
          </w:p>
        </w:tc>
        <w:tc>
          <w:tcPr>
            <w:tcW w:w="520" w:type="dxa"/>
            <w:vAlign w:val="bottom"/>
          </w:tcPr>
          <w:p>
            <w:pPr>
              <w:spacing w:after="0"/>
              <w:rPr>
                <w:sz w:val="24"/>
                <w:szCs w:val="24"/>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34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applicable to common shareholders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0.92</w:t>
            </w: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0.04</w:t>
            </w:r>
          </w:p>
        </w:tc>
        <w:tc>
          <w:tcPr>
            <w:tcW w:w="38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0.04</w:t>
            </w:r>
          </w:p>
        </w:tc>
        <w:tc>
          <w:tcPr>
            <w:tcW w:w="340" w:type="dxa"/>
            <w:vAlign w:val="bottom"/>
          </w:tcPr>
          <w:p>
            <w:pPr>
              <w:spacing w:after="0"/>
              <w:rPr>
                <w:sz w:val="15"/>
                <w:szCs w:val="15"/>
                <w:color w:val="auto"/>
              </w:rPr>
            </w:pP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per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0.92</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0.95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0.02</w:t>
            </w:r>
          </w:p>
        </w:tc>
        <w:tc>
          <w:tcPr>
            <w:tcW w:w="340" w:type="dxa"/>
            <w:vAlign w:val="bottom"/>
          </w:tcPr>
          <w:p>
            <w:pPr>
              <w:spacing w:after="0"/>
              <w:rPr>
                <w:sz w:val="15"/>
                <w:szCs w:val="15"/>
                <w:color w:val="auto"/>
              </w:rPr>
            </w:pP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per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0.95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Common shares used in basic</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earnings per share computation</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18.6</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18.6</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Common shares and common stock</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equivalents used in diluted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earnings per share computation</w:t>
            </w: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30.4</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29.3</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30.1</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29.2</w:t>
            </w:r>
          </w:p>
        </w:tc>
      </w:tr>
      <w:tr>
        <w:trPr>
          <w:trHeight w:val="183"/>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580"/>
          </w:cols>
          <w:pgMar w:left="240" w:top="298" w:right="1079" w:bottom="21" w:gutter="0" w:footer="0" w:header="0"/>
        </w:sectPr>
      </w:pPr>
    </w:p>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580"/>
          </w:cols>
          <w:pgMar w:left="240" w:top="298" w:right="1079" w:bottom="21"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jc w:val="center"/>
        <w:ind w:right="268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6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6720" w:type="dxa"/>
            <w:vAlign w:val="bottom"/>
          </w:tcPr>
          <w:p>
            <w:pPr>
              <w:spacing w:after="0"/>
              <w:rPr>
                <w:sz w:val="15"/>
                <w:szCs w:val="15"/>
                <w:color w:val="auto"/>
              </w:rPr>
            </w:pPr>
          </w:p>
        </w:tc>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April 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March 29,</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$ 27.3</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$ 21.9</w:t>
            </w: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720" w:type="dxa"/>
            <w:vAlign w:val="bottom"/>
          </w:tcPr>
          <w:p>
            <w:pPr>
              <w:ind w:left="580"/>
              <w:spacing w:after="0"/>
              <w:rPr>
                <w:sz w:val="20"/>
                <w:szCs w:val="20"/>
                <w:color w:val="auto"/>
              </w:rPr>
            </w:pPr>
            <w:r>
              <w:rPr>
                <w:rFonts w:ascii="Courier New" w:cs="Courier New" w:eastAsia="Courier New" w:hAnsi="Courier New"/>
                <w:sz w:val="16"/>
                <w:szCs w:val="16"/>
                <w:color w:val="auto"/>
              </w:rPr>
              <w:t>used in operating activities:</w:t>
            </w: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720" w:type="dxa"/>
            <w:vAlign w:val="bottom"/>
          </w:tcPr>
          <w:p>
            <w:pPr>
              <w:ind w:left="860"/>
              <w:spacing w:after="0"/>
              <w:rPr>
                <w:sz w:val="20"/>
                <w:szCs w:val="20"/>
                <w:color w:val="auto"/>
              </w:rPr>
            </w:pPr>
            <w:r>
              <w:rPr>
                <w:rFonts w:ascii="Courier New" w:cs="Courier New" w:eastAsia="Courier New" w:hAnsi="Courier New"/>
                <w:sz w:val="16"/>
                <w:szCs w:val="16"/>
                <w:color w:val="auto"/>
              </w:rPr>
              <w:t>Depreciation and amortization</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17.6</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14.8</w:t>
            </w:r>
          </w:p>
        </w:tc>
      </w:tr>
      <w:tr>
        <w:trPr>
          <w:trHeight w:val="183"/>
        </w:trPr>
        <w:tc>
          <w:tcPr>
            <w:tcW w:w="6720" w:type="dxa"/>
            <w:vAlign w:val="bottom"/>
          </w:tcPr>
          <w:p>
            <w:pPr>
              <w:ind w:left="860"/>
              <w:spacing w:after="0"/>
              <w:rPr>
                <w:sz w:val="20"/>
                <w:szCs w:val="20"/>
                <w:color w:val="auto"/>
              </w:rPr>
            </w:pPr>
            <w:r>
              <w:rPr>
                <w:rFonts w:ascii="Courier New" w:cs="Courier New" w:eastAsia="Courier New" w:hAnsi="Courier New"/>
                <w:sz w:val="16"/>
                <w:szCs w:val="16"/>
                <w:color w:val="auto"/>
              </w:rPr>
              <w:t>Extraordinary loss, net of income tax benefit</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0.7</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6720" w:type="dxa"/>
            <w:vAlign w:val="bottom"/>
          </w:tcPr>
          <w:p>
            <w:pPr>
              <w:ind w:left="860"/>
              <w:spacing w:after="0"/>
              <w:rPr>
                <w:sz w:val="20"/>
                <w:szCs w:val="20"/>
                <w:color w:val="auto"/>
              </w:rPr>
            </w:pPr>
            <w:r>
              <w:rPr>
                <w:rFonts w:ascii="Courier New" w:cs="Courier New" w:eastAsia="Courier New" w:hAnsi="Courier New"/>
                <w:sz w:val="16"/>
                <w:szCs w:val="16"/>
                <w:color w:val="auto"/>
              </w:rPr>
              <w:t>Net change in certain components of</w:t>
            </w: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720" w:type="dxa"/>
            <w:vAlign w:val="bottom"/>
          </w:tcPr>
          <w:p>
            <w:pPr>
              <w:ind w:left="1240"/>
              <w:spacing w:after="0"/>
              <w:rPr>
                <w:sz w:val="20"/>
                <w:szCs w:val="20"/>
                <w:color w:val="auto"/>
              </w:rPr>
            </w:pPr>
            <w:r>
              <w:rPr>
                <w:rFonts w:ascii="Courier New" w:cs="Courier New" w:eastAsia="Courier New" w:hAnsi="Courier New"/>
                <w:sz w:val="16"/>
                <w:szCs w:val="16"/>
                <w:color w:val="auto"/>
              </w:rPr>
              <w:t>working capital</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(227.2)</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(177.6)</w:t>
            </w:r>
          </w:p>
        </w:tc>
      </w:tr>
      <w:tr>
        <w:trPr>
          <w:trHeight w:val="183"/>
        </w:trPr>
        <w:tc>
          <w:tcPr>
            <w:tcW w:w="6720" w:type="dxa"/>
            <w:vAlign w:val="bottom"/>
          </w:tcPr>
          <w:p>
            <w:pPr>
              <w:ind w:left="860"/>
              <w:spacing w:after="0"/>
              <w:rPr>
                <w:sz w:val="20"/>
                <w:szCs w:val="20"/>
                <w:color w:val="auto"/>
              </w:rPr>
            </w:pPr>
            <w:r>
              <w:rPr>
                <w:rFonts w:ascii="Courier New" w:cs="Courier New" w:eastAsia="Courier New" w:hAnsi="Courier New"/>
                <w:sz w:val="16"/>
                <w:szCs w:val="16"/>
                <w:color w:val="auto"/>
              </w:rPr>
              <w:t>Net charge in other assets and</w:t>
            </w: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720" w:type="dxa"/>
            <w:vAlign w:val="bottom"/>
          </w:tcPr>
          <w:p>
            <w:pPr>
              <w:ind w:left="1240"/>
              <w:spacing w:after="0"/>
              <w:rPr>
                <w:sz w:val="20"/>
                <w:szCs w:val="20"/>
                <w:color w:val="auto"/>
              </w:rPr>
            </w:pPr>
            <w:r>
              <w:rPr>
                <w:rFonts w:ascii="Courier New" w:cs="Courier New" w:eastAsia="Courier New" w:hAnsi="Courier New"/>
                <w:sz w:val="16"/>
                <w:szCs w:val="16"/>
                <w:color w:val="auto"/>
              </w:rPr>
              <w:t>liabilities and other adjustments</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(2.1)</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ind w:left="1720"/>
              <w:spacing w:after="0"/>
              <w:rPr>
                <w:sz w:val="20"/>
                <w:szCs w:val="20"/>
                <w:color w:val="auto"/>
              </w:rPr>
            </w:pPr>
            <w:r>
              <w:rPr>
                <w:rFonts w:ascii="Courier New" w:cs="Courier New" w:eastAsia="Courier New" w:hAnsi="Courier New"/>
                <w:sz w:val="16"/>
                <w:szCs w:val="16"/>
                <w:color w:val="auto"/>
              </w:rPr>
              <w:t>Net cash used in operating activities</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(183.7)</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(138.6)</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Investment in property, plant and equipment, net</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(13.2)</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w:t>
            </w: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Acquisitions, net of cash acquired</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(134.4)</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(47.1)</w:t>
            </w: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0.2</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ind w:left="1720"/>
              <w:spacing w:after="0"/>
              <w:rPr>
                <w:sz w:val="20"/>
                <w:szCs w:val="20"/>
                <w:color w:val="auto"/>
              </w:rPr>
            </w:pPr>
            <w:r>
              <w:rPr>
                <w:rFonts w:ascii="Courier New" w:cs="Courier New" w:eastAsia="Courier New" w:hAnsi="Courier New"/>
                <w:sz w:val="16"/>
                <w:szCs w:val="16"/>
                <w:color w:val="auto"/>
              </w:rPr>
              <w:t>Net cash used in investing activities</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(147.4)</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(51.2)</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Revolving lines of credit and bank line of credit, net</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334.0</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Dividends on Preferred Stock</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(4.9)</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w:t>
            </w: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0.4</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0.2</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ind w:left="172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329.5</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195.5</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(0.1)</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13.0</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10.6</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$ 11.3</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$ 12.0</w:t>
            </w:r>
          </w:p>
        </w:tc>
      </w:tr>
      <w:tr>
        <w:trPr>
          <w:trHeight w:val="183"/>
        </w:trPr>
        <w:tc>
          <w:tcPr>
            <w:tcW w:w="6720" w:type="dxa"/>
            <w:vAlign w:val="bottom"/>
          </w:tcPr>
          <w:p>
            <w:pPr>
              <w:spacing w:after="0"/>
              <w:rPr>
                <w:sz w:val="15"/>
                <w:szCs w:val="15"/>
                <w:color w:val="auto"/>
              </w:rPr>
            </w:pP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67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Businesses Acquired:</w:t>
            </w: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720" w:type="dxa"/>
            <w:vAlign w:val="bottom"/>
          </w:tcPr>
          <w:p>
            <w:pPr>
              <w:ind w:left="480"/>
              <w:spacing w:after="0"/>
              <w:rPr>
                <w:sz w:val="20"/>
                <w:szCs w:val="20"/>
                <w:color w:val="auto"/>
              </w:rPr>
            </w:pPr>
            <w:r>
              <w:rPr>
                <w:rFonts w:ascii="Courier New" w:cs="Courier New" w:eastAsia="Courier New" w:hAnsi="Courier New"/>
                <w:sz w:val="16"/>
                <w:szCs w:val="16"/>
                <w:color w:val="auto"/>
              </w:rPr>
              <w:t>Fair value of assets acquired</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$201.3</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$115.9</w:t>
            </w:r>
          </w:p>
        </w:tc>
      </w:tr>
      <w:tr>
        <w:trPr>
          <w:trHeight w:val="183"/>
        </w:trPr>
        <w:tc>
          <w:tcPr>
            <w:tcW w:w="6720" w:type="dxa"/>
            <w:vAlign w:val="bottom"/>
          </w:tcPr>
          <w:p>
            <w:pPr>
              <w:ind w:left="480"/>
              <w:spacing w:after="0"/>
              <w:rPr>
                <w:sz w:val="20"/>
                <w:szCs w:val="20"/>
                <w:color w:val="auto"/>
              </w:rPr>
            </w:pPr>
            <w:r>
              <w:rPr>
                <w:rFonts w:ascii="Courier New" w:cs="Courier New" w:eastAsia="Courier New" w:hAnsi="Courier New"/>
                <w:sz w:val="16"/>
                <w:szCs w:val="16"/>
                <w:color w:val="auto"/>
              </w:rPr>
              <w:t>Liabilities assumed and minority interest</w:t>
            </w:r>
          </w:p>
        </w:tc>
        <w:tc>
          <w:tcPr>
            <w:tcW w:w="2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(45.9)</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(69.2)</w:t>
            </w:r>
          </w:p>
        </w:tc>
      </w:tr>
      <w:tr>
        <w:trPr>
          <w:trHeight w:val="183"/>
        </w:trPr>
        <w:tc>
          <w:tcPr>
            <w:tcW w:w="6720" w:type="dxa"/>
            <w:vAlign w:val="bottom"/>
          </w:tcPr>
          <w:p>
            <w:pPr>
              <w:ind w:left="480"/>
              <w:spacing w:after="0"/>
              <w:rPr>
                <w:sz w:val="20"/>
                <w:szCs w:val="20"/>
                <w:color w:val="auto"/>
              </w:rPr>
            </w:pPr>
            <w:r>
              <w:rPr>
                <w:rFonts w:ascii="Courier New" w:cs="Courier New" w:eastAsia="Courier New" w:hAnsi="Courier New"/>
                <w:sz w:val="16"/>
                <w:szCs w:val="16"/>
                <w:color w:val="auto"/>
              </w:rPr>
              <w:t>Debt issued</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$152.4</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44.9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400"/>
          </w:cols>
          <w:pgMar w:left="240" w:top="298" w:right="1259" w:bottom="7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400"/>
          </w:cols>
          <w:pgMar w:left="240" w:top="298" w:right="1259" w:bottom="75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917"/>
        </w:trPr>
        <w:tc>
          <w:tcPr>
            <w:tcW w:w="596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8"/>
              </w:rPr>
              <w:t>THE SCOTTS COMPANY AND SUBSIDIARIES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96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8"/>
              </w:rPr>
              <w:t>CONSOLIDATED BALANCE SHEETS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jc w:val="center"/>
              <w:ind w:left="1681"/>
              <w:spacing w:after="0"/>
              <w:rPr>
                <w:sz w:val="20"/>
                <w:szCs w:val="20"/>
                <w:color w:val="auto"/>
              </w:rPr>
            </w:pPr>
            <w:r>
              <w:rPr>
                <w:rFonts w:ascii="Courier New" w:cs="Courier New" w:eastAsia="Courier New" w:hAnsi="Courier New"/>
                <w:sz w:val="16"/>
                <w:szCs w:val="16"/>
                <w:color w:val="auto"/>
                <w:w w:val="99"/>
              </w:rPr>
              <w:t>(in millions)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34"/>
        </w:trPr>
        <w:tc>
          <w:tcPr>
            <w:tcW w:w="5960" w:type="dxa"/>
            <w:vAlign w:val="bottom"/>
          </w:tcPr>
          <w:p>
            <w:pPr>
              <w:ind w:left="4680"/>
              <w:spacing w:after="0"/>
              <w:rPr>
                <w:sz w:val="20"/>
                <w:szCs w:val="20"/>
                <w:color w:val="auto"/>
              </w:rPr>
            </w:pPr>
            <w:r>
              <w:rPr>
                <w:rFonts w:ascii="Courier New" w:cs="Courier New" w:eastAsia="Courier New" w:hAnsi="Courier New"/>
                <w:sz w:val="16"/>
                <w:szCs w:val="16"/>
                <w:color w:val="auto"/>
              </w:rPr>
              <w:t>ASSETS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Unaudited</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spacing w:after="0"/>
              <w:rPr>
                <w:sz w:val="15"/>
                <w:szCs w:val="15"/>
                <w:color w:val="auto"/>
              </w:rPr>
            </w:pPr>
          </w:p>
        </w:tc>
        <w:tc>
          <w:tcPr>
            <w:tcW w:w="3620" w:type="dxa"/>
            <w:vAlign w:val="bottom"/>
            <w:gridSpan w:val="4"/>
          </w:tcPr>
          <w:p>
            <w:pPr>
              <w:ind w:left="7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April 4,</w:t>
            </w:r>
          </w:p>
        </w:tc>
        <w:tc>
          <w:tcPr>
            <w:tcW w:w="20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March 29,</w:t>
            </w:r>
          </w:p>
        </w:tc>
        <w:tc>
          <w:tcPr>
            <w:tcW w:w="4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September 30,</w:t>
            </w:r>
          </w:p>
        </w:tc>
      </w:tr>
      <w:tr>
        <w:trPr>
          <w:trHeight w:val="183"/>
        </w:trPr>
        <w:tc>
          <w:tcPr>
            <w:tcW w:w="5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1998</w:t>
            </w:r>
          </w:p>
        </w:tc>
        <w:tc>
          <w:tcPr>
            <w:tcW w:w="10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5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04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Cash</w:t>
            </w:r>
          </w:p>
        </w:tc>
        <w:tc>
          <w:tcPr>
            <w:tcW w:w="800" w:type="dxa"/>
            <w:vAlign w:val="bottom"/>
          </w:tcPr>
          <w:p>
            <w:pPr>
              <w:ind w:left="7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w:t>
            </w:r>
          </w:p>
        </w:tc>
        <w:tc>
          <w:tcPr>
            <w:tcW w:w="104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12.0</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$ 13.0</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of $6.2, $6.2 and $5.7, respectively</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413.8</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349.7</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104.3</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194.3</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188.3</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146.1</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30.1</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22.4</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22.4</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649.5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572.4</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285.8</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80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186.1</w:t>
            </w:r>
          </w:p>
        </w:tc>
        <w:tc>
          <w:tcPr>
            <w:tcW w:w="1040" w:type="dxa"/>
            <w:vAlign w:val="bottom"/>
          </w:tcPr>
          <w:p>
            <w:pPr>
              <w:spacing w:after="0"/>
              <w:rPr>
                <w:sz w:val="24"/>
                <w:szCs w:val="24"/>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134.8</w:t>
            </w:r>
          </w:p>
        </w:tc>
        <w:tc>
          <w:tcPr>
            <w:tcW w:w="4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146.1</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296.8</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213.2</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215.6</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intangibles, net</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133.1</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141.6</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136.6</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$1,271.8</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$1,064.1</w:t>
            </w:r>
          </w:p>
        </w:tc>
        <w:tc>
          <w:tcPr>
            <w:tcW w:w="4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$787.6</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6760" w:type="dxa"/>
            <w:vAlign w:val="bottom"/>
            <w:gridSpan w:val="2"/>
          </w:tcPr>
          <w:p>
            <w:pPr>
              <w:ind w:left="3340"/>
              <w:spacing w:after="0"/>
              <w:rPr>
                <w:sz w:val="20"/>
                <w:szCs w:val="20"/>
                <w:color w:val="auto"/>
              </w:rPr>
            </w:pPr>
            <w:r>
              <w:rPr>
                <w:rFonts w:ascii="Courier New" w:cs="Courier New" w:eastAsia="Courier New" w:hAnsi="Courier New"/>
                <w:sz w:val="16"/>
                <w:szCs w:val="16"/>
                <w:color w:val="auto"/>
                <w:w w:val="98"/>
              </w:rPr>
              <w:t>LIABILITIES AND SHAREHOLDERS' EQUITY</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line and other short-term debt</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128.6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85.0</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54.1</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101.6</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77.0</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57.8</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Accrued taxes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37.5</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328.1</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139.3</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Term debt, less current portion</w:t>
            </w:r>
          </w:p>
        </w:tc>
        <w:tc>
          <w:tcPr>
            <w:tcW w:w="80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562.2</w:t>
            </w:r>
          </w:p>
        </w:tc>
        <w:tc>
          <w:tcPr>
            <w:tcW w:w="1040" w:type="dxa"/>
            <w:vAlign w:val="bottom"/>
          </w:tcPr>
          <w:p>
            <w:pPr>
              <w:spacing w:after="0"/>
              <w:rPr>
                <w:sz w:val="24"/>
                <w:szCs w:val="24"/>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324.4</w:t>
            </w:r>
          </w:p>
        </w:tc>
        <w:tc>
          <w:tcPr>
            <w:tcW w:w="4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219.8</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44.6</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33.2</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39.3</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80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861.3</w:t>
            </w:r>
          </w:p>
        </w:tc>
        <w:tc>
          <w:tcPr>
            <w:tcW w:w="1040" w:type="dxa"/>
            <w:vAlign w:val="bottom"/>
          </w:tcPr>
          <w:p>
            <w:pPr>
              <w:spacing w:after="0"/>
              <w:rPr>
                <w:sz w:val="24"/>
                <w:szCs w:val="24"/>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685.7</w:t>
            </w:r>
          </w:p>
        </w:tc>
        <w:tc>
          <w:tcPr>
            <w:tcW w:w="4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398.4</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177.3</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177.3</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177.3</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Common shares, no par value, $.01 stated</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value per share, issued 21.1 shares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0.2</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207.8</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207.6</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207.8</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37.4</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50.1</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 account</w:t>
            </w: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0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w:t>
            </w:r>
          </w:p>
        </w:tc>
        <w:tc>
          <w:tcPr>
            <w:tcW w:w="44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2.4, 2.5, and 2.4 shares,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960" w:type="dxa"/>
            <w:vAlign w:val="bottom"/>
          </w:tcPr>
          <w:p>
            <w:pPr>
              <w:ind w:left="660"/>
              <w:spacing w:after="0"/>
              <w:rPr>
                <w:sz w:val="20"/>
                <w:szCs w:val="20"/>
                <w:color w:val="auto"/>
              </w:rPr>
            </w:pPr>
            <w:r>
              <w:rPr>
                <w:rFonts w:ascii="Courier New" w:cs="Courier New" w:eastAsia="Courier New" w:hAnsi="Courier New"/>
                <w:sz w:val="16"/>
                <w:szCs w:val="16"/>
                <w:color w:val="auto"/>
              </w:rPr>
              <w:t>respectively, at cost</w:t>
            </w:r>
          </w:p>
        </w:tc>
        <w:tc>
          <w:tcPr>
            <w:tcW w:w="8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c>
          <w:tcPr>
            <w:tcW w:w="10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(43.0)</w:t>
            </w:r>
          </w:p>
        </w:tc>
        <w:tc>
          <w:tcPr>
            <w:tcW w:w="44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(41.9)</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Shareholders' Equity</w:t>
            </w:r>
          </w:p>
        </w:tc>
        <w:tc>
          <w:tcPr>
            <w:tcW w:w="800" w:type="dxa"/>
            <w:vAlign w:val="bottom"/>
          </w:tcPr>
          <w:p>
            <w:pPr>
              <w:spacing w:after="0"/>
              <w:rPr>
                <w:sz w:val="15"/>
                <w:szCs w:val="15"/>
                <w:color w:val="auto"/>
              </w:rPr>
            </w:pPr>
          </w:p>
        </w:tc>
        <w:tc>
          <w:tcPr>
            <w:tcW w:w="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410.5</w:t>
            </w:r>
          </w:p>
        </w:tc>
        <w:tc>
          <w:tcPr>
            <w:tcW w:w="10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378.4</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389.2</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$1,271.8</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$1,064.1</w:t>
            </w:r>
          </w:p>
        </w:tc>
        <w:tc>
          <w:tcPr>
            <w:tcW w:w="4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$787.6</w:t>
            </w:r>
          </w:p>
        </w:tc>
      </w:tr>
      <w:tr>
        <w:trPr>
          <w:trHeight w:val="183"/>
        </w:trPr>
        <w:tc>
          <w:tcPr>
            <w:tcW w:w="5960" w:type="dxa"/>
            <w:vAlign w:val="bottom"/>
          </w:tcPr>
          <w:p>
            <w:pPr>
              <w:spacing w:after="0"/>
              <w:rPr>
                <w:sz w:val="15"/>
                <w:szCs w:val="15"/>
                <w:color w:val="auto"/>
              </w:rPr>
            </w:pP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1260"/>
          </w:cols>
          <w:pgMar w:left="240" w:top="29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1260"/>
          </w:cols>
          <w:pgMar w:left="240" w:top="298" w:right="399" w:bottom="1440" w:gutter="0" w:footer="0" w:header="0"/>
          <w:type w:val="continuous"/>
        </w:sectPr>
      </w:pPr>
    </w:p>
    <w:bookmarkStart w:id="5" w:name="page6"/>
    <w:bookmarkEnd w:id="5"/>
    <w:p>
      <w:pPr>
        <w:ind w:left="282"/>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72" w:lineRule="exact"/>
        <w:rPr>
          <w:sz w:val="20"/>
          <w:szCs w:val="20"/>
          <w:color w:val="auto"/>
        </w:rPr>
      </w:pPr>
    </w:p>
    <w:p>
      <w:pPr>
        <w:ind w:left="582" w:right="5639" w:hanging="582"/>
        <w:spacing w:after="0" w:line="481" w:lineRule="auto"/>
        <w:tabs>
          <w:tab w:leader="none" w:pos="5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7"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187"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8" w:lineRule="exact"/>
        <w:rPr>
          <w:rFonts w:ascii="Courier New" w:cs="Courier New" w:eastAsia="Courier New" w:hAnsi="Courier New"/>
          <w:sz w:val="16"/>
          <w:szCs w:val="16"/>
          <w:color w:val="auto"/>
        </w:rPr>
      </w:pPr>
    </w:p>
    <w:p>
      <w:pPr>
        <w:ind w:left="5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Earthgro, Inc. ("Earthgro"), Republic Tool and Manufacturing Corp. ("Republic"), Scotts-Sierra Horticultural Products Company ("Sierra"), Scotts' Miracle-Gro Products, Inc. ("Miracle-Gro"), Miracle Holdings Limited ("Miracle Holdings"), and Levington Group Limited ("Levington"), (collectively, the "Company"). All material intercompany transactions have been eliminated.</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sheets as of April 4, 1998 and March 29, 1997, and the related consolidated statements of operations for the three and six month periods, and cash flows for the six month periods, ended April 4, 1998 and March 29, 1997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1997 Annual Report on Form 10-K.</w:t>
      </w:r>
    </w:p>
    <w:p>
      <w:pPr>
        <w:spacing w:after="0" w:line="188"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88"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Costs for these advertising and promotional programs are generally expensed ratably over the year in relation to revenues or related performance measures.</w:t>
      </w:r>
    </w:p>
    <w:p>
      <w:pPr>
        <w:sectPr>
          <w:pgSz w:w="11900" w:h="16838" w:orient="portrait"/>
          <w:cols w:equalWidth="0" w:num="1">
            <w:col w:w="10221"/>
          </w:cols>
          <w:pgMar w:left="238" w:top="298" w:right="1440" w:bottom="1440" w:gutter="0" w:footer="0" w:header="0"/>
        </w:sectPr>
      </w:pPr>
    </w:p>
    <w:p>
      <w:pPr>
        <w:spacing w:after="0" w:line="36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21"/>
          </w:cols>
          <w:pgMar w:left="238" w:top="298" w:right="1440" w:bottom="1440" w:gutter="0" w:footer="0" w:header="0"/>
          <w:type w:val="continuous"/>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200" w:lineRule="exact"/>
        <w:rPr>
          <w:sz w:val="20"/>
          <w:szCs w:val="20"/>
          <w:color w:val="auto"/>
        </w:rPr>
      </w:pPr>
    </w:p>
    <w:p>
      <w:pPr>
        <w:spacing w:after="0" w:line="35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Reclassifications</w:t>
      </w:r>
    </w:p>
    <w:p>
      <w:pPr>
        <w:spacing w:after="0" w:line="188" w:lineRule="exact"/>
        <w:rPr>
          <w:sz w:val="20"/>
          <w:szCs w:val="20"/>
          <w:color w:val="auto"/>
        </w:rPr>
      </w:pPr>
    </w:p>
    <w:p>
      <w:pPr>
        <w:ind w:left="582" w:right="3159"/>
        <w:spacing w:after="0" w:line="239"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1998 classifications.</w:t>
      </w:r>
    </w:p>
    <w:p>
      <w:pPr>
        <w:spacing w:after="0" w:line="186" w:lineRule="exact"/>
        <w:rPr>
          <w:sz w:val="20"/>
          <w:szCs w:val="20"/>
          <w:color w:val="auto"/>
        </w:rPr>
      </w:pPr>
    </w:p>
    <w:p>
      <w:pPr>
        <w:ind w:left="582" w:hanging="582"/>
        <w:spacing w:after="0"/>
        <w:tabs>
          <w:tab w:leader="none" w:pos="5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88" w:lineRule="exact"/>
        <w:rPr>
          <w:rFonts w:ascii="Courier New" w:cs="Courier New" w:eastAsia="Courier New" w:hAnsi="Courier New"/>
          <w:sz w:val="16"/>
          <w:szCs w:val="16"/>
          <w:color w:val="auto"/>
        </w:rPr>
      </w:pPr>
    </w:p>
    <w:p>
      <w:pPr>
        <w:ind w:left="58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February 1998, the Company acquired all the shares of Earthgro, Inc., a regional organics company located in Glastonbury, Connecticut, for $47.0, including deal costs and refinancing of certain assumed debt.</w:t>
      </w:r>
    </w:p>
    <w:p>
      <w:pPr>
        <w:spacing w:after="0" w:line="189" w:lineRule="exact"/>
        <w:rPr>
          <w:rFonts w:ascii="Courier New" w:cs="Courier New" w:eastAsia="Courier New" w:hAnsi="Courier New"/>
          <w:sz w:val="16"/>
          <w:szCs w:val="16"/>
          <w:color w:val="auto"/>
        </w:rPr>
      </w:pPr>
    </w:p>
    <w:p>
      <w:pPr>
        <w:ind w:left="5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1997, the Company acquired all the shares of Levington, the leading producer of consumer and professional lawn fertilizer and growing media in the U.K, for $93.7, including deal costs and refinancing of certain assumed debt.</w:t>
      </w:r>
    </w:p>
    <w:p>
      <w:pPr>
        <w:spacing w:after="0" w:line="189" w:lineRule="exact"/>
        <w:rPr>
          <w:rFonts w:ascii="Courier New" w:cs="Courier New" w:eastAsia="Courier New" w:hAnsi="Courier New"/>
          <w:sz w:val="16"/>
          <w:szCs w:val="16"/>
          <w:color w:val="auto"/>
        </w:rPr>
      </w:pPr>
    </w:p>
    <w:p>
      <w:pPr>
        <w:ind w:left="5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final allocation of the purchase price to acquired net assets is pending for both Earthgro and Levington. The excess of the purchase price over the net book value of acquired assets is currently recorded on the balance sheet as goodwill.</w:t>
      </w:r>
    </w:p>
    <w:p>
      <w:pPr>
        <w:spacing w:after="0" w:line="189" w:lineRule="exact"/>
        <w:rPr>
          <w:rFonts w:ascii="Courier New" w:cs="Courier New" w:eastAsia="Courier New" w:hAnsi="Courier New"/>
          <w:sz w:val="16"/>
          <w:szCs w:val="16"/>
          <w:color w:val="auto"/>
        </w:rPr>
      </w:pPr>
    </w:p>
    <w:p>
      <w:pPr>
        <w:ind w:left="582" w:right="267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January 1997, the Company acquired the approximately two-thirds interest in Miracle Holdings which the Company did not already own, for $46.6. Miracle Holdings owns Miracle Garden Care Limited ("MGC"), a manufacturer and distributor of lawn and garden products in the U.K.</w:t>
      </w:r>
    </w:p>
    <w:p>
      <w:pPr>
        <w:spacing w:after="0" w:line="172" w:lineRule="exact"/>
        <w:rPr>
          <w:rFonts w:ascii="Courier New" w:cs="Courier New" w:eastAsia="Courier New" w:hAnsi="Courier New"/>
          <w:sz w:val="16"/>
          <w:szCs w:val="16"/>
          <w:color w:val="auto"/>
        </w:rPr>
      </w:pPr>
    </w:p>
    <w:p>
      <w:pPr>
        <w:ind w:left="582" w:right="277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Earthgro, Levington and Miracle Holdings acquisitions were accounted for under the purchase method of accounting. The following pro forma results of operations give effect to the Earthgro, Levington and Miracle Holdings acquisitions as if they had occurred October 1, 1996.</w:t>
      </w:r>
    </w:p>
    <w:p>
      <w:pPr>
        <w:spacing w:after="0" w:line="200" w:lineRule="exact"/>
        <w:rPr>
          <w:sz w:val="20"/>
          <w:szCs w:val="20"/>
          <w:color w:val="auto"/>
        </w:rPr>
      </w:pPr>
    </w:p>
    <w:p>
      <w:pPr>
        <w:spacing w:after="0" w:line="336" w:lineRule="exact"/>
        <w:rPr>
          <w:sz w:val="20"/>
          <w:szCs w:val="20"/>
          <w:color w:val="auto"/>
        </w:rPr>
      </w:pPr>
    </w:p>
    <w:tbl>
      <w:tblPr>
        <w:tblLayout w:type="fixed"/>
        <w:tblInd w:w="1042"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35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4400" w:type="dxa"/>
            <w:vAlign w:val="bottom"/>
          </w:tcPr>
          <w:p>
            <w:pPr>
              <w:spacing w:after="0"/>
              <w:rPr>
                <w:sz w:val="15"/>
                <w:szCs w:val="15"/>
                <w:color w:val="auto"/>
              </w:rPr>
            </w:pPr>
          </w:p>
        </w:tc>
        <w:tc>
          <w:tcPr>
            <w:tcW w:w="3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April 4,</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March 29,</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1998</w:t>
            </w:r>
          </w:p>
        </w:tc>
        <w:tc>
          <w:tcPr>
            <w:tcW w:w="5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734"/>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$577.7</w:t>
            </w:r>
          </w:p>
        </w:tc>
        <w:tc>
          <w:tcPr>
            <w:tcW w:w="560" w:type="dxa"/>
            <w:vAlign w:val="bottom"/>
          </w:tcPr>
          <w:p>
            <w:pPr>
              <w:spacing w:after="0"/>
              <w:rPr>
                <w:sz w:val="24"/>
                <w:szCs w:val="24"/>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$511.7</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4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loss</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$1.17</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$0.87</w:t>
            </w: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Extraordinary loss, net of income</w:t>
            </w: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400" w:type="dxa"/>
            <w:vAlign w:val="bottom"/>
          </w:tcPr>
          <w:p>
            <w:pPr>
              <w:ind w:left="760"/>
              <w:spacing w:after="0"/>
              <w:rPr>
                <w:sz w:val="20"/>
                <w:szCs w:val="20"/>
                <w:color w:val="auto"/>
              </w:rPr>
            </w:pPr>
            <w:r>
              <w:rPr>
                <w:rFonts w:ascii="Courier New" w:cs="Courier New" w:eastAsia="Courier New" w:hAnsi="Courier New"/>
                <w:sz w:val="16"/>
                <w:szCs w:val="16"/>
                <w:color w:val="auto"/>
              </w:rPr>
              <w:t>tax benefit</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0.04</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Basic earnings per share</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$1.13</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$0.87</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loss</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$0.88</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$0.72</w:t>
            </w: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Extraordinary loss, net of income</w:t>
            </w:r>
          </w:p>
        </w:tc>
        <w:tc>
          <w:tcPr>
            <w:tcW w:w="2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400" w:type="dxa"/>
            <w:vAlign w:val="bottom"/>
          </w:tcPr>
          <w:p>
            <w:pPr>
              <w:ind w:left="760"/>
              <w:spacing w:after="0"/>
              <w:rPr>
                <w:sz w:val="20"/>
                <w:szCs w:val="20"/>
                <w:color w:val="auto"/>
              </w:rPr>
            </w:pPr>
            <w:r>
              <w:rPr>
                <w:rFonts w:ascii="Courier New" w:cs="Courier New" w:eastAsia="Courier New" w:hAnsi="Courier New"/>
                <w:sz w:val="16"/>
                <w:szCs w:val="16"/>
                <w:color w:val="auto"/>
              </w:rPr>
              <w:t>tax benefit</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0.02</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Diluted earnings per share</w:t>
            </w: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$0.86</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$0.72</w:t>
            </w:r>
          </w:p>
        </w:tc>
      </w:tr>
      <w:tr>
        <w:trPr>
          <w:trHeight w:val="183"/>
        </w:trPr>
        <w:tc>
          <w:tcPr>
            <w:tcW w:w="4400" w:type="dxa"/>
            <w:vAlign w:val="bottom"/>
          </w:tcPr>
          <w:p>
            <w:pPr>
              <w:spacing w:after="0"/>
              <w:rPr>
                <w:sz w:val="15"/>
                <w:szCs w:val="15"/>
                <w:color w:val="auto"/>
              </w:rPr>
            </w:pPr>
          </w:p>
        </w:tc>
        <w:tc>
          <w:tcPr>
            <w:tcW w:w="2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582" w:right="2599"/>
        <w:spacing w:after="0" w:line="241" w:lineRule="auto"/>
        <w:rPr>
          <w:sz w:val="20"/>
          <w:szCs w:val="20"/>
          <w:color w:val="auto"/>
        </w:rPr>
      </w:pPr>
      <w:r>
        <w:rPr>
          <w:rFonts w:ascii="Courier New" w:cs="Courier New" w:eastAsia="Courier New" w:hAnsi="Courier New"/>
          <w:sz w:val="16"/>
          <w:szCs w:val="16"/>
          <w:color w:val="auto"/>
        </w:rPr>
        <w:t>The pro forma information does not purport to be indicative of actual results of operations if the Earthgro, Levington and Miracle Holdings acquisitions had occurred as of October 1, 1996, and is not intended to be indicative of future results or trends.</w:t>
      </w:r>
    </w:p>
    <w:p>
      <w:pPr>
        <w:sectPr>
          <w:pgSz w:w="11900" w:h="16838" w:orient="portrait"/>
          <w:cols w:equalWidth="0" w:num="1">
            <w:col w:w="10221"/>
          </w:cols>
          <w:pgMar w:left="238" w:top="298" w:right="1440" w:bottom="938" w:gutter="0" w:footer="0" w:header="0"/>
        </w:sectPr>
      </w:pPr>
    </w:p>
    <w:p>
      <w:pPr>
        <w:spacing w:after="0" w:line="200" w:lineRule="exact"/>
        <w:rPr>
          <w:sz w:val="20"/>
          <w:szCs w:val="20"/>
          <w:color w:val="auto"/>
        </w:rPr>
      </w:pPr>
    </w:p>
    <w:p>
      <w:pPr>
        <w:spacing w:after="0" w:line="353"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21"/>
          </w:cols>
          <w:pgMar w:left="238" w:top="298" w:right="1440" w:bottom="938" w:gutter="0" w:footer="0" w:header="0"/>
          <w:type w:val="continuous"/>
        </w:sectPr>
      </w:pPr>
    </w:p>
    <w:bookmarkStart w:id="7" w:name="page8"/>
    <w:bookmarkEnd w:id="7"/>
    <w:p>
      <w:pPr>
        <w:ind w:left="282"/>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69" w:lineRule="exact"/>
        <w:rPr>
          <w:sz w:val="20"/>
          <w:szCs w:val="20"/>
          <w:color w:val="auto"/>
        </w:rPr>
      </w:pPr>
    </w:p>
    <w:p>
      <w:pPr>
        <w:ind w:left="582" w:hanging="582"/>
        <w:spacing w:after="0"/>
        <w:tabs>
          <w:tab w:leader="none" w:pos="5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8" w:lineRule="exact"/>
        <w:rPr>
          <w:rFonts w:ascii="Courier New" w:cs="Courier New" w:eastAsia="Courier New" w:hAnsi="Courier New"/>
          <w:sz w:val="16"/>
          <w:szCs w:val="16"/>
          <w:color w:val="auto"/>
        </w:rPr>
      </w:pPr>
    </w:p>
    <w:p>
      <w:pPr>
        <w:ind w:left="582" w:right="72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$9.7, $10.8 and $12.3, respectively, consisted of:</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April 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March 29,</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1998</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80" w:type="dxa"/>
            <w:vAlign w:val="bottom"/>
          </w:tcPr>
          <w:p>
            <w:pPr>
              <w:spacing w:after="0"/>
              <w:rPr>
                <w:sz w:val="24"/>
                <w:szCs w:val="24"/>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Finished goods</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$130.2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$128.5</w:t>
            </w:r>
          </w:p>
        </w:tc>
      </w:tr>
      <w:tr>
        <w:trPr>
          <w:trHeight w:val="183"/>
        </w:trPr>
        <w:tc>
          <w:tcPr>
            <w:tcW w:w="380" w:type="dxa"/>
            <w:vAlign w:val="bottom"/>
          </w:tcPr>
          <w:p>
            <w:pPr>
              <w:spacing w:after="0"/>
              <w:rPr>
                <w:sz w:val="15"/>
                <w:szCs w:val="15"/>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Raw materials</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64.1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59.8</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$194.3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$188.3</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3"/>
              </w:rPr>
              <w:t>4.</w:t>
            </w:r>
          </w:p>
        </w:tc>
        <w:tc>
          <w:tcPr>
            <w:tcW w:w="4340" w:type="dxa"/>
            <w:vAlign w:val="bottom"/>
          </w:tcPr>
          <w:p>
            <w:pPr>
              <w:ind w:left="200"/>
              <w:spacing w:after="0"/>
              <w:rPr>
                <w:sz w:val="20"/>
                <w:szCs w:val="20"/>
                <w:color w:val="auto"/>
              </w:rPr>
            </w:pPr>
            <w:r>
              <w:rPr>
                <w:rFonts w:ascii="Courier New" w:cs="Courier New" w:eastAsia="Courier New" w:hAnsi="Courier New"/>
                <w:sz w:val="16"/>
                <w:szCs w:val="16"/>
                <w:color w:val="auto"/>
              </w:rPr>
              <w:t>Long-Term Debt</w:t>
            </w: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34"/>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April 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March 29,</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1998</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80" w:type="dxa"/>
            <w:vAlign w:val="bottom"/>
          </w:tcPr>
          <w:p>
            <w:pPr>
              <w:spacing w:after="0"/>
              <w:rPr>
                <w:sz w:val="24"/>
                <w:szCs w:val="24"/>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line</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$353.5</w:t>
            </w:r>
          </w:p>
        </w:tc>
      </w:tr>
      <w:tr>
        <w:trPr>
          <w:trHeight w:val="183"/>
        </w:trPr>
        <w:tc>
          <w:tcPr>
            <w:tcW w:w="380" w:type="dxa"/>
            <w:vAlign w:val="bottom"/>
          </w:tcPr>
          <w:p>
            <w:pPr>
              <w:spacing w:after="0"/>
              <w:rPr>
                <w:sz w:val="15"/>
                <w:szCs w:val="15"/>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9-7/8% Senior Subordinated Notes</w:t>
            </w: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4340" w:type="dxa"/>
            <w:vAlign w:val="bottom"/>
          </w:tcPr>
          <w:p>
            <w:pPr>
              <w:ind w:left="660"/>
              <w:spacing w:after="0"/>
              <w:rPr>
                <w:sz w:val="20"/>
                <w:szCs w:val="20"/>
                <w:color w:val="auto"/>
              </w:rPr>
            </w:pPr>
            <w:r>
              <w:rPr>
                <w:rFonts w:ascii="Courier New" w:cs="Courier New" w:eastAsia="Courier New" w:hAnsi="Courier New"/>
                <w:sz w:val="16"/>
                <w:szCs w:val="16"/>
                <w:color w:val="auto"/>
              </w:rPr>
              <w:t>$100.0 face amount (net of</w:t>
            </w: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380" w:type="dxa"/>
            <w:vAlign w:val="bottom"/>
          </w:tcPr>
          <w:p>
            <w:pPr>
              <w:spacing w:after="0"/>
              <w:rPr>
                <w:sz w:val="15"/>
                <w:szCs w:val="15"/>
                <w:color w:val="auto"/>
              </w:rPr>
            </w:pPr>
          </w:p>
        </w:tc>
        <w:tc>
          <w:tcPr>
            <w:tcW w:w="4340" w:type="dxa"/>
            <w:vAlign w:val="bottom"/>
          </w:tcPr>
          <w:p>
            <w:pPr>
              <w:ind w:left="660"/>
              <w:spacing w:after="0"/>
              <w:rPr>
                <w:sz w:val="20"/>
                <w:szCs w:val="20"/>
                <w:color w:val="auto"/>
              </w:rPr>
            </w:pPr>
            <w:r>
              <w:rPr>
                <w:rFonts w:ascii="Courier New" w:cs="Courier New" w:eastAsia="Courier New" w:hAnsi="Courier New"/>
                <w:sz w:val="16"/>
                <w:szCs w:val="16"/>
                <w:color w:val="auto"/>
              </w:rPr>
              <w:t>unamortized discount)</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99.5</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99.4</w:t>
            </w:r>
          </w:p>
        </w:tc>
      </w:tr>
      <w:tr>
        <w:trPr>
          <w:trHeight w:val="183"/>
        </w:trPr>
        <w:tc>
          <w:tcPr>
            <w:tcW w:w="380" w:type="dxa"/>
            <w:vAlign w:val="bottom"/>
          </w:tcPr>
          <w:p>
            <w:pPr>
              <w:spacing w:after="0"/>
              <w:rPr>
                <w:sz w:val="15"/>
                <w:szCs w:val="15"/>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Capital lease obligations and other</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564.1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453.0</w:t>
            </w:r>
          </w:p>
        </w:tc>
      </w:tr>
      <w:tr>
        <w:trPr>
          <w:trHeight w:val="183"/>
        </w:trPr>
        <w:tc>
          <w:tcPr>
            <w:tcW w:w="380" w:type="dxa"/>
            <w:vAlign w:val="bottom"/>
          </w:tcPr>
          <w:p>
            <w:pPr>
              <w:spacing w:after="0"/>
              <w:rPr>
                <w:sz w:val="15"/>
                <w:szCs w:val="15"/>
                <w:color w:val="auto"/>
              </w:rPr>
            </w:pPr>
          </w:p>
        </w:tc>
        <w:tc>
          <w:tcPr>
            <w:tcW w:w="4340" w:type="dxa"/>
            <w:vAlign w:val="bottom"/>
          </w:tcPr>
          <w:p>
            <w:pPr>
              <w:ind w:left="280"/>
              <w:spacing w:after="0"/>
              <w:rPr>
                <w:sz w:val="20"/>
                <w:szCs w:val="20"/>
                <w:color w:val="auto"/>
              </w:rPr>
            </w:pPr>
            <w:r>
              <w:rPr>
                <w:rFonts w:ascii="Courier New" w:cs="Courier New" w:eastAsia="Courier New" w:hAnsi="Courier New"/>
                <w:sz w:val="16"/>
                <w:szCs w:val="16"/>
                <w:color w:val="auto"/>
              </w:rPr>
              <w:t>Less current portions</w:t>
            </w: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128.6</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$562.2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$324.4</w:t>
            </w:r>
          </w:p>
        </w:tc>
      </w:tr>
      <w:tr>
        <w:trPr>
          <w:trHeight w:val="183"/>
        </w:trPr>
        <w:tc>
          <w:tcPr>
            <w:tcW w:w="3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582" w:right="1000"/>
        <w:spacing w:after="0" w:line="239" w:lineRule="auto"/>
        <w:rPr>
          <w:sz w:val="20"/>
          <w:szCs w:val="20"/>
          <w:color w:val="auto"/>
        </w:rPr>
      </w:pPr>
      <w:r>
        <w:rPr>
          <w:rFonts w:ascii="Courier New" w:cs="Courier New" w:eastAsia="Courier New" w:hAnsi="Courier New"/>
          <w:sz w:val="16"/>
          <w:szCs w:val="16"/>
          <w:color w:val="auto"/>
        </w:rPr>
        <w:t>Maturities of term debt and capital leases for the next five fiscal years are as follows:</w:t>
      </w:r>
    </w:p>
    <w:p>
      <w:pPr>
        <w:spacing w:after="0" w:line="186" w:lineRule="exact"/>
        <w:rPr>
          <w:sz w:val="20"/>
          <w:szCs w:val="20"/>
          <w:color w:val="auto"/>
        </w:rPr>
      </w:pPr>
    </w:p>
    <w:tbl>
      <w:tblPr>
        <w:tblLayout w:type="fixed"/>
        <w:tblInd w:w="582"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  2.6</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558.3</w:t>
            </w:r>
          </w:p>
        </w:tc>
      </w:tr>
    </w:tbl>
    <w:p>
      <w:pPr>
        <w:spacing w:after="0" w:line="188" w:lineRule="exact"/>
        <w:rPr>
          <w:sz w:val="20"/>
          <w:szCs w:val="20"/>
          <w:color w:val="auto"/>
        </w:rPr>
      </w:pPr>
    </w:p>
    <w:p>
      <w:pPr>
        <w:ind w:left="582" w:right="340"/>
        <w:spacing w:after="0" w:line="259" w:lineRule="auto"/>
        <w:rPr>
          <w:sz w:val="20"/>
          <w:szCs w:val="20"/>
          <w:color w:val="auto"/>
        </w:rPr>
      </w:pPr>
      <w:r>
        <w:rPr>
          <w:rFonts w:ascii="Courier New" w:cs="Courier New" w:eastAsia="Courier New" w:hAnsi="Courier New"/>
          <w:sz w:val="15"/>
          <w:szCs w:val="15"/>
          <w:color w:val="auto"/>
        </w:rPr>
        <w:t>On February 26, 1998, the Company replaced its existing credit facility with a senior unsecured revolving credit facility with The Chase Manhattan Bank ("Chase") and various participating banks. The new facility provides up to $550 to the Company, an increase of $125 over the previous facility, and establishes a $200 sub-tranche available in U.K. Pounds Sterling and a $50 sub-tranche available in other foreign currencies in which the Company transacts business. Interest pursuant to the competitive advance facility is determined by auction. Interest pursuant to the revolving credit facility is at a floating rate initially equal, at the Company's option, to the Alternate Base Rate, as defined, without additional margin, or the Eurodollar Rate, as defined, plus a margin of .30% per annum, which margin may be decreased to .20% or increased up to .50% based on the unsecured debt ratings of the Company. The new facility provides for the payment of a facility fee of .15% per annum, which fee may be reduced to .10% or increased up to .375% based on the unsecured debt ratings of the Company. The agreement contains certain financial and operating covenants, including maintenance of interest coverage and leverage ratios, as well as restrictions on capital expenditures. All other provisions of the credit facility remain substantially the same as the extinguished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right="299" w:hanging="476"/>
        <w:spacing w:after="0" w:line="259" w:lineRule="auto"/>
        <w:rPr>
          <w:sz w:val="20"/>
          <w:szCs w:val="20"/>
          <w:color w:val="auto"/>
        </w:rPr>
      </w:pPr>
      <w:r>
        <w:rPr>
          <w:rFonts w:ascii="Courier New" w:cs="Courier New" w:eastAsia="Courier New" w:hAnsi="Courier New"/>
          <w:sz w:val="15"/>
          <w:szCs w:val="15"/>
          <w:color w:val="auto"/>
        </w:rPr>
        <w:t>September 30, 1997</w:t>
      </w:r>
    </w:p>
    <w:p>
      <w:pPr>
        <w:ind w:left="480"/>
        <w:spacing w:after="0" w:line="236" w:lineRule="auto"/>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6"/>
          <w:szCs w:val="16"/>
          <w:color w:val="auto"/>
        </w:rPr>
        <w:t>$102.8</w:t>
      </w:r>
    </w:p>
    <w:p>
      <w:pPr>
        <w:spacing w:after="0" w:line="2" w:lineRule="exact"/>
        <w:rPr>
          <w:sz w:val="20"/>
          <w:szCs w:val="20"/>
          <w:color w:val="auto"/>
        </w:rPr>
      </w:pPr>
    </w:p>
    <w:p>
      <w:pPr>
        <w:jc w:val="right"/>
        <w:ind w:right="679"/>
        <w:spacing w:after="0"/>
        <w:rPr>
          <w:sz w:val="20"/>
          <w:szCs w:val="20"/>
          <w:color w:val="auto"/>
        </w:rPr>
      </w:pPr>
      <w:r>
        <w:rPr>
          <w:rFonts w:ascii="Courier New" w:cs="Courier New" w:eastAsia="Courier New" w:hAnsi="Courier New"/>
          <w:sz w:val="16"/>
          <w:szCs w:val="16"/>
          <w:color w:val="auto"/>
        </w:rPr>
        <w:t>43.3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$146.1</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0" w:right="299" w:hanging="476"/>
        <w:spacing w:after="0" w:line="259" w:lineRule="auto"/>
        <w:rPr>
          <w:sz w:val="20"/>
          <w:szCs w:val="20"/>
          <w:color w:val="auto"/>
        </w:rPr>
      </w:pPr>
      <w:r>
        <w:rPr>
          <w:rFonts w:ascii="Courier New" w:cs="Courier New" w:eastAsia="Courier New" w:hAnsi="Courier New"/>
          <w:sz w:val="15"/>
          <w:szCs w:val="15"/>
          <w:color w:val="auto"/>
        </w:rPr>
        <w:t>September 30, 1997</w:t>
      </w:r>
    </w:p>
    <w:p>
      <w:pPr>
        <w:ind w:left="480"/>
        <w:spacing w:after="0" w:line="236" w:lineRule="auto"/>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$121.8</w:t>
      </w:r>
    </w:p>
    <w:p>
      <w:pPr>
        <w:spacing w:after="0" w:line="369"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6"/>
          <w:szCs w:val="16"/>
          <w:color w:val="auto"/>
        </w:rPr>
        <w:t>99.4</w:t>
      </w:r>
    </w:p>
    <w:p>
      <w:pPr>
        <w:spacing w:after="0" w:line="2"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6"/>
          <w:szCs w:val="16"/>
          <w:color w:val="auto"/>
        </w:rPr>
        <w:t>0.1</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6"/>
          <w:szCs w:val="16"/>
          <w:color w:val="auto"/>
        </w:rPr>
        <w:t>221.3</w:t>
      </w:r>
    </w:p>
    <w:p>
      <w:pPr>
        <w:spacing w:after="0" w:line="2"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6"/>
          <w:szCs w:val="16"/>
          <w:color w:val="auto"/>
        </w:rPr>
        <w:t>1.5</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$219.8</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889" w:lineRule="exact"/>
        <w:rPr>
          <w:sz w:val="20"/>
          <w:szCs w:val="20"/>
          <w:color w:val="auto"/>
        </w:rPr>
      </w:pPr>
    </w:p>
    <w:p>
      <w:pPr>
        <w:sectPr>
          <w:pgSz w:w="11900" w:h="16838" w:orient="portrait"/>
          <w:cols w:equalWidth="0" w:num="2">
            <w:col w:w="7962" w:space="720"/>
            <w:col w:w="1539"/>
          </w:cols>
          <w:pgMar w:left="238" w:top="298" w:right="1440" w:bottom="5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21"/>
          </w:cols>
          <w:pgMar w:left="238" w:top="298" w:right="1440" w:bottom="572" w:gutter="0" w:footer="0" w:header="0"/>
          <w:type w:val="continuous"/>
        </w:sectPr>
      </w:pPr>
    </w:p>
    <w:bookmarkStart w:id="8" w:name="page9"/>
    <w:bookmarkEnd w:id="8"/>
    <w:p>
      <w:pPr>
        <w:ind w:left="282"/>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72" w:lineRule="exact"/>
        <w:rPr>
          <w:sz w:val="20"/>
          <w:szCs w:val="20"/>
          <w:color w:val="auto"/>
        </w:rPr>
      </w:pPr>
    </w:p>
    <w:p>
      <w:pPr>
        <w:ind w:left="582" w:right="3340"/>
        <w:spacing w:after="0" w:line="265" w:lineRule="auto"/>
        <w:rPr>
          <w:sz w:val="20"/>
          <w:szCs w:val="20"/>
          <w:color w:val="auto"/>
        </w:rPr>
      </w:pPr>
      <w:r>
        <w:rPr>
          <w:rFonts w:ascii="Courier New" w:cs="Courier New" w:eastAsia="Courier New" w:hAnsi="Courier New"/>
          <w:sz w:val="15"/>
          <w:szCs w:val="15"/>
          <w:color w:val="auto"/>
        </w:rPr>
        <w:t>In conjunction with the early extinguishment of the existing credit facility, the Company recorded an extraordinary loss of $1.2 ($0.7 after tax) related to the write-off of unamortized deferred financing costs.</w:t>
      </w:r>
    </w:p>
    <w:p>
      <w:pPr>
        <w:spacing w:after="0" w:line="168" w:lineRule="exact"/>
        <w:rPr>
          <w:sz w:val="20"/>
          <w:szCs w:val="20"/>
          <w:color w:val="auto"/>
        </w:rPr>
      </w:pPr>
    </w:p>
    <w:p>
      <w:pPr>
        <w:ind w:left="582" w:hanging="582"/>
        <w:spacing w:after="0"/>
        <w:tabs>
          <w:tab w:leader="none" w:pos="5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88" w:lineRule="exact"/>
        <w:rPr>
          <w:rFonts w:ascii="Courier New" w:cs="Courier New" w:eastAsia="Courier New" w:hAnsi="Courier New"/>
          <w:sz w:val="16"/>
          <w:szCs w:val="16"/>
          <w:color w:val="auto"/>
        </w:rPr>
      </w:pPr>
    </w:p>
    <w:p>
      <w:pPr>
        <w:ind w:left="582" w:right="324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the first quarter of fiscal 1998, the Company adopted Statement of Financial Accounting Standards No. 128, "Earnings Per Share" ("FAS 128"), which establishes standards for computing and presenting earnings per share ("EPS"). FAS 128 requires the presentation of basic and diluted EPS. Basic EPS is computed by dividing income applicable to common shareholders by the weighted average number of common shares outstanding during the period.</w:t>
      </w:r>
    </w:p>
    <w:p>
      <w:pPr>
        <w:spacing w:after="0" w:line="187" w:lineRule="exact"/>
        <w:rPr>
          <w:rFonts w:ascii="Courier New" w:cs="Courier New" w:eastAsia="Courier New" w:hAnsi="Courier New"/>
          <w:sz w:val="16"/>
          <w:szCs w:val="16"/>
          <w:color w:val="auto"/>
        </w:rPr>
      </w:pPr>
    </w:p>
    <w:p>
      <w:pPr>
        <w:ind w:left="582" w:right="324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w:t>
      </w:r>
    </w:p>
    <w:p>
      <w:pPr>
        <w:spacing w:after="0" w:line="200" w:lineRule="exact"/>
        <w:rPr>
          <w:sz w:val="20"/>
          <w:szCs w:val="20"/>
          <w:color w:val="auto"/>
        </w:rPr>
      </w:pPr>
    </w:p>
    <w:p>
      <w:pPr>
        <w:spacing w:after="0" w:line="353" w:lineRule="exact"/>
        <w:rPr>
          <w:sz w:val="20"/>
          <w:szCs w:val="20"/>
          <w:color w:val="auto"/>
        </w:rPr>
      </w:pPr>
    </w:p>
    <w:tbl>
      <w:tblPr>
        <w:tblLayout w:type="fixed"/>
        <w:tblInd w:w="662"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316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Three Months Ended</w:t>
            </w:r>
          </w:p>
        </w:tc>
        <w:tc>
          <w:tcPr>
            <w:tcW w:w="30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3960" w:type="dxa"/>
            <w:vAlign w:val="bottom"/>
          </w:tcPr>
          <w:p>
            <w:pPr>
              <w:spacing w:after="0"/>
              <w:rPr>
                <w:sz w:val="15"/>
                <w:szCs w:val="15"/>
                <w:color w:val="auto"/>
              </w:rPr>
            </w:pPr>
          </w:p>
        </w:tc>
        <w:tc>
          <w:tcPr>
            <w:tcW w:w="316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300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April 4,</w:t>
            </w:r>
          </w:p>
        </w:tc>
        <w:tc>
          <w:tcPr>
            <w:tcW w:w="16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March 29,</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April 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March 29,</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16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$33.5</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$27.9</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$21.9</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extinguishment of debt, net of</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income tax benefit</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0.7</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32.8</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27.9</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27.3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21.9</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2.5</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4.9</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Income applicable to common</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shareholders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$30.3</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$25.4</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Weighted-average common</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shares outstanding during</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the period</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18.7</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18.6</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18.7</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18.6</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Assuming conversion of Class A</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Convertible Preferred Stock</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10.3</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10.3</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Assuming exercise of warrants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0.5</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Assuming exercise of options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0.4</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0.6</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0.3</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Weighted-average number of</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common shares outstanding</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and dilutive common share</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equivalents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30.4</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29.3</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30.1</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29.2</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loss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$1.66</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$1.37</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$0.92</w:t>
            </w: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Extraordinary loss, net of</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760"/>
              <w:spacing w:after="0"/>
              <w:rPr>
                <w:sz w:val="20"/>
                <w:szCs w:val="20"/>
                <w:color w:val="auto"/>
              </w:rPr>
            </w:pPr>
            <w:r>
              <w:rPr>
                <w:rFonts w:ascii="Courier New" w:cs="Courier New" w:eastAsia="Courier New" w:hAnsi="Courier New"/>
                <w:sz w:val="16"/>
                <w:szCs w:val="16"/>
                <w:color w:val="auto"/>
              </w:rPr>
              <w:t>income tax benefit</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0.04</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0.04</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Basic earnings per share</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$1.62</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$1.37</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$1.20</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$0.92</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loss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$1.10</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$0.95</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$0.93</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Extraordinary loss, net of income</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3960" w:type="dxa"/>
            <w:vAlign w:val="bottom"/>
          </w:tcPr>
          <w:p>
            <w:pPr>
              <w:ind w:left="760"/>
              <w:spacing w:after="0"/>
              <w:rPr>
                <w:sz w:val="20"/>
                <w:szCs w:val="20"/>
                <w:color w:val="auto"/>
              </w:rPr>
            </w:pPr>
            <w:r>
              <w:rPr>
                <w:rFonts w:ascii="Courier New" w:cs="Courier New" w:eastAsia="Courier New" w:hAnsi="Courier New"/>
                <w:sz w:val="16"/>
                <w:szCs w:val="16"/>
                <w:color w:val="auto"/>
              </w:rPr>
              <w:t>tax benefit</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0.02</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0.02</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960" w:type="dxa"/>
            <w:vAlign w:val="bottom"/>
          </w:tcPr>
          <w:p>
            <w:pPr>
              <w:ind w:left="380"/>
              <w:spacing w:after="0"/>
              <w:rPr>
                <w:sz w:val="20"/>
                <w:szCs w:val="20"/>
                <w:color w:val="auto"/>
              </w:rPr>
            </w:pPr>
            <w:r>
              <w:rPr>
                <w:rFonts w:ascii="Courier New" w:cs="Courier New" w:eastAsia="Courier New" w:hAnsi="Courier New"/>
                <w:sz w:val="16"/>
                <w:szCs w:val="16"/>
                <w:color w:val="auto"/>
              </w:rPr>
              <w:t>Diluted earnings per share</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$1.08</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$0.95</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$0.91</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3960" w:type="dxa"/>
            <w:vAlign w:val="bottom"/>
          </w:tcPr>
          <w:p>
            <w:pPr>
              <w:spacing w:after="0"/>
              <w:rPr>
                <w:sz w:val="15"/>
                <w:szCs w:val="15"/>
                <w:color w:val="auto"/>
              </w:rPr>
            </w:pP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782"/>
          </w:cols>
          <w:pgMar w:left="238" w:top="298" w:right="879" w:bottom="755" w:gutter="0" w:footer="0" w:header="0"/>
        </w:sectPr>
      </w:pPr>
    </w:p>
    <w:p>
      <w:pPr>
        <w:spacing w:after="0" w:line="200" w:lineRule="exact"/>
        <w:rPr>
          <w:sz w:val="20"/>
          <w:szCs w:val="20"/>
          <w:color w:val="auto"/>
        </w:rPr>
      </w:pPr>
    </w:p>
    <w:p>
      <w:pPr>
        <w:spacing w:after="0" w:line="33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782"/>
          </w:cols>
          <w:pgMar w:left="238" w:top="298" w:right="879" w:bottom="755" w:gutter="0" w:footer="0" w:header="0"/>
          <w:type w:val="continuous"/>
        </w:sectPr>
      </w:pPr>
    </w:p>
    <w:bookmarkStart w:id="9" w:name="page10"/>
    <w:bookmarkEnd w:id="9"/>
    <w:p>
      <w:pPr>
        <w:ind w:left="282"/>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5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69" w:lineRule="exact"/>
        <w:rPr>
          <w:sz w:val="20"/>
          <w:szCs w:val="20"/>
          <w:color w:val="auto"/>
        </w:rPr>
      </w:pPr>
    </w:p>
    <w:p>
      <w:pPr>
        <w:ind w:left="582" w:hanging="582"/>
        <w:spacing w:after="0"/>
        <w:tabs>
          <w:tab w:leader="none" w:pos="5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8" w:lineRule="exact"/>
        <w:rPr>
          <w:rFonts w:ascii="Courier New" w:cs="Courier New" w:eastAsia="Courier New" w:hAnsi="Courier New"/>
          <w:sz w:val="16"/>
          <w:szCs w:val="16"/>
          <w:color w:val="auto"/>
        </w:rPr>
      </w:pPr>
    </w:p>
    <w:p>
      <w:pPr>
        <w:ind w:left="5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85"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assessing and, as required, addressing certain environmental issues regarding the wastewater treatment plants currently operating at the Marysville facility. After considering whether to upgrade the existing treatment plants or to undertake to connect the facility's wastewater system with the City of Marysville's municipal treatment system, the Company is proceeding with plans to connect to the City's system, subject to successful completion of pending annexation proceedings. Additionally, the Company has been assessing, under Ohio's new Voluntary Action Program ("VAP"), the possible remediation of several discontinued on-site waste disposal areas dating back to the early operations of its Marysville facility.</w:t>
      </w:r>
    </w:p>
    <w:p>
      <w:pPr>
        <w:spacing w:after="0" w:line="190"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subsequently met on several occasions, and continue to meet, to discuss these issues.</w:t>
      </w:r>
    </w:p>
    <w:p>
      <w:pPr>
        <w:spacing w:after="0" w:line="187"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190" w:lineRule="exact"/>
        <w:rPr>
          <w:rFonts w:ascii="Courier New" w:cs="Courier New" w:eastAsia="Courier New" w:hAnsi="Courier New"/>
          <w:sz w:val="16"/>
          <w:szCs w:val="16"/>
          <w:color w:val="auto"/>
        </w:rPr>
      </w:pPr>
    </w:p>
    <w:p>
      <w:pPr>
        <w:ind w:left="582" w:right="259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for the appeal.</w:t>
      </w:r>
    </w:p>
    <w:p>
      <w:pPr>
        <w:spacing w:after="0" w:line="358" w:lineRule="exact"/>
        <w:rPr>
          <w:rFonts w:ascii="Courier New" w:cs="Courier New" w:eastAsia="Courier New" w:hAnsi="Courier New"/>
          <w:sz w:val="16"/>
          <w:szCs w:val="16"/>
          <w:color w:val="auto"/>
        </w:rPr>
      </w:pPr>
    </w:p>
    <w:p>
      <w:pPr>
        <w:ind w:left="5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ectPr>
          <w:pgSz w:w="11900" w:h="16838" w:orient="portrait"/>
          <w:cols w:equalWidth="0" w:num="1">
            <w:col w:w="10221"/>
          </w:cols>
          <w:pgMar w:left="238" w:top="298" w:right="1440" w:bottom="1440" w:gutter="0" w:footer="0" w:header="0"/>
        </w:sectPr>
      </w:pPr>
    </w:p>
    <w:p>
      <w:pPr>
        <w:spacing w:after="0" w:line="371" w:lineRule="exact"/>
        <w:rPr>
          <w:sz w:val="20"/>
          <w:szCs w:val="20"/>
          <w:color w:val="auto"/>
        </w:rPr>
      </w:pPr>
    </w:p>
    <w:p>
      <w:pPr>
        <w:ind w:left="3442"/>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21"/>
          </w:cols>
          <w:pgMar w:left="238" w:top="298"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52"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88" w:lineRule="exact"/>
        <w:rPr>
          <w:sz w:val="20"/>
          <w:szCs w:val="20"/>
          <w:color w:val="auto"/>
        </w:rPr>
      </w:pPr>
    </w:p>
    <w:p>
      <w:pPr>
        <w:ind w:left="300" w:right="2599"/>
        <w:spacing w:after="0" w:line="242" w:lineRule="auto"/>
        <w:rPr>
          <w:sz w:val="20"/>
          <w:szCs w:val="20"/>
          <w:color w:val="auto"/>
        </w:rPr>
      </w:pPr>
      <w:r>
        <w:rPr>
          <w:rFonts w:ascii="Courier New" w:cs="Courier New" w:eastAsia="Courier New" w:hAnsi="Courier New"/>
          <w:sz w:val="16"/>
          <w:szCs w:val="16"/>
          <w:color w:val="auto"/>
        </w:rPr>
        <w:t>The Company does not believe the ultimate outcome of any proceedings which may result from the OEPA's referral of these matters to the OAG will have a material adverse effect on the business or the financial condition of the Company but is unable, at this stage, to predict the outcome of the issues. Many of the issues raised by the State are already being investigated and addressed by the Company during the normal course of conducting business.</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LAFAYETTE</w:t>
      </w:r>
    </w:p>
    <w:p>
      <w:pPr>
        <w:spacing w:after="0" w:line="188" w:lineRule="exact"/>
        <w:rPr>
          <w:sz w:val="20"/>
          <w:szCs w:val="20"/>
          <w:color w:val="auto"/>
        </w:rPr>
      </w:pPr>
    </w:p>
    <w:p>
      <w:pPr>
        <w:ind w:left="300" w:right="2599"/>
        <w:spacing w:after="0" w:line="242"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19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HERSHBERGER</w:t>
      </w:r>
    </w:p>
    <w:p>
      <w:pPr>
        <w:spacing w:after="0" w:line="188" w:lineRule="exact"/>
        <w:rPr>
          <w:sz w:val="20"/>
          <w:szCs w:val="20"/>
          <w:color w:val="auto"/>
        </w:rPr>
      </w:pPr>
    </w:p>
    <w:p>
      <w:pPr>
        <w:ind w:left="300" w:right="2599"/>
        <w:spacing w:after="0" w:line="242" w:lineRule="auto"/>
        <w:rPr>
          <w:sz w:val="20"/>
          <w:szCs w:val="20"/>
          <w:color w:val="auto"/>
        </w:rPr>
      </w:pPr>
      <w:r>
        <w:rPr>
          <w:rFonts w:ascii="Courier New" w:cs="Courier New" w:eastAsia="Courier New" w:hAnsi="Courier New"/>
          <w:sz w:val="16"/>
          <w:szCs w:val="16"/>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is anticipated to be completed by August 1998, the Company expects its obligation thereafter to consist primarily of its share of annual operating and maintenance expenses. Management does not believe that its obligations under the AOC will have a material adverse effect on the Company's results of operations or financial condition.</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FIFRA</w:t>
      </w:r>
    </w:p>
    <w:p>
      <w:pPr>
        <w:spacing w:after="0" w:line="188" w:lineRule="exact"/>
        <w:rPr>
          <w:sz w:val="20"/>
          <w:szCs w:val="20"/>
          <w:color w:val="auto"/>
        </w:rPr>
      </w:pPr>
    </w:p>
    <w:p>
      <w:pPr>
        <w:ind w:left="300" w:right="2779"/>
        <w:spacing w:after="0" w:line="242" w:lineRule="auto"/>
        <w:rPr>
          <w:sz w:val="20"/>
          <w:szCs w:val="20"/>
          <w:color w:val="auto"/>
        </w:rPr>
      </w:pPr>
      <w:r>
        <w:rPr>
          <w:rFonts w:ascii="Courier New" w:cs="Courier New" w:eastAsia="Courier New" w:hAnsi="Courier New"/>
          <w:sz w:val="16"/>
          <w:szCs w:val="16"/>
          <w:color w:val="auto"/>
        </w:rPr>
        <w:t>In January 1996, the United States EPA served a Complaint and Notice of Opportunity for Hearing upon Sierra's wholly-owned subsidiary, Scotts-Sierra Crop Protection Company ("Crop Protection"). The Complaint alleged labeling violations under the Federal Insecticide, Fungicide and Rodenticide Act ("FIFRA") during fiscal 1992 and 1993. In February 1998, this matter was settled with the payment by the Company of a $0.2 civil penalty.</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left="300" w:right="2599"/>
        <w:spacing w:after="0" w:line="241" w:lineRule="auto"/>
        <w:rPr>
          <w:sz w:val="20"/>
          <w:szCs w:val="20"/>
          <w:color w:val="auto"/>
        </w:rPr>
      </w:pPr>
      <w:r>
        <w:rPr>
          <w:rFonts w:ascii="Courier New" w:cs="Courier New" w:eastAsia="Courier New" w:hAnsi="Courier New"/>
          <w:sz w:val="16"/>
          <w:szCs w:val="16"/>
          <w:color w:val="auto"/>
        </w:rPr>
        <w:t>The Company is addressing exposures related to the impact on its computer systems of the Year 2000 issues. Key financial information and operational systems have been assessed and plans developed in order to mitigate the Year 2000 issues. These plans include</w:t>
      </w:r>
    </w:p>
    <w:p>
      <w:pPr>
        <w:sectPr>
          <w:pgSz w:w="11900" w:h="16838" w:orient="portrait"/>
          <w:cols w:equalWidth="0" w:num="1">
            <w:col w:w="9939"/>
          </w:cols>
          <w:pgMar w:left="520" w:top="298" w:right="1440" w:bottom="1440" w:gutter="0" w:footer="0" w:header="0"/>
        </w:sectPr>
      </w:pP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939"/>
          </w:cols>
          <w:pgMar w:left="520" w:top="298" w:right="1440" w:bottom="1440" w:gutter="0" w:footer="0" w:header="0"/>
          <w:type w:val="continuous"/>
        </w:sectPr>
      </w:pPr>
    </w:p>
    <w:bookmarkStart w:id="11" w:name="page12"/>
    <w:bookmarkEnd w:id="11"/>
    <w:p>
      <w:pPr>
        <w:ind w:left="282"/>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5" w:lineRule="exact"/>
        <w:rPr>
          <w:sz w:val="20"/>
          <w:szCs w:val="20"/>
          <w:color w:val="auto"/>
        </w:rPr>
      </w:pPr>
    </w:p>
    <w:p>
      <w:pPr>
        <w:ind w:left="582" w:right="2599"/>
        <w:spacing w:after="0" w:line="242" w:lineRule="auto"/>
        <w:rPr>
          <w:sz w:val="20"/>
          <w:szCs w:val="20"/>
          <w:color w:val="auto"/>
        </w:rPr>
      </w:pPr>
      <w:r>
        <w:rPr>
          <w:rFonts w:ascii="Courier New" w:cs="Courier New" w:eastAsia="Courier New" w:hAnsi="Courier New"/>
          <w:sz w:val="16"/>
          <w:szCs w:val="16"/>
          <w:color w:val="auto"/>
        </w:rPr>
        <w:t>conversion of in-house developed software and upgrades to purchased software. The Company is currently in various stages of completing these conversions and upgrades: some upgrades have already been made, while detailed conversion plans are being developed. The Company has also engaged outside consultants to review the Company's plans for addressing the Year 2000 issues and to assist in implementation. Management believes its plans will adequately address the Year 2000 issues and does not currently anticipate a material impact on the Company as a result of addressing these issues. However, if such conversions and upgrades are not adequately made, or are not timely completed, the Year 2000 issues could have a material impact on the operations of the Company.</w:t>
      </w:r>
    </w:p>
    <w:p>
      <w:pPr>
        <w:spacing w:after="0" w:line="188"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EURO</w:t>
      </w:r>
    </w:p>
    <w:p>
      <w:pPr>
        <w:spacing w:after="0" w:line="188" w:lineRule="exact"/>
        <w:rPr>
          <w:sz w:val="20"/>
          <w:szCs w:val="20"/>
          <w:color w:val="auto"/>
        </w:rPr>
      </w:pPr>
    </w:p>
    <w:p>
      <w:pPr>
        <w:ind w:left="582" w:right="2599"/>
        <w:spacing w:after="0" w:line="242" w:lineRule="auto"/>
        <w:rPr>
          <w:sz w:val="20"/>
          <w:szCs w:val="20"/>
          <w:color w:val="auto"/>
        </w:rPr>
      </w:pPr>
      <w:r>
        <w:rPr>
          <w:rFonts w:ascii="Courier New" w:cs="Courier New" w:eastAsia="Courier New" w:hAnsi="Courier New"/>
          <w:sz w:val="16"/>
          <w:szCs w:val="16"/>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euro formation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190" w:lineRule="exact"/>
        <w:rPr>
          <w:sz w:val="20"/>
          <w:szCs w:val="20"/>
          <w:color w:val="auto"/>
        </w:rPr>
      </w:pPr>
    </w:p>
    <w:p>
      <w:pPr>
        <w:ind w:left="582" w:hanging="582"/>
        <w:spacing w:after="0"/>
        <w:tabs>
          <w:tab w:leader="none" w:pos="5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88"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In February 1998, the FASB issued SFAS No. 132, "Employers' Disclosure about Pensions and Other Postretirement Benefits." Each standard is effective for financial statements for fiscal years beginning after December 15, 1997.</w:t>
      </w:r>
    </w:p>
    <w:p>
      <w:pPr>
        <w:spacing w:after="0" w:line="187" w:lineRule="exact"/>
        <w:rPr>
          <w:rFonts w:ascii="Courier New" w:cs="Courier New" w:eastAsia="Courier New" w:hAnsi="Courier New"/>
          <w:sz w:val="16"/>
          <w:szCs w:val="16"/>
          <w:color w:val="auto"/>
        </w:rPr>
      </w:pPr>
    </w:p>
    <w:p>
      <w:pPr>
        <w:ind w:left="582"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believes the only significant differences between comprehensive income and currently reported income will be the impact of foreign currency translation and stock option activity recorded in shareholders' equity.</w:t>
      </w:r>
    </w:p>
    <w:p>
      <w:pPr>
        <w:spacing w:after="0" w:line="192" w:lineRule="exact"/>
        <w:rPr>
          <w:rFonts w:ascii="Courier New" w:cs="Courier New" w:eastAsia="Courier New" w:hAnsi="Courier New"/>
          <w:sz w:val="16"/>
          <w:szCs w:val="16"/>
          <w:color w:val="auto"/>
        </w:rPr>
      </w:pPr>
    </w:p>
    <w:p>
      <w:pPr>
        <w:ind w:left="5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the first quarter of fiscal 1999; however, the Company believes that the business segments identified and set forth in Note 14 to the Scotts' fiscal 1997 Annual Report on Form 10-K are in substantial compliance with SFAS No. 131.</w:t>
      </w:r>
    </w:p>
    <w:p>
      <w:pPr>
        <w:spacing w:after="0" w:line="192" w:lineRule="exact"/>
        <w:rPr>
          <w:rFonts w:ascii="Courier New" w:cs="Courier New" w:eastAsia="Courier New" w:hAnsi="Courier New"/>
          <w:sz w:val="16"/>
          <w:szCs w:val="16"/>
          <w:color w:val="auto"/>
        </w:rPr>
      </w:pPr>
    </w:p>
    <w:p>
      <w:pPr>
        <w:ind w:left="582" w:right="267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w:t>
      </w:r>
    </w:p>
    <w:p>
      <w:pPr>
        <w:sectPr>
          <w:pgSz w:w="11900" w:h="16838" w:orient="portrait"/>
          <w:cols w:equalWidth="0" w:num="1">
            <w:col w:w="10221"/>
          </w:cols>
          <w:pgMar w:left="238" w:top="298" w:right="1440" w:bottom="764" w:gutter="0" w:footer="0" w:header="0"/>
        </w:sectPr>
      </w:pPr>
    </w:p>
    <w:p>
      <w:pPr>
        <w:spacing w:after="0" w:line="200" w:lineRule="exact"/>
        <w:rPr>
          <w:sz w:val="20"/>
          <w:szCs w:val="20"/>
          <w:color w:val="auto"/>
        </w:rPr>
      </w:pPr>
    </w:p>
    <w:p>
      <w:pPr>
        <w:spacing w:after="0" w:line="341" w:lineRule="exact"/>
        <w:rPr>
          <w:sz w:val="20"/>
          <w:szCs w:val="20"/>
          <w:color w:val="auto"/>
        </w:rPr>
      </w:pPr>
    </w:p>
    <w:p>
      <w:pPr>
        <w:ind w:left="3442"/>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21"/>
          </w:cols>
          <w:pgMar w:left="238" w:top="298" w:right="1440" w:bottom="764"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55" w:lineRule="exact"/>
        <w:rPr>
          <w:sz w:val="20"/>
          <w:szCs w:val="20"/>
          <w:color w:val="auto"/>
        </w:rPr>
      </w:pPr>
    </w:p>
    <w:p>
      <w:pPr>
        <w:jc w:val="center"/>
        <w:ind w:right="2580"/>
        <w:spacing w:after="0"/>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373" w:lineRule="exact"/>
        <w:rPr>
          <w:sz w:val="20"/>
          <w:szCs w:val="20"/>
          <w:color w:val="auto"/>
        </w:rPr>
      </w:pPr>
    </w:p>
    <w:p>
      <w:pPr>
        <w:ind w:right="2680"/>
        <w:spacing w:after="0" w:line="242"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Consolidated Financial Statements of the Company included elsewhere in this report. Scotts' Annual Report on Form 10-K for the fiscal year ended September 30, 1997 includes additional information about the Company, its operations, and its financial position, and should be read in conjunction with this Quarterly Report on Form 10-Q.</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680"/>
        <w:spacing w:after="0" w:line="239" w:lineRule="auto"/>
        <w:rPr>
          <w:sz w:val="20"/>
          <w:szCs w:val="20"/>
          <w:color w:val="auto"/>
        </w:rPr>
      </w:pPr>
      <w:r>
        <w:rPr>
          <w:rFonts w:ascii="Courier New" w:cs="Courier New" w:eastAsia="Courier New" w:hAnsi="Courier New"/>
          <w:sz w:val="16"/>
          <w:szCs w:val="16"/>
          <w:color w:val="auto"/>
        </w:rPr>
        <w:t>The following table sets forth sales for the second quarter and first six months of fiscal 1998 and 1997:</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288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Three Months Ended</w:t>
            </w:r>
          </w:p>
        </w:tc>
        <w:tc>
          <w:tcPr>
            <w:tcW w:w="1380" w:type="dxa"/>
            <w:vAlign w:val="bottom"/>
          </w:tcPr>
          <w:p>
            <w:pPr>
              <w:spacing w:after="0"/>
              <w:rPr>
                <w:sz w:val="15"/>
                <w:szCs w:val="15"/>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w:t>
            </w:r>
          </w:p>
        </w:tc>
        <w:tc>
          <w:tcPr>
            <w:tcW w:w="1100" w:type="dxa"/>
            <w:vAlign w:val="bottom"/>
          </w:tcPr>
          <w:p>
            <w:pPr>
              <w:spacing w:after="0"/>
              <w:rPr>
                <w:sz w:val="15"/>
                <w:szCs w:val="15"/>
                <w:color w:val="auto"/>
              </w:rPr>
            </w:pPr>
          </w:p>
        </w:tc>
      </w:tr>
      <w:tr>
        <w:trPr>
          <w:trHeight w:val="183"/>
        </w:trPr>
        <w:tc>
          <w:tcPr>
            <w:tcW w:w="2420" w:type="dxa"/>
            <w:vAlign w:val="bottom"/>
          </w:tcPr>
          <w:p>
            <w:pPr>
              <w:spacing w:after="0"/>
              <w:rPr>
                <w:sz w:val="15"/>
                <w:szCs w:val="15"/>
                <w:color w:val="auto"/>
              </w:rPr>
            </w:pPr>
          </w:p>
        </w:tc>
        <w:tc>
          <w:tcPr>
            <w:tcW w:w="28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Period to</w:t>
            </w:r>
          </w:p>
        </w:tc>
        <w:tc>
          <w:tcPr>
            <w:tcW w:w="2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Period to</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April 4,</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March 29,</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Period</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April 4,</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March 29,</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Period</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1997</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Change</w:t>
            </w:r>
          </w:p>
        </w:tc>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Consumer Lawns</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$192.1</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$156.3</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22.9%</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$222.5</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$190.2</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w:t>
            </w: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Consumer Gardens</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53.9</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51.7</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66.3</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62.1</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w:t>
            </w: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Consumer Organics</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70.6</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56.2</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25.6</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86.8</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70.6</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23.0</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spacing w:after="0"/>
              <w:rPr>
                <w:sz w:val="15"/>
                <w:szCs w:val="15"/>
                <w:color w:val="auto"/>
              </w:rPr>
            </w:pPr>
          </w:p>
        </w:tc>
      </w:tr>
      <w:tr>
        <w:trPr>
          <w:trHeight w:val="183"/>
        </w:trPr>
        <w:tc>
          <w:tcPr>
            <w:tcW w:w="2420" w:type="dxa"/>
            <w:vAlign w:val="bottom"/>
          </w:tcPr>
          <w:p>
            <w:pPr>
              <w:ind w:left="280"/>
              <w:spacing w:after="0"/>
              <w:rPr>
                <w:sz w:val="20"/>
                <w:szCs w:val="20"/>
                <w:color w:val="auto"/>
              </w:rPr>
            </w:pPr>
            <w:r>
              <w:rPr>
                <w:rFonts w:ascii="Courier New" w:cs="Courier New" w:eastAsia="Courier New" w:hAnsi="Courier New"/>
                <w:sz w:val="16"/>
                <w:szCs w:val="16"/>
                <w:color w:val="auto"/>
              </w:rPr>
              <w:t>Domestic Consumer</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316.6</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264.2</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19.8</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375.6</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322.9</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16.3</w:t>
            </w: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44.7</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41.6</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77.1</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68.2</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69.3</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40.4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71.5</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103.0</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55.3</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86.3</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spacing w:after="0"/>
              <w:rPr>
                <w:sz w:val="15"/>
                <w:szCs w:val="15"/>
                <w:color w:val="auto"/>
              </w:rPr>
            </w:pPr>
          </w:p>
        </w:tc>
      </w:tr>
      <w:tr>
        <w:trPr>
          <w:trHeight w:val="183"/>
        </w:trPr>
        <w:tc>
          <w:tcPr>
            <w:tcW w:w="2420" w:type="dxa"/>
            <w:vAlign w:val="bottom"/>
          </w:tcPr>
          <w:p>
            <w:pPr>
              <w:ind w:left="280"/>
              <w:spacing w:after="0"/>
              <w:rPr>
                <w:sz w:val="20"/>
                <w:szCs w:val="20"/>
                <w:color w:val="auto"/>
              </w:rPr>
            </w:pPr>
            <w:r>
              <w:rPr>
                <w:rFonts w:ascii="Courier New" w:cs="Courier New" w:eastAsia="Courier New" w:hAnsi="Courier New"/>
                <w:sz w:val="16"/>
                <w:szCs w:val="16"/>
                <w:color w:val="auto"/>
              </w:rPr>
              <w:t>Consolidated</w:t>
            </w: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$430.6</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$346.2</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24.4%</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$555.7</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$446.4</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24.5%</w:t>
            </w:r>
          </w:p>
        </w:tc>
      </w:tr>
      <w:tr>
        <w:trPr>
          <w:trHeight w:val="183"/>
        </w:trPr>
        <w:tc>
          <w:tcPr>
            <w:tcW w:w="2420" w:type="dxa"/>
            <w:vAlign w:val="bottom"/>
          </w:tcPr>
          <w:p>
            <w:pPr>
              <w:spacing w:after="0"/>
              <w:rPr>
                <w:sz w:val="15"/>
                <w:szCs w:val="15"/>
                <w:color w:val="auto"/>
              </w:rPr>
            </w:pPr>
          </w:p>
        </w:tc>
        <w:tc>
          <w:tcPr>
            <w:tcW w:w="17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7"/>
              </w:rPr>
              <w:t>======</w:t>
            </w:r>
          </w:p>
        </w:tc>
        <w:tc>
          <w:tcPr>
            <w:tcW w:w="1100" w:type="dxa"/>
            <w:vAlign w:val="bottom"/>
          </w:tcPr>
          <w:p>
            <w:pPr>
              <w:spacing w:after="0"/>
              <w:rPr>
                <w:sz w:val="15"/>
                <w:szCs w:val="15"/>
                <w:color w:val="auto"/>
              </w:rPr>
            </w:pPr>
          </w:p>
        </w:tc>
      </w:tr>
    </w:tbl>
    <w:p>
      <w:pPr>
        <w:spacing w:after="0" w:line="372" w:lineRule="exact"/>
        <w:rPr>
          <w:sz w:val="20"/>
          <w:szCs w:val="20"/>
          <w:color w:val="auto"/>
        </w:rPr>
      </w:pPr>
    </w:p>
    <w:p>
      <w:pPr>
        <w:ind w:right="3140"/>
        <w:spacing w:after="0"/>
        <w:rPr>
          <w:sz w:val="20"/>
          <w:szCs w:val="20"/>
          <w:color w:val="auto"/>
        </w:rPr>
      </w:pPr>
      <w:r>
        <w:rPr>
          <w:rFonts w:ascii="Courier New" w:cs="Courier New" w:eastAsia="Courier New" w:hAnsi="Courier New"/>
          <w:sz w:val="16"/>
          <w:szCs w:val="16"/>
          <w:color w:val="auto"/>
        </w:rPr>
        <w:t>The following table sets forth the components of income and expense for the second quarter and first six months of fiscal 1998 and 1997 on a percent-of-sales basis: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24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Three Months Ended</w:t>
            </w:r>
          </w:p>
        </w:tc>
        <w:tc>
          <w:tcPr>
            <w:tcW w:w="1380" w:type="dxa"/>
            <w:vAlign w:val="bottom"/>
          </w:tcPr>
          <w:p>
            <w:pPr>
              <w:spacing w:after="0"/>
              <w:rPr>
                <w:sz w:val="15"/>
                <w:szCs w:val="15"/>
                <w:color w:val="auto"/>
              </w:rPr>
            </w:pPr>
          </w:p>
        </w:tc>
        <w:tc>
          <w:tcPr>
            <w:tcW w:w="25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w:t>
            </w:r>
          </w:p>
        </w:tc>
        <w:tc>
          <w:tcPr>
            <w:tcW w:w="1100" w:type="dxa"/>
            <w:vAlign w:val="bottom"/>
          </w:tcPr>
          <w:p>
            <w:pPr>
              <w:spacing w:after="0"/>
              <w:rPr>
                <w:sz w:val="15"/>
                <w:szCs w:val="15"/>
                <w:color w:val="auto"/>
              </w:rPr>
            </w:pPr>
          </w:p>
        </w:tc>
      </w:tr>
      <w:tr>
        <w:trPr>
          <w:trHeight w:val="183"/>
        </w:trPr>
        <w:tc>
          <w:tcPr>
            <w:tcW w:w="2860" w:type="dxa"/>
            <w:vAlign w:val="bottom"/>
          </w:tcPr>
          <w:p>
            <w:pPr>
              <w:spacing w:after="0"/>
              <w:rPr>
                <w:sz w:val="15"/>
                <w:szCs w:val="15"/>
                <w:color w:val="auto"/>
              </w:rPr>
            </w:pPr>
          </w:p>
        </w:tc>
        <w:tc>
          <w:tcPr>
            <w:tcW w:w="2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Period to</w:t>
            </w:r>
          </w:p>
        </w:tc>
        <w:tc>
          <w:tcPr>
            <w:tcW w:w="2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Period to</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April 4,</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March 29,</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Period</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April 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March 29,</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Period</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1997</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Change</w:t>
            </w:r>
          </w:p>
        </w:tc>
        <w:tc>
          <w:tcPr>
            <w:tcW w:w="1240" w:type="dxa"/>
            <w:vAlign w:val="bottom"/>
          </w:tcPr>
          <w:p>
            <w:pPr>
              <w:ind w:left="480"/>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24.5%</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60.3</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60.0</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24.9</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61.7</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61.7</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24.6</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39.7</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40.0</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23.6</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38.3</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38.3</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24.3</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860" w:type="dxa"/>
            <w:vAlign w:val="bottom"/>
          </w:tcPr>
          <w:p>
            <w:pPr>
              <w:ind w:left="280"/>
              <w:spacing w:after="0"/>
              <w:rPr>
                <w:sz w:val="20"/>
                <w:szCs w:val="20"/>
                <w:color w:val="auto"/>
              </w:rPr>
            </w:pPr>
            <w:r>
              <w:rPr>
                <w:rFonts w:ascii="Courier New" w:cs="Courier New" w:eastAsia="Courier New" w:hAnsi="Courier New"/>
                <w:sz w:val="16"/>
                <w:szCs w:val="16"/>
                <w:color w:val="auto"/>
              </w:rPr>
              <w:t>Advertising and</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11.8</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11.8</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11.0</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11.4</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20.1</w:t>
            </w:r>
          </w:p>
        </w:tc>
      </w:tr>
      <w:tr>
        <w:trPr>
          <w:trHeight w:val="183"/>
        </w:trPr>
        <w:tc>
          <w:tcPr>
            <w:tcW w:w="2860" w:type="dxa"/>
            <w:vAlign w:val="bottom"/>
          </w:tcPr>
          <w:p>
            <w:pPr>
              <w:ind w:left="280"/>
              <w:spacing w:after="0"/>
              <w:rPr>
                <w:sz w:val="20"/>
                <w:szCs w:val="20"/>
                <w:color w:val="auto"/>
              </w:rPr>
            </w:pPr>
            <w:r>
              <w:rPr>
                <w:rFonts w:ascii="Courier New" w:cs="Courier New" w:eastAsia="Courier New" w:hAnsi="Courier New"/>
                <w:sz w:val="16"/>
                <w:szCs w:val="16"/>
                <w:color w:val="auto"/>
              </w:rPr>
              <w:t>promotion</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86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860" w:type="dxa"/>
            <w:vAlign w:val="bottom"/>
          </w:tcPr>
          <w:p>
            <w:pPr>
              <w:ind w:left="480"/>
              <w:spacing w:after="0"/>
              <w:rPr>
                <w:sz w:val="20"/>
                <w:szCs w:val="20"/>
                <w:color w:val="auto"/>
              </w:rPr>
            </w:pPr>
            <w:r>
              <w:rPr>
                <w:rFonts w:ascii="Courier New" w:cs="Courier New" w:eastAsia="Courier New" w:hAnsi="Courier New"/>
                <w:sz w:val="16"/>
                <w:szCs w:val="16"/>
                <w:color w:val="auto"/>
              </w:rPr>
              <w:t>administrative</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10.7</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9.9</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35.5</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14.0</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13.3</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31.5</w:t>
            </w:r>
          </w:p>
        </w:tc>
      </w:tr>
      <w:tr>
        <w:trPr>
          <w:trHeight w:val="183"/>
        </w:trPr>
        <w:tc>
          <w:tcPr>
            <w:tcW w:w="286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860" w:type="dxa"/>
            <w:vAlign w:val="bottom"/>
          </w:tcPr>
          <w:p>
            <w:pPr>
              <w:ind w:left="480"/>
              <w:spacing w:after="0"/>
              <w:rPr>
                <w:sz w:val="20"/>
                <w:szCs w:val="20"/>
                <w:color w:val="auto"/>
              </w:rPr>
            </w:pPr>
            <w:r>
              <w:rPr>
                <w:rFonts w:ascii="Courier New" w:cs="Courier New" w:eastAsia="Courier New" w:hAnsi="Courier New"/>
                <w:sz w:val="16"/>
                <w:szCs w:val="16"/>
                <w:color w:val="auto"/>
              </w:rPr>
              <w:t>and other intangibles</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0.8</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0.8</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25.9</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w:t>
            </w:r>
          </w:p>
        </w:tc>
      </w:tr>
      <w:tr>
        <w:trPr>
          <w:trHeight w:val="183"/>
        </w:trPr>
        <w:tc>
          <w:tcPr>
            <w:tcW w:w="2860" w:type="dxa"/>
            <w:vAlign w:val="bottom"/>
          </w:tcPr>
          <w:p>
            <w:pPr>
              <w:ind w:left="280"/>
              <w:spacing w:after="0"/>
              <w:rPr>
                <w:sz w:val="20"/>
                <w:szCs w:val="20"/>
                <w:color w:val="auto"/>
              </w:rPr>
            </w:pPr>
            <w:r>
              <w:rPr>
                <w:rFonts w:ascii="Courier New" w:cs="Courier New" w:eastAsia="Courier New" w:hAnsi="Courier New"/>
                <w:sz w:val="16"/>
                <w:szCs w:val="16"/>
                <w:color w:val="auto"/>
              </w:rPr>
              <w:t>Other expense, net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0.4</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0.9</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(43.8)</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0.8</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(57.1)</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16.0</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16.6</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11.9</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11.7</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25.8</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2.5</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13.5</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14.2</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18.7</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8.8</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26.2</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6.1</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17.0</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24.1</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Income before extraordinary</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item</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7.8</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8.1</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20.1</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27.9</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debt, net</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860" w:type="dxa"/>
            <w:vAlign w:val="bottom"/>
          </w:tcPr>
          <w:p>
            <w:pPr>
              <w:ind w:left="180"/>
              <w:spacing w:after="0"/>
              <w:rPr>
                <w:sz w:val="20"/>
                <w:szCs w:val="20"/>
                <w:color w:val="auto"/>
              </w:rPr>
            </w:pPr>
            <w:r>
              <w:rPr>
                <w:rFonts w:ascii="Courier New" w:cs="Courier New" w:eastAsia="Courier New" w:hAnsi="Courier New"/>
                <w:sz w:val="16"/>
                <w:szCs w:val="16"/>
                <w:color w:val="auto"/>
              </w:rPr>
              <w:t>of income tax benefit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0.2</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nm</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nm</w:t>
            </w:r>
          </w:p>
        </w:tc>
      </w:tr>
      <w:tr>
        <w:trPr>
          <w:trHeight w:val="183"/>
        </w:trPr>
        <w:tc>
          <w:tcPr>
            <w:tcW w:w="286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bl>
    <w:p>
      <w:pPr>
        <w:sectPr>
          <w:pgSz w:w="11900" w:h="16838" w:orient="portrait"/>
          <w:cols w:equalWidth="0" w:num="1">
            <w:col w:w="10300"/>
          </w:cols>
          <w:pgMar w:left="240" w:top="298" w:right="135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7.6</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17.6</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4.9</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24.7</w:t>
            </w:r>
          </w:p>
        </w:tc>
      </w:tr>
      <w:tr>
        <w:trPr>
          <w:trHeight w:val="367"/>
        </w:trPr>
        <w:tc>
          <w:tcPr>
            <w:tcW w:w="272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0.6</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0.7</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0.9</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w:t>
            </w:r>
          </w:p>
        </w:tc>
      </w:tr>
      <w:tr>
        <w:trPr>
          <w:trHeight w:val="183"/>
        </w:trPr>
        <w:tc>
          <w:tcPr>
            <w:tcW w:w="272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r>
        <w:trPr>
          <w:trHeight w:val="367"/>
        </w:trPr>
        <w:tc>
          <w:tcPr>
            <w:tcW w:w="2720" w:type="dxa"/>
            <w:vAlign w:val="bottom"/>
          </w:tcPr>
          <w:p>
            <w:pPr>
              <w:spacing w:after="0"/>
              <w:rPr>
                <w:sz w:val="20"/>
                <w:szCs w:val="20"/>
                <w:color w:val="auto"/>
              </w:rPr>
            </w:pPr>
            <w:r>
              <w:rPr>
                <w:rFonts w:ascii="Courier New" w:cs="Courier New" w:eastAsia="Courier New" w:hAnsi="Courier New"/>
                <w:sz w:val="16"/>
                <w:szCs w:val="16"/>
                <w:color w:val="auto"/>
              </w:rPr>
              <w:t>Income applicable to</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2720" w:type="dxa"/>
            <w:vAlign w:val="bottom"/>
          </w:tcPr>
          <w:p>
            <w:pPr>
              <w:ind w:left="180"/>
              <w:spacing w:after="0"/>
              <w:rPr>
                <w:sz w:val="20"/>
                <w:szCs w:val="20"/>
                <w:color w:val="auto"/>
              </w:rPr>
            </w:pPr>
            <w:r>
              <w:rPr>
                <w:rFonts w:ascii="Courier New" w:cs="Courier New" w:eastAsia="Courier New" w:hAnsi="Courier New"/>
                <w:sz w:val="16"/>
                <w:szCs w:val="16"/>
                <w:color w:val="auto"/>
              </w:rPr>
              <w:t>common shareholders</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7.3%</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19.3%</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r>
      <w:tr>
        <w:trPr>
          <w:trHeight w:val="183"/>
        </w:trPr>
        <w:tc>
          <w:tcPr>
            <w:tcW w:w="272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9"/>
          </w:cols>
          <w:pgMar w:left="240" w:top="322"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April 4, 1998 versus the Three Months Ended March 29,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sales for the three months ended April 4, 1998 totaled $430.6, an increase of $84.4, or 24.4%, over prior year. On a pro forma basis, assuming Earthgro and Levington were acquired at the beginning of fiscal 1997, sales for the second quarter of fiscal 1998 would have been $433.8, an increase of $58.0 or 15.4% over pro forma sales for the second quarter of fiscal 1997. Excluding the effects of currency translation, pro forma sales would have been 15.7% higher than the second quarter of the prior year.</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Consumer segment sales totaled $316.6, an increase of 19.8% over prior year. The increase reflects improvements of 22.9%, 4.3% and 25.6% in the Consumer Lawns, Consumer Gardens and Consumer Organics operating groups, respectively. The increase in the Consumer Lawns group is primarily due to a 25.5% improvement in sales of granular lawn products, driven by successful advertising programs. Consumer Lawns sales also benefited from the Company's decision to change certain early season promotional programs which had the impact of shifting approximately $12.0 of sales from the first quarter of fiscal 1998 into the second quarter. Sales of the Consumer Gardens group are up 4.3% due in part to the introduction of Scotts Master Collection(TM), a line of timed-release garden fertilizers, and strong demand for Osmocote(R) products. Sales of Miracle-Gro(R) products were up 1.7% over the prior year. Sales for the Consumer Organics group reflect the acquisition of Earthgro effective February 1998. On a pro forma basis, sales for the group were up 10.4% compared to the prior year, stemming from a 20.6% increase in sales of value-added products carrying the Scotts(R) and Miracle-Gro(R) brand names, partially offset by lower commodity sales as a result of the Company's deemphasis on sales of such products.</w:t>
      </w:r>
    </w:p>
    <w:p>
      <w:pPr>
        <w:spacing w:after="0" w:line="184"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Professional segment sales increased 7.5% to $44.7 in the second quarter of fiscal 1998. The increase is primarily due to the introduction of the new Contec(TM) fertilizer in the second quarter, as well as strong sales volume for Osmocote(R) products. Professional sales also benefited from favorable weather conditions in northern areas of the U.S.</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International segment sales increased to $69.3, or 71.5%, in the second quarter of fiscal 1998. On a pro forma basis, assuming Levington had been acquired at the beginning of fiscal 1997, sales for the second quarter of fiscal 1998 would have been 16.8% higher than pro forma sales for the second quarter of fiscal 1997, primarily due to strong sales of professional products throughout Europe and strong consumer sales in the United Kingdom. Excluding the effects of currency translation, International segment pro forma sales would have been 18.2% higher than in the second quarter of the prior year.</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Gross profit decreased to 39.7% of sales in the second quarter of fiscal 1998, a decrease of 0.3% compared to 40.0% in the prior year. Factors contributing to the decrease were one-time start-up costs associated with the upgrade of certain domestic manufacturing facilities, demolition costs associated with the removal of certain old manufacturing facilities, and unplanned outsourcing of certain production. These factors were partially offset by improved prices of key raw materials. Selling prices had no material impact on gross profit for the quarter.</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Advertising and promotion expenses increased $9.7, or 23.7%, to $50.7 for the second quarter of 1998 primarily due to a $6.4 increase in advertising and promotion by the Consumer Lawns Group and the impact of international acquisitions of $2.0. Overall, the Company is committed to maintain, or somewhat increase, advertising levels for fiscal 1998 in comparison to fiscal 1997, and promotional expense has increased due to higher sales volumes.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Selling, general and administrative expense ("SG&amp;A") increased $12.1, or 35.5%, to $46.2. As a percentage of sales, SG&amp;A expense increased to 10.7% from 9.9% in the prior year. On a pro forma basis, SG&amp;A expense increased approximately $7.7, or 0.4% as a percentage of sales, primarily due to incremental incentives associated with the increased fiscal 1998 sales and profits, as well as costs associated with addressing the Year 2000 issue and other system infrastructure improvements. Other increases were related to merchandising support and research and development levels.</w:t>
      </w:r>
    </w:p>
    <w:p>
      <w:pPr>
        <w:spacing w:after="0" w:line="189"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Amortization of goodwill and other intangibles increased $0.7, or 25.9%, as a result of the inclusion of Earthgro and Levington in the second quarter of fiscal 1998.</w:t>
      </w:r>
    </w:p>
    <w:p>
      <w:pPr>
        <w:sectPr>
          <w:pgSz w:w="11900" w:h="16838" w:orient="portrait"/>
          <w:cols w:equalWidth="0" w:num="1">
            <w:col w:w="10219"/>
          </w:cols>
          <w:pgMar w:left="240" w:top="298" w:right="1440" w:bottom="1440" w:gutter="0" w:footer="0" w:header="0"/>
        </w:sectPr>
      </w:pPr>
    </w:p>
    <w:p>
      <w:pPr>
        <w:spacing w:after="0" w:line="37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298"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Other expense, net changed favorably by $1.4 primarily due to a lower level of asset write-offs in the second quarter of fiscal 1998 ($1.9) compared to the prior year ($4.2).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as a result of strong sales in the Consumer Lawns Group, as well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inclusion of Levington and Earthgro, income from operations improved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$68.9, or 16.0% of sales, in the second quarter of fiscal 1998, compared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$57.4, or 16.6% of sales, in the prior year. On a pro forma basis, income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would have been $68.5, or 15.8% of sales, in the second quarter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compared to $58.1, or 15.5% of sales, in the prior year.</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Interest expense increased $2.3, or 27.7% in the second quarter of 1998. Excluding borrowings associated with the Earthgro and Levington acquisitions, interest expense increased approximately $0.2, primarily due to higher interest rates, partially offset by a $49.8 reduction in average borrowings for the quarter.</w:t>
      </w:r>
    </w:p>
    <w:p>
      <w:pPr>
        <w:spacing w:after="0" w:line="190"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Company's effective tax rate was 42.5% and 43.2% in the second quarter of 1998 and 1997, respectively. The Company's effective tax rate is higher than statutory rates due to non-tax deductible amortization of goodwill and certain intangibles in the U.S.</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During the second quarter of fiscal 1998, the Company reported net income of $32.8, or $1.08 diluted earnings per common share (after a $0.7, or $0.02 per share, extraordinary loss on the early extinguishment of debt), compared with net income of $27.9, or $0.95 diluted earnings per common share for the second quarter of fiscal 1997. Had Levington and Earthgro been fully consolidated in both the second quarter of fiscal 1998 and 1997, net income on a pro forma basis would have been $32.2 in fiscal 1998 compared to $26.8 for fiscal 1997, with diluted earnings per common share of $1.06 and $0.91,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April 4, 1998 versus the Three Months Ended March 29,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Net sales for the six months ended April 4, 1998 totaled $555.7, an increase of $109.3, or 24.5%, over the prior year. On a pro forma basis, assuming Earthgro, Levington, and the remaining two-thirds interest in Miracle Holdings were acquired at the beginning of fiscal 1997, sales for the six months of fiscal</w:t>
      </w:r>
    </w:p>
    <w:p>
      <w:pPr>
        <w:ind w:right="2599"/>
        <w:spacing w:after="0" w:line="241" w:lineRule="auto"/>
        <w:rPr>
          <w:sz w:val="20"/>
          <w:szCs w:val="20"/>
          <w:color w:val="auto"/>
        </w:rPr>
      </w:pPr>
      <w:r>
        <w:rPr>
          <w:rFonts w:ascii="Courier New" w:cs="Courier New" w:eastAsia="Courier New" w:hAnsi="Courier New"/>
          <w:sz w:val="16"/>
          <w:szCs w:val="16"/>
          <w:color w:val="auto"/>
        </w:rPr>
        <w:t>1998 would have been $577.7, an increase of $66.0 or 12.9% over pro forma sales for the six months of fiscal 1997. Excluding the effects of currency translation, pro forma sales would have been 13.3% higher than the six months of fiscal 1997.</w:t>
      </w:r>
    </w:p>
    <w:p>
      <w:pPr>
        <w:spacing w:after="0" w:line="189"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Consumer segment sales totaled $375.6, an increase of 16.3% over prior year. The increase reflects improvements of 17.0%, 6.8% and 23.0% in the Consumer Lawns, Consumer Gardens and Consumer Organics operating groups, respectively. The increase in the Consumer Lawns group is primarily due to an 18.7% improvement in sales of granular lawn products, driven by successful advertising programs. Sales of the Consumer Gardens group are up 6.8% due in part to the introduction of Scotts Master Collection(TM), a new line of time-release garden fertilizers, and strong demand for Osmocote(R) products. Sales of Miracle-Gro(R) products were up 4.2% over the prior year. Sales for the Consumer Organics group reflect the acquisition of Earthgro effective February 1998. On a pro forma basis, sales for the group were up 12.0% compared to the prior year, stemming from a 25.5% increase in sales of value-added products carrying the Scotts(R) and Miracle-Gro(R) brand names, partially offset by lower commodity sales as a result of the Company's deemphasis on sales of such products.</w:t>
      </w:r>
    </w:p>
    <w:p>
      <w:pPr>
        <w:spacing w:after="0" w:line="184"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Professional segment sales increased 13.1% to $77.1 in the six months of fiscal 1998. The increase is primarily due to the introduction of the new Contec(TM) fertilizer in the second quarter as well as strong sales volume for Osmocote (R) products. Professional sales also benefited from favorable weather conditions in northern areas of the U.S. and a change in selling programs, to better match customer requirements, that had the impact of shifting certain sales into the first quarter of fiscal 1998 from the fourth quarter of fiscal 1997.</w:t>
      </w:r>
    </w:p>
    <w:p>
      <w:pPr>
        <w:spacing w:after="0" w:line="17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International segment sales increased to $103.0, or 86.3%, in the six months of fiscal 1998. On a pro forma basis, assuming Levington and the remaining two-thirds interest in Miracle Holdings had been acquired at the beginning of fiscal 1997, sales for the six months of fiscal 1998 would have been 9.9% higher than pro forma sales for the six months of fiscal 1997. Excluding the effects of foreign currency translation, pro forma sales would have been 12.0% higher than in the six months of fiscal 1997.</w:t>
      </w:r>
    </w:p>
    <w:p>
      <w:pPr>
        <w:sectPr>
          <w:pgSz w:w="11900" w:h="16838" w:orient="portrait"/>
          <w:cols w:equalWidth="0" w:num="1">
            <w:col w:w="10219"/>
          </w:cols>
          <w:pgMar w:left="240" w:top="298" w:right="1440" w:bottom="947" w:gutter="0" w:footer="0" w:header="0"/>
        </w:sectPr>
      </w:pPr>
    </w:p>
    <w:p>
      <w:pPr>
        <w:spacing w:after="0" w:line="200" w:lineRule="exact"/>
        <w:rPr>
          <w:sz w:val="20"/>
          <w:szCs w:val="20"/>
          <w:color w:val="auto"/>
        </w:rPr>
      </w:pP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298" w:right="1440" w:bottom="947"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Gross profit remained at 38.3% of sales for both six-month periods. The results for the six months of fiscal 1998 include one-time start-up costs associated with the upgrade of certain domestic manufacturing facilities, demolition costs associated with the removal of certain old manufacturing facilities, and unplanned outsourcing of certain production. These factors were partially offset by improved prices of key raw materials. Selling prices had no material impact on gross profit for the six months of either period.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Advertising and promotion expense increased $10.2, or 20.1%, to $61.0 for the six months of fiscal 1998, primarily due to a $3.8 increase in advertising and promotion by the Consumer Lawns group and the impact of international acquisitions of $3.4. Overall, the Company is committed to maintain, or somewhat increase, advertising levels for fiscal 1998 in comparison to fiscal 1997, and promotional expense has increased due to higher sales volumes.</w:t>
      </w:r>
    </w:p>
    <w:p>
      <w:pPr>
        <w:spacing w:after="0" w:line="187"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SG&amp;A increased $18.7, or 31.5%, to $78.1 for the six months of 1998. As a percentage of sales, SG&amp;A increased to 14.0% from 13.3% in the prior year. On a pro forma basis, SG&amp;A increased approximately $11.5, or 0.4% as a percentage of sales, primarily due to incremental incentives associated with the increased fiscal 1998 sales and profits, as well as costs associated with addressing the Year 2000 issue and other infrastructure improvements. Other increases were related to merchandising support, and research and development levels.</w:t>
      </w:r>
    </w:p>
    <w:p>
      <w:pPr>
        <w:spacing w:after="0" w:line="174"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Amortization of goodwill and other intangibles increased $1.2, or 24.5%, as a result of the inclusion of Levington, Earthgro and a full six months of Miracle Holdings in fiscal 1998.</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Other expense, net changed favorably by $2.0 primarily due to royalty agreements in place for a full six months in fiscal 1998 and a lower level of asset write-offs in the six months of fiscal 1998 ($1.8) compared to fiscal 1997 ($4.3).</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Primarily as a result of the Earthgro, Levington and Miracle Holdings acquisitions, as well as strong sales in the Consumer Lawns group, income from operations improved to $65.9, or 11.9% of sales, for the six months of fiscal 1998, compared to $52.4, or 11.7% of sales, in the prior year. On a pro forma basis, income from operations would have been $66.3, or 11.5% of sales, for the six months of fiscal 1998 compared to $57.2, or 11.2% of sales, in the prior year.</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Interest expense increased $3.4, or 24.5%, for the six months of fiscal 1998. Excluding borrowings associated with the Earthgro, Levington and Miracle Holdings acquisitions, interest expense decreased $0.9, primarily due to a $48.0 reduction in average borrowings for the six months of fiscal 1998.</w:t>
      </w:r>
    </w:p>
    <w:p>
      <w:pPr>
        <w:spacing w:after="0" w:line="189"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Company's effective tax rate was 42.5% and 43.2% for the six months of fiscal 1998 and 1997, respectively. The Company's effective tax rate is higher than statutory rates due to non-tax deductible amortization of goodwill and certain intangibles in the U.S.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For the six months of fiscal 1998, the Company reported net income of $27.3, or $0.91 diluted earnings per common share (after a $0.7, or $0.02 per share, extraordinary loss on the early extinguishment of debt), compared with net income of $21.9, or $0.75 diluted earnings per share for the six months of fiscal 1997. Had Earthgro, Levington and Miracle Holdings been fully consolidated in both six month periods, net income on a pro forma basis would have been $26.0 for fiscal 1998 compared to $20.9 for fiscal 1997, with diluted earnings per share of $0.86 and $0.72,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Cash used in operating activities totaled $183.7 for the six-month period ended April 4, 1998 compared to $138.6 in the prior year. The seasonal nature of the Company's operations results in a significant increase in certain components of working capital (primarily accounts receivable and inventory) during the first and second quarters. The third fiscal quarter is a significant period for collecting accounts receivable. The higher level of cash used in operating activities for the first six months of fiscal 1998 is primarily attributable to the seasonal working capital needs of both existing businesses and businesses acquired subsequent to December 1996.</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298"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Cash used in investing activities for the six months of fiscal 1998 totaled $147.4 compared to $51.2 in the prior year. This increase is primarily attributable to net cash used for the acquisition of Levington and Earthgro of approximately $88.8 and $42.4, respectively. Capital investments were $13.2 in the first six months of fiscal 1998, a $9.1 increase in comparison to the prior year. This increase is primarily attributable to the construction of a warehouse facility and the installation of new packaging lines, both in Marysville, as well as the acquisition of additional warehousing space in the Netherlands.</w:t>
      </w:r>
    </w:p>
    <w:p>
      <w:pPr>
        <w:spacing w:after="0" w:line="17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Financing activities provided $329.5 for the first six months of fiscal 1998 compared to $195.5 in the prior year. Financing activities are principally supported by the Company's Credit Agreement. Approximately $106.1 and $42.4 of the increase from the prior year relates to financing the Levington and Earthgro acquisitions, respectively. On a net basis, approximately $88.8 of the Levington-related borrowings were used to purchase the shares of Levington and refinance Levington's existing debt instruments. The remainder of the borrowings were used to satisfy certain escrow arrangements which were eliminated in the second quarter, as well as certain working capital requirements. Other increases in borrowings for the six-month period of fiscal 1998 were primarily a result of working capital requirements.</w:t>
      </w:r>
    </w:p>
    <w:p>
      <w:pPr>
        <w:spacing w:after="0" w:line="19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Total debt was $564.1 as of April 4, 1998, an increase of $342.8 compared with debt at September 30, 1997 and an increase of $111.1 compared with debt levels at March 29, 1997. Borrowings associated with the Levington and Earthgro acquisitions were approximately $106.1 and $42.4, respectively. The remaining increase compared to September 30, 1997 is primarily due to seasonal working capital requirements as well as capital investments ($37.7 for the twelve month period ended April 4, 1998). The remaining decrease compared to March 29, 1997 is attributable to the Company's strong operating cash flows for the 12 month period ended April 4, 1998.</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Shareholders' equity as of April 4, 1998 was $410.5, representing a $21.3 increase compared to September 30, 1997 and a $32.1 increase compared to March 29, 1997. The increase compared to September 30, 1997 is attributable to net income of $27.3, Convertible Preferred Stock dividends of $4.9, an unfavorable change in cumulative foreign currency translation of $2.0 and treasury stock activity of $0.9. The increase compared to March 29, 1997 is attributable to net income for the twelve month period ended April 4, 1998 of $44.9, Convertible Preferred Stock dividends of $9.8, unfavorable changes in cumulative foreign currency translation of $5.2 and treasury stock activity of $2.2.</w:t>
      </w:r>
    </w:p>
    <w:p>
      <w:pPr>
        <w:spacing w:after="0" w:line="177"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Company has foreign exchange risk related to international operations and cash flows. The Company has historically entered into forward foreign exchange contracts and purchased currency options to hedge its exposure to fluctuations in foreign currency exchange rates. The Company has reassessed its foreign exchange policy and taken actions internally to reduce such exposure, thus reducing its use of foreign exchange contracts.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As of April 4, 1998, the Company's European operations had foreign exchange risk in various European currencies tied to the Dutch Guilder. These currencies include the Belgian Franc, Spanish Peseta, French Franc, British Pound, Italian Lire, Australian Dollar and the U.S. Dollar. The Company's U.S. operations had foreign exchange rate risk in the Canadian Dollar, Dutch Guilder and the British Pound which are tied to the U.S. Dollar.</w:t>
      </w:r>
    </w:p>
    <w:p>
      <w:pPr>
        <w:spacing w:after="0" w:line="187"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fiscal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w:t>
      </w:r>
    </w:p>
    <w:p>
      <w:pPr>
        <w:sectPr>
          <w:pgSz w:w="11900" w:h="16838" w:orient="portrait"/>
          <w:cols w:equalWidth="0" w:num="1">
            <w:col w:w="10219"/>
          </w:cols>
          <w:pgMar w:left="240" w:top="298" w:right="1440" w:bottom="1440" w:gutter="0" w:footer="0" w:header="0"/>
        </w:sectPr>
      </w:pPr>
    </w:p>
    <w:p>
      <w:pPr>
        <w:spacing w:after="0" w:line="37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298"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6 to the Company's Consolidated Financial Statements and in the Annual Report on Form 10-K to the Securities and Exchange Commission for the year ended September 30, 1997 under the "Business - Environmental and Regulatory Considerations" section.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1997, the FASB issued SFAS No. 130, "Reporting Comprehensive Income" and SFAS No. 131, "Disclosures About Segments of an Enterprise and Related Information". In February 1998, the FASB issued SFAS No. 132, "Employers' Disclosure about Pensions and Other Postretirement Benefits." Each standard is effective for financial statements for fiscal years beginning after December 15, 1997.</w:t>
      </w:r>
    </w:p>
    <w:p>
      <w:pPr>
        <w:spacing w:after="0" w:line="187"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believes the only significant differences between comprehensive income and currently reported income will be the impact of foreign currency translation and stock option activity recorded in shareholders' equity.</w:t>
      </w:r>
    </w:p>
    <w:p>
      <w:pPr>
        <w:spacing w:after="0" w:line="175"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the first quarter of fiscal 1999; however, the Company believes that the business segments identified and set forth in Note 14 to the Scotts' fiscal 1997 Annual Report on Form 10-K are in substantial compliance with SFAS No. 131.</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88"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5"/>
          <w:szCs w:val="15"/>
          <w:color w:val="auto"/>
        </w:rPr>
        <w:t>The Company is addressing exposures related to the impact on its computer systems of the Year 2000 issues. Key financial information and operational systems have been assessed and plans developed in order to mitigate the Year</w:t>
      </w:r>
    </w:p>
    <w:p>
      <w:pPr>
        <w:ind w:right="2599"/>
        <w:spacing w:after="0" w:line="242" w:lineRule="auto"/>
        <w:rPr>
          <w:sz w:val="20"/>
          <w:szCs w:val="20"/>
          <w:color w:val="auto"/>
        </w:rPr>
      </w:pPr>
      <w:r>
        <w:rPr>
          <w:rFonts w:ascii="Courier New" w:cs="Courier New" w:eastAsia="Courier New" w:hAnsi="Courier New"/>
          <w:sz w:val="16"/>
          <w:szCs w:val="16"/>
          <w:color w:val="auto"/>
        </w:rPr>
        <w:t>2000 issues. These plans include conversion of in-house developed software and upgrades to purchased software. The Company is currently in various stages of completing these conversions and upgrades: some upgrades have already been made, while detailed conversion plans are being developed. The Company has also engaged outside consultants to review the Company's plans for addressing the Year 2000 issues and to assist in implementation. Management believes its plans will adequately address the Year 2000 issues and does not currently anticipate a material impact on the Company as a result of addressing these issues. However, if such conversions and upgrades are not adequately made, or are not timely completed, the Year 2000 issues could have a material impact on the operations of the Company.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298" w:right="1440" w:bottom="1440" w:gutter="0" w:footer="0" w:header="0"/>
          <w:type w:val="continuous"/>
        </w:sectPr>
      </w:pPr>
    </w:p>
    <w:bookmarkStart w:id="19" w:name="page20"/>
    <w:bookmarkEnd w:id="19"/>
    <w:p>
      <w:pPr>
        <w:ind w:left="282"/>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EURO</w:t>
      </w:r>
    </w:p>
    <w:p>
      <w:pPr>
        <w:spacing w:after="0" w:line="188" w:lineRule="exact"/>
        <w:rPr>
          <w:sz w:val="20"/>
          <w:szCs w:val="20"/>
          <w:color w:val="auto"/>
        </w:rPr>
      </w:pPr>
    </w:p>
    <w:p>
      <w:pPr>
        <w:ind w:left="2" w:right="2779"/>
        <w:spacing w:after="0" w:line="242" w:lineRule="auto"/>
        <w:rPr>
          <w:sz w:val="20"/>
          <w:szCs w:val="20"/>
          <w:color w:val="auto"/>
        </w:rPr>
      </w:pPr>
      <w:r>
        <w:rPr>
          <w:rFonts w:ascii="Courier New" w:cs="Courier New" w:eastAsia="Courier New" w:hAnsi="Courier New"/>
          <w:sz w:val="16"/>
          <w:szCs w:val="16"/>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euro formation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18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MANAGEMENT'S OUTLOOK FOR THE REMAINDER OF 1998</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strong financial results of fiscal 1997 represent the base year in the Company's long-term strategy for profitable growth. Management believes the results for the first six months of fiscal 1998 are further evidence the Company is on course towards fulfilling the following tenets which it established as part of its strategic plan:</w:t>
      </w:r>
    </w:p>
    <w:p>
      <w:pPr>
        <w:spacing w:after="0" w:line="190" w:lineRule="exact"/>
        <w:rPr>
          <w:sz w:val="20"/>
          <w:szCs w:val="20"/>
          <w:color w:val="auto"/>
        </w:rPr>
      </w:pPr>
    </w:p>
    <w:p>
      <w:pPr>
        <w:ind w:left="482" w:right="2779" w:hanging="482"/>
        <w:spacing w:after="0" w:line="242"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and Hyponex(R) industry-leading brands. This involves a commitment to our investors and retail partners that we will support these brands through advertising and promotion unequaled in the lawn and garden consumables market. In the Professional categories of our business, it signifies a commitment to our customers to provide value and an integral element in their long-term success;</w:t>
      </w:r>
    </w:p>
    <w:p>
      <w:pPr>
        <w:spacing w:after="0" w:line="187" w:lineRule="exact"/>
        <w:rPr>
          <w:rFonts w:ascii="Courier New" w:cs="Courier New" w:eastAsia="Courier New" w:hAnsi="Courier New"/>
          <w:sz w:val="16"/>
          <w:szCs w:val="16"/>
          <w:color w:val="auto"/>
        </w:rPr>
      </w:pPr>
    </w:p>
    <w:p>
      <w:pPr>
        <w:ind w:left="482" w:right="2599" w:hanging="482"/>
        <w:spacing w:after="0" w:line="239"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commitment to continuously study and improve our knowledge of the market, the consumer and the competition;</w:t>
      </w:r>
    </w:p>
    <w:p>
      <w:pPr>
        <w:spacing w:after="0" w:line="189" w:lineRule="exact"/>
        <w:rPr>
          <w:rFonts w:ascii="Courier New" w:cs="Courier New" w:eastAsia="Courier New" w:hAnsi="Courier New"/>
          <w:sz w:val="16"/>
          <w:szCs w:val="16"/>
          <w:color w:val="auto"/>
        </w:rPr>
      </w:pPr>
    </w:p>
    <w:p>
      <w:pPr>
        <w:ind w:left="482" w:right="2779" w:hanging="482"/>
        <w:spacing w:after="0"/>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Simplification of our product lines and business processes, to focus on those that deliver value, evaluate marginal ones and eliminate those that lack future prospects; and</w:t>
      </w:r>
    </w:p>
    <w:p>
      <w:pPr>
        <w:spacing w:after="0" w:line="189" w:lineRule="exact"/>
        <w:rPr>
          <w:rFonts w:ascii="Courier New" w:cs="Courier New" w:eastAsia="Courier New" w:hAnsi="Courier New"/>
          <w:sz w:val="16"/>
          <w:szCs w:val="16"/>
          <w:color w:val="auto"/>
        </w:rPr>
      </w:pPr>
    </w:p>
    <w:p>
      <w:pPr>
        <w:ind w:left="482" w:right="2679" w:hanging="482"/>
        <w:spacing w:after="0" w:line="239"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189" w:lineRule="exact"/>
        <w:rPr>
          <w:sz w:val="20"/>
          <w:szCs w:val="20"/>
          <w:color w:val="auto"/>
        </w:rPr>
      </w:pPr>
    </w:p>
    <w:p>
      <w:pPr>
        <w:ind w:left="2" w:right="2979"/>
        <w:spacing w:after="0" w:line="242" w:lineRule="auto"/>
        <w:rPr>
          <w:sz w:val="20"/>
          <w:szCs w:val="20"/>
          <w:color w:val="auto"/>
        </w:rPr>
      </w:pPr>
      <w:r>
        <w:rPr>
          <w:rFonts w:ascii="Courier New" w:cs="Courier New" w:eastAsia="Courier New" w:hAnsi="Courier New"/>
          <w:sz w:val="16"/>
          <w:szCs w:val="16"/>
          <w:color w:val="auto"/>
        </w:rPr>
        <w:t>The acquisitions of Levington and Earthgro, as well as other business initiatives such as Scotts Lawn Service and Sanford Scientific, Inc., are symbolic of the Company's intention to consider acquisition opportunities in related or new markets. Within the Company's four-year strategic plan, management has established challenging, but realistic, financial goals, including:</w:t>
      </w:r>
    </w:p>
    <w:p>
      <w:pPr>
        <w:spacing w:after="0" w:line="184" w:lineRule="exact"/>
        <w:rPr>
          <w:sz w:val="20"/>
          <w:szCs w:val="20"/>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6% to 8% in core businesses;</w:t>
      </w:r>
    </w:p>
    <w:p>
      <w:pPr>
        <w:spacing w:after="0" w:line="188" w:lineRule="exact"/>
        <w:rPr>
          <w:rFonts w:ascii="Courier New" w:cs="Courier New" w:eastAsia="Courier New" w:hAnsi="Courier New"/>
          <w:sz w:val="16"/>
          <w:szCs w:val="16"/>
          <w:color w:val="auto"/>
        </w:rPr>
      </w:pPr>
    </w:p>
    <w:p>
      <w:pPr>
        <w:ind w:left="482" w:right="2599" w:hanging="482"/>
        <w:spacing w:after="0" w:line="239" w:lineRule="auto"/>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at least 2% over the next four years; and</w:t>
      </w:r>
    </w:p>
    <w:p>
      <w:pPr>
        <w:spacing w:after="0" w:line="186"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EPS growth of 15%.</w:t>
      </w:r>
    </w:p>
    <w:p>
      <w:pPr>
        <w:spacing w:after="0" w:line="369"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21"/>
          </w:cols>
          <w:pgMar w:left="238"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made and will make certain forward-looking statements in its Annual Report, Form 10-Q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These forward-looking statements represent challenging goals for the Company, and the achievement thereof is subject to a variety of risks and assumptions.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pacing w:after="0" w:line="189" w:lineRule="exact"/>
        <w:rPr>
          <w:sz w:val="20"/>
          <w:szCs w:val="20"/>
          <w:color w:val="auto"/>
        </w:rPr>
      </w:pPr>
    </w:p>
    <w:p>
      <w:pPr>
        <w:ind w:left="1340" w:right="2879" w:hanging="675"/>
        <w:spacing w:after="0"/>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which have a significant impact on the timing of sales in the Spring selling season and overall annual sales;</w:t>
      </w:r>
    </w:p>
    <w:p>
      <w:pPr>
        <w:spacing w:after="0" w:line="189" w:lineRule="exact"/>
        <w:rPr>
          <w:rFonts w:ascii="Courier New" w:cs="Courier New" w:eastAsia="Courier New" w:hAnsi="Courier New"/>
          <w:sz w:val="16"/>
          <w:szCs w:val="16"/>
          <w:color w:val="auto"/>
        </w:rPr>
      </w:pPr>
    </w:p>
    <w:p>
      <w:pPr>
        <w:ind w:left="1340" w:right="2599" w:hanging="675"/>
        <w:spacing w:after="0" w:line="263" w:lineRule="auto"/>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marketplace acceptance of the Company's Consumer Lawns and Consumer Gardens groups' "pull" advertising marketing strategies, particularly in the Consumer Lawns group which refocused its general marketing strategy beginning in fiscal 1996;</w:t>
      </w:r>
    </w:p>
    <w:p>
      <w:pPr>
        <w:spacing w:after="0" w:line="172" w:lineRule="exact"/>
        <w:rPr>
          <w:rFonts w:ascii="Courier New" w:cs="Courier New" w:eastAsia="Courier New" w:hAnsi="Courier New"/>
          <w:sz w:val="15"/>
          <w:szCs w:val="15"/>
          <w:color w:val="auto"/>
        </w:rPr>
      </w:pPr>
    </w:p>
    <w:p>
      <w:pPr>
        <w:ind w:left="1340" w:right="2679" w:hanging="675"/>
        <w:spacing w:after="0" w:line="241"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profit margins on its products, to produce its products on a timely basis, and to maintain and develop additional production capacity as necessary to meet demand;</w:t>
      </w:r>
    </w:p>
    <w:p>
      <w:pPr>
        <w:spacing w:after="0" w:line="189" w:lineRule="exact"/>
        <w:rPr>
          <w:rFonts w:ascii="Courier New" w:cs="Courier New" w:eastAsia="Courier New" w:hAnsi="Courier New"/>
          <w:sz w:val="16"/>
          <w:szCs w:val="16"/>
          <w:color w:val="auto"/>
        </w:rPr>
      </w:pPr>
    </w:p>
    <w:p>
      <w:pPr>
        <w:ind w:left="1340" w:right="2979" w:hanging="675"/>
        <w:spacing w:after="0"/>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among lawn and garden care product producers supplying the consumer and professional markets, both in North America and Europe;</w:t>
      </w:r>
    </w:p>
    <w:p>
      <w:pPr>
        <w:spacing w:after="0" w:line="189" w:lineRule="exact"/>
        <w:rPr>
          <w:rFonts w:ascii="Courier New" w:cs="Courier New" w:eastAsia="Courier New" w:hAnsi="Courier New"/>
          <w:sz w:val="16"/>
          <w:szCs w:val="16"/>
          <w:color w:val="auto"/>
        </w:rPr>
      </w:pPr>
    </w:p>
    <w:p>
      <w:pPr>
        <w:ind w:left="1340" w:right="2779" w:hanging="675"/>
        <w:spacing w:after="0"/>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between and the recent consolidation within the retail outlets selling lawn and garden care products produced by the Company;</w:t>
      </w:r>
    </w:p>
    <w:p>
      <w:pPr>
        <w:spacing w:after="0" w:line="189" w:lineRule="exact"/>
        <w:rPr>
          <w:rFonts w:ascii="Courier New" w:cs="Courier New" w:eastAsia="Courier New" w:hAnsi="Courier New"/>
          <w:sz w:val="16"/>
          <w:szCs w:val="16"/>
          <w:color w:val="auto"/>
        </w:rPr>
      </w:pPr>
    </w:p>
    <w:p>
      <w:pPr>
        <w:ind w:left="1340" w:right="2599" w:hanging="675"/>
        <w:spacing w:after="0" w:line="239"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regarding the safety of the products produced and marketed by the Company;</w:t>
      </w:r>
    </w:p>
    <w:p>
      <w:pPr>
        <w:spacing w:after="0" w:line="189" w:lineRule="exact"/>
        <w:rPr>
          <w:rFonts w:ascii="Courier New" w:cs="Courier New" w:eastAsia="Courier New" w:hAnsi="Courier New"/>
          <w:sz w:val="16"/>
          <w:szCs w:val="16"/>
          <w:color w:val="auto"/>
        </w:rPr>
      </w:pPr>
    </w:p>
    <w:p>
      <w:pPr>
        <w:ind w:left="1340" w:right="2779" w:hanging="675"/>
        <w:spacing w:after="0" w:line="241"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Inherent risks of international development, including currency exchange rates, the implementation of the euro, economic conditions and regulatory and cultural difficulties or delays in the Company's development outside the United States;</w:t>
      </w:r>
    </w:p>
    <w:p>
      <w:pPr>
        <w:spacing w:after="0" w:line="189" w:lineRule="exact"/>
        <w:rPr>
          <w:rFonts w:ascii="Courier New" w:cs="Courier New" w:eastAsia="Courier New" w:hAnsi="Courier New"/>
          <w:sz w:val="16"/>
          <w:szCs w:val="16"/>
          <w:color w:val="auto"/>
        </w:rPr>
      </w:pPr>
    </w:p>
    <w:p>
      <w:pPr>
        <w:ind w:left="1340" w:right="3059" w:hanging="675"/>
        <w:spacing w:after="0" w:line="239"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economic conditions in the United States and the impact of changes in interest rates;</w:t>
      </w:r>
    </w:p>
    <w:p>
      <w:pPr>
        <w:spacing w:after="0" w:line="189" w:lineRule="exact"/>
        <w:rPr>
          <w:rFonts w:ascii="Courier New" w:cs="Courier New" w:eastAsia="Courier New" w:hAnsi="Courier New"/>
          <w:sz w:val="16"/>
          <w:szCs w:val="16"/>
          <w:color w:val="auto"/>
        </w:rPr>
      </w:pPr>
    </w:p>
    <w:p>
      <w:pPr>
        <w:ind w:left="1340" w:right="2779" w:hanging="675"/>
        <w:spacing w:after="0" w:line="241"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Company to improve its processes and business practices to keep pace with the economic, competitive and technological environment, including successfully addressing the Year 2000 issues; and</w:t>
      </w:r>
    </w:p>
    <w:p>
      <w:pPr>
        <w:spacing w:after="0" w:line="189" w:lineRule="exact"/>
        <w:rPr>
          <w:rFonts w:ascii="Courier New" w:cs="Courier New" w:eastAsia="Courier New" w:hAnsi="Courier New"/>
          <w:sz w:val="16"/>
          <w:szCs w:val="16"/>
          <w:color w:val="auto"/>
        </w:rPr>
      </w:pPr>
    </w:p>
    <w:p>
      <w:pPr>
        <w:ind w:left="1340" w:right="2779" w:hanging="675"/>
        <w:spacing w:after="0" w:line="239" w:lineRule="auto"/>
        <w:tabs>
          <w:tab w:leader="none" w:pos="13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successfully integrate the operations of acquired companies.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298"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Part II - OTHER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See Footnote 6 to the Consolidated Financial Statements.</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8" w:lineRule="exact"/>
        <w:rPr>
          <w:sz w:val="20"/>
          <w:szCs w:val="20"/>
          <w:color w:val="auto"/>
        </w:rPr>
      </w:pPr>
    </w:p>
    <w:p>
      <w:pPr>
        <w:ind w:left="860" w:right="1100"/>
        <w:spacing w:after="0" w:line="271" w:lineRule="auto"/>
        <w:rPr>
          <w:sz w:val="20"/>
          <w:szCs w:val="20"/>
          <w:color w:val="auto"/>
        </w:rPr>
      </w:pPr>
      <w:r>
        <w:rPr>
          <w:rFonts w:ascii="Courier New" w:cs="Courier New" w:eastAsia="Courier New" w:hAnsi="Courier New"/>
          <w:sz w:val="15"/>
          <w:szCs w:val="15"/>
          <w:color w:val="auto"/>
        </w:rPr>
        <w:t>The Annual Meeting of shareholders of the Company (the "Annual Meeting") was held in Columbus, Ohio on February 18, 1998.</w:t>
      </w:r>
    </w:p>
    <w:p>
      <w:pPr>
        <w:spacing w:after="0" w:line="166" w:lineRule="exact"/>
        <w:rPr>
          <w:sz w:val="20"/>
          <w:szCs w:val="20"/>
          <w:color w:val="auto"/>
        </w:rPr>
      </w:pPr>
    </w:p>
    <w:p>
      <w:pPr>
        <w:ind w:left="860" w:right="420"/>
        <w:spacing w:after="0"/>
        <w:rPr>
          <w:sz w:val="20"/>
          <w:szCs w:val="20"/>
          <w:color w:val="auto"/>
        </w:rPr>
      </w:pPr>
      <w:r>
        <w:rPr>
          <w:rFonts w:ascii="Courier New" w:cs="Courier New" w:eastAsia="Courier New" w:hAnsi="Courier New"/>
          <w:sz w:val="16"/>
          <w:szCs w:val="16"/>
          <w:color w:val="auto"/>
        </w:rPr>
        <w:t>The result of the vote of the shareholders for the matter of the election of three directors, for terms of three years each, submitted to the shareholders at the Annual Meeting is as follows:</w:t>
      </w:r>
    </w:p>
    <w:p>
      <w:pPr>
        <w:spacing w:after="0" w:line="200" w:lineRule="exact"/>
        <w:rPr>
          <w:sz w:val="20"/>
          <w:szCs w:val="20"/>
          <w:color w:val="auto"/>
        </w:rPr>
      </w:pPr>
    </w:p>
    <w:p>
      <w:pPr>
        <w:spacing w:after="0" w:line="354"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6"/>
                <w:szCs w:val="16"/>
                <w:color w:val="auto"/>
              </w:rPr>
              <w:t>Nominee</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Votes For</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w w:val="96"/>
              </w:rPr>
              <w:t>Withheld</w:t>
            </w:r>
          </w:p>
        </w:tc>
      </w:tr>
      <w:tr>
        <w:trPr>
          <w:trHeight w:val="183"/>
        </w:trPr>
        <w:tc>
          <w:tcPr>
            <w:tcW w:w="620" w:type="dxa"/>
            <w:vAlign w:val="bottom"/>
          </w:tcPr>
          <w:p>
            <w:pPr>
              <w:spacing w:after="0"/>
              <w:rPr>
                <w:sz w:val="15"/>
                <w:szCs w:val="15"/>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62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Joseph P. Flannery</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26,393,590</w:t>
            </w:r>
          </w:p>
        </w:tc>
        <w:tc>
          <w:tcPr>
            <w:tcW w:w="1380" w:type="dxa"/>
            <w:vAlign w:val="bottom"/>
          </w:tcPr>
          <w:p>
            <w:pPr>
              <w:spacing w:after="0"/>
              <w:rPr>
                <w:sz w:val="24"/>
                <w:szCs w:val="24"/>
                <w:color w:val="auto"/>
              </w:rPr>
            </w:pP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Horace</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Hagedorn</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26,388,479</w:t>
            </w:r>
          </w:p>
        </w:tc>
        <w:tc>
          <w:tcPr>
            <w:tcW w:w="1380" w:type="dxa"/>
            <w:vAlign w:val="bottom"/>
          </w:tcPr>
          <w:p>
            <w:pPr>
              <w:spacing w:after="0"/>
              <w:rPr>
                <w:sz w:val="15"/>
                <w:szCs w:val="15"/>
                <w:color w:val="auto"/>
              </w:rPr>
            </w:pP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Albert</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E. Harris</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26,394,014</w:t>
            </w:r>
          </w:p>
        </w:tc>
        <w:tc>
          <w:tcPr>
            <w:tcW w:w="1380" w:type="dxa"/>
            <w:vAlign w:val="bottom"/>
          </w:tcPr>
          <w:p>
            <w:pPr>
              <w:spacing w:after="0"/>
              <w:rPr>
                <w:sz w:val="15"/>
                <w:szCs w:val="15"/>
                <w:color w:val="auto"/>
              </w:rPr>
            </w:pPr>
          </w:p>
        </w:tc>
      </w:tr>
    </w:tbl>
    <w:p>
      <w:pPr>
        <w:spacing w:after="0" w:line="372" w:lineRule="exact"/>
        <w:rPr>
          <w:sz w:val="20"/>
          <w:szCs w:val="20"/>
          <w:color w:val="auto"/>
        </w:rPr>
      </w:pPr>
    </w:p>
    <w:p>
      <w:pPr>
        <w:ind w:left="860" w:right="420"/>
        <w:spacing w:after="0" w:line="241" w:lineRule="auto"/>
        <w:rPr>
          <w:sz w:val="20"/>
          <w:szCs w:val="20"/>
          <w:color w:val="auto"/>
        </w:rPr>
      </w:pPr>
      <w:r>
        <w:rPr>
          <w:rFonts w:ascii="Courier New" w:cs="Courier New" w:eastAsia="Courier New" w:hAnsi="Courier New"/>
          <w:sz w:val="16"/>
          <w:szCs w:val="16"/>
          <w:color w:val="auto"/>
        </w:rPr>
        <w:t>Each of the nominees was elected. The other directors whose terms of office continue after the Annual Meeting are Charles M. Berger, James Hagedorn, Karen Mills, James B Beard, John Kenlon, John M. Sullivan, and L. Jack Van Fossen.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8" w:lineRule="exact"/>
        <w:rPr>
          <w:sz w:val="20"/>
          <w:szCs w:val="20"/>
          <w:color w:val="auto"/>
        </w:rPr>
      </w:pPr>
    </w:p>
    <w:p>
      <w:pPr>
        <w:ind w:left="1240" w:right="520" w:hanging="384"/>
        <w:spacing w:after="0" w:line="239" w:lineRule="auto"/>
        <w:tabs>
          <w:tab w:leader="none" w:pos="1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23 for a list of the exhibits included herewith.</w:t>
      </w:r>
    </w:p>
    <w:p>
      <w:pPr>
        <w:spacing w:after="0" w:line="189" w:lineRule="exact"/>
        <w:rPr>
          <w:rFonts w:ascii="Courier New" w:cs="Courier New" w:eastAsia="Courier New" w:hAnsi="Courier New"/>
          <w:sz w:val="16"/>
          <w:szCs w:val="16"/>
          <w:color w:val="auto"/>
        </w:rPr>
      </w:pPr>
    </w:p>
    <w:p>
      <w:pPr>
        <w:ind w:left="1240" w:right="240" w:hanging="384"/>
        <w:spacing w:after="0" w:line="241" w:lineRule="auto"/>
        <w:tabs>
          <w:tab w:leader="none" w:pos="1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on February 25, 1998 relating to the acquisition of Earthgro, Inc. and Sanford Scientific, Inc. No financial statements or pro forma financial information was required to be filed therewith.</w:t>
      </w:r>
    </w:p>
    <w:p>
      <w:pPr>
        <w:spacing w:after="0" w:line="200" w:lineRule="exact"/>
        <w:rPr>
          <w:sz w:val="20"/>
          <w:szCs w:val="20"/>
          <w:color w:val="auto"/>
        </w:rPr>
      </w:pP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Voted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144,025</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149,136</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143,601</w:t>
      </w:r>
    </w:p>
    <w:p>
      <w:pPr>
        <w:sectPr>
          <w:pgSz w:w="11900" w:h="16838" w:orient="portrait"/>
          <w:cols w:equalWidth="0" w:num="2">
            <w:col w:w="7860" w:space="720"/>
            <w:col w:w="1639"/>
          </w:cols>
          <w:pgMar w:left="240" w:top="298"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/s/JEAN H. MORDO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380" w:space="0"/>
            <w:col w:w="3100" w:space="720"/>
            <w:col w:w="601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298" w:right="1440" w:bottom="1440" w:gutter="0" w:footer="0" w:header="0"/>
          <w:type w:val="continuous"/>
        </w:sectPr>
      </w:pPr>
    </w:p>
    <w:bookmarkStart w:id="23" w:name="page24"/>
    <w:bookmarkEnd w:id="23"/>
    <w:p>
      <w:pPr>
        <w:ind w:left="282"/>
        <w:spacing w:after="0"/>
        <w:rPr>
          <w:sz w:val="20"/>
          <w:szCs w:val="20"/>
          <w:color w:val="auto"/>
        </w:rPr>
      </w:pPr>
      <w:r>
        <w:rPr>
          <w:rFonts w:ascii="Courier New" w:cs="Courier New" w:eastAsia="Courier New" w:hAnsi="Courier New"/>
          <w:sz w:val="16"/>
          <w:szCs w:val="16"/>
          <w:color w:val="auto"/>
        </w:rPr>
        <w:t>23</w:t>
      </w:r>
    </w:p>
    <w:p>
      <w:pPr>
        <w:spacing w:after="0" w:line="369"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QUARTERLY REPORT ON FORM 10-Q FOR</w:t>
      </w:r>
    </w:p>
    <w:p>
      <w:pPr>
        <w:spacing w:after="0" w:line="2"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FISCAL QUARTER ENDED April 4, 1998</w:t>
      </w:r>
    </w:p>
    <w:p>
      <w:pPr>
        <w:spacing w:after="0" w:line="200" w:lineRule="exact"/>
        <w:rPr>
          <w:sz w:val="20"/>
          <w:szCs w:val="20"/>
          <w:color w:val="auto"/>
        </w:rPr>
      </w:pPr>
    </w:p>
    <w:p>
      <w:pPr>
        <w:spacing w:after="0" w:line="352"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82"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100" w:type="dxa"/>
            <w:vAlign w:val="bottom"/>
          </w:tcPr>
          <w:p>
            <w:pPr>
              <w:spacing w:after="0"/>
              <w:rPr>
                <w:sz w:val="15"/>
                <w:szCs w:val="15"/>
                <w:color w:val="auto"/>
              </w:rPr>
            </w:pPr>
          </w:p>
        </w:tc>
        <w:tc>
          <w:tcPr>
            <w:tcW w:w="2480" w:type="dxa"/>
            <w:vAlign w:val="bottom"/>
          </w:tcPr>
          <w:p>
            <w:pPr>
              <w:jc w:val="center"/>
              <w:ind w:left="1821"/>
              <w:spacing w:after="0"/>
              <w:rPr>
                <w:sz w:val="20"/>
                <w:szCs w:val="20"/>
                <w:color w:val="auto"/>
              </w:rPr>
            </w:pPr>
            <w:r>
              <w:rPr>
                <w:rFonts w:ascii="Courier New" w:cs="Courier New" w:eastAsia="Courier New" w:hAnsi="Courier New"/>
                <w:sz w:val="16"/>
                <w:szCs w:val="16"/>
                <w:color w:val="auto"/>
                <w:w w:val="98"/>
              </w:rPr>
              <w:t>Page</w:t>
            </w:r>
          </w:p>
        </w:tc>
      </w:tr>
      <w:tr>
        <w:trPr>
          <w:trHeight w:val="183"/>
        </w:trPr>
        <w:tc>
          <w:tcPr>
            <w:tcW w:w="18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100" w:type="dxa"/>
            <w:vAlign w:val="bottom"/>
          </w:tcPr>
          <w:p>
            <w:pPr>
              <w:ind w:left="1140"/>
              <w:spacing w:after="0"/>
              <w:rPr>
                <w:sz w:val="20"/>
                <w:szCs w:val="20"/>
                <w:color w:val="auto"/>
              </w:rPr>
            </w:pPr>
            <w:r>
              <w:rPr>
                <w:rFonts w:ascii="Courier New" w:cs="Courier New" w:eastAsia="Courier New" w:hAnsi="Courier New"/>
                <w:sz w:val="16"/>
                <w:szCs w:val="16"/>
                <w:color w:val="auto"/>
              </w:rPr>
              <w:t>Description</w:t>
            </w:r>
          </w:p>
        </w:tc>
        <w:tc>
          <w:tcPr>
            <w:tcW w:w="2480" w:type="dxa"/>
            <w:vAlign w:val="bottom"/>
          </w:tcPr>
          <w:p>
            <w:pPr>
              <w:jc w:val="center"/>
              <w:ind w:left="1821"/>
              <w:spacing w:after="0"/>
              <w:rPr>
                <w:sz w:val="20"/>
                <w:szCs w:val="20"/>
                <w:color w:val="auto"/>
              </w:rPr>
            </w:pPr>
            <w:r>
              <w:rPr>
                <w:rFonts w:ascii="Courier New" w:cs="Courier New" w:eastAsia="Courier New" w:hAnsi="Courier New"/>
                <w:sz w:val="16"/>
                <w:szCs w:val="16"/>
                <w:color w:val="auto"/>
              </w:rPr>
              <w:t>Number</w:t>
            </w:r>
          </w:p>
        </w:tc>
      </w:tr>
      <w:tr>
        <w:trPr>
          <w:trHeight w:val="183"/>
        </w:trPr>
        <w:tc>
          <w:tcPr>
            <w:tcW w:w="1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10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jc w:val="center"/>
              <w:ind w:left="18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1342" w:right="2599" w:hanging="865"/>
        <w:spacing w:after="0" w:line="259" w:lineRule="auto"/>
        <w:tabs>
          <w:tab w:leader="none" w:pos="134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February 26, 1998, among the Registrant, the lenders party thereto and the Subsidiary Borrowers named therein, Keybank National Association, Bank of Tokyo-Mitsubishi Trust Company and Union Bank of California, N.A., as co-agents, the Chase Manhattan Bank as agent for the lenders, Credit Lyonnais Chicago Branch, as documentation agent, and NBD</w:t>
      </w:r>
    </w:p>
    <w:tbl>
      <w:tblPr>
        <w:tblLayout w:type="fixed"/>
        <w:tblInd w:w="482" w:type="dxa"/>
        <w:tblCellMar>
          <w:top w:w="0" w:type="dxa"/>
          <w:left w:w="0" w:type="dxa"/>
          <w:bottom w:w="0" w:type="dxa"/>
          <w:right w:w="0" w:type="dxa"/>
        </w:tblCellMar>
      </w:tblPr>
      <w:tr>
        <w:trPr>
          <w:trHeight w:val="179"/>
        </w:trPr>
        <w:tc>
          <w:tcPr>
            <w:tcW w:w="520" w:type="dxa"/>
            <w:vAlign w:val="bottom"/>
          </w:tcPr>
          <w:p>
            <w:pPr>
              <w:spacing w:after="0"/>
              <w:rPr>
                <w:sz w:val="15"/>
                <w:szCs w:val="15"/>
                <w:color w:val="auto"/>
              </w:rPr>
            </w:pPr>
          </w:p>
        </w:tc>
        <w:tc>
          <w:tcPr>
            <w:tcW w:w="716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Bank, as syndication agent.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67"/>
        </w:trPr>
        <w:tc>
          <w:tcPr>
            <w:tcW w:w="5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3"/>
              </w:rPr>
              <w:t>10</w:t>
            </w: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The Scotts Company 1996</w:t>
            </w:r>
          </w:p>
        </w:tc>
        <w:tc>
          <w:tcPr>
            <w:tcW w:w="4580" w:type="dxa"/>
            <w:vAlign w:val="bottom"/>
          </w:tcPr>
          <w:p>
            <w:pPr>
              <w:ind w:left="40"/>
              <w:spacing w:after="0"/>
              <w:rPr>
                <w:sz w:val="20"/>
                <w:szCs w:val="20"/>
                <w:color w:val="auto"/>
              </w:rPr>
            </w:pPr>
            <w:r>
              <w:rPr>
                <w:rFonts w:ascii="Courier New" w:cs="Courier New" w:eastAsia="Courier New" w:hAnsi="Courier New"/>
                <w:sz w:val="16"/>
                <w:szCs w:val="16"/>
                <w:color w:val="auto"/>
              </w:rPr>
              <w:t>Stock Option Plan (as amended through May 13,</w:t>
            </w:r>
          </w:p>
        </w:tc>
        <w:tc>
          <w:tcPr>
            <w:tcW w:w="320" w:type="dxa"/>
            <w:vAlign w:val="bottom"/>
          </w:tcPr>
          <w:p>
            <w:pPr>
              <w:spacing w:after="0"/>
              <w:rPr>
                <w:sz w:val="24"/>
                <w:szCs w:val="24"/>
                <w:color w:val="auto"/>
              </w:rPr>
            </w:pPr>
          </w:p>
        </w:tc>
      </w:tr>
      <w:tr>
        <w:trPr>
          <w:trHeight w:val="183"/>
        </w:trPr>
        <w:tc>
          <w:tcPr>
            <w:tcW w:w="520" w:type="dxa"/>
            <w:vAlign w:val="bottom"/>
          </w:tcPr>
          <w:p>
            <w:pPr>
              <w:spacing w:after="0"/>
              <w:rPr>
                <w:sz w:val="15"/>
                <w:szCs w:val="15"/>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1998)</w:t>
            </w:r>
          </w:p>
        </w:tc>
        <w:tc>
          <w:tcPr>
            <w:tcW w:w="45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3"/>
              </w:rPr>
              <w:t>27</w:t>
            </w:r>
          </w:p>
        </w:tc>
        <w:tc>
          <w:tcPr>
            <w:tcW w:w="2580" w:type="dxa"/>
            <w:vAlign w:val="bottom"/>
          </w:tcPr>
          <w:p>
            <w:pPr>
              <w:ind w:left="340"/>
              <w:spacing w:after="0"/>
              <w:rPr>
                <w:sz w:val="20"/>
                <w:szCs w:val="20"/>
                <w:color w:val="auto"/>
              </w:rPr>
            </w:pPr>
            <w:r>
              <w:rPr>
                <w:rFonts w:ascii="Courier New" w:cs="Courier New" w:eastAsia="Courier New" w:hAnsi="Courier New"/>
                <w:sz w:val="16"/>
                <w:szCs w:val="16"/>
                <w:color w:val="auto"/>
              </w:rPr>
              <w:t>Financial Data Schedule</w:t>
            </w:r>
          </w:p>
        </w:tc>
        <w:tc>
          <w:tcPr>
            <w:tcW w:w="45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2" w:hanging="182"/>
        <w:spacing w:after="0"/>
        <w:tabs>
          <w:tab w:leader="none" w:pos="1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21"/>
          </w:cols>
          <w:pgMar w:left="238" w:top="298"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SCOTTS COMPANY</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O.M. SCOTT INTERNATIONAL INVESTMENTS LIMITED,</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MIRACLE GARDEN CARE LIMITED,</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SCOTTS HOLDINGS LIMITED,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HYPONEX CORPORATION,</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SCOTTS' MIRACLE-GRO PRODUCTS, INC.,</w:t>
      </w:r>
    </w:p>
    <w:p>
      <w:pPr>
        <w:spacing w:after="0" w:line="2"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6"/>
          <w:szCs w:val="16"/>
          <w:color w:val="auto"/>
        </w:rPr>
        <w:t>SCOTTS-SIERRA HORTICULTURAL PRODUCTS COMPANY, and</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as Subsidiary Borrowers</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CREDIT AGREEMENT</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dated as of February 26, 1998</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___________________________________________</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THE CHASE MANHATTAN BANK,</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THE LENDERS PARTY HERETO,</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KEYBANK NATIONAL ASSOCIATION,</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BANK OF TOKYO-MITSUBISHI TRUST COMPANY, and</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UNION BANK OF CALIFORNIA, N.A.,</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as Co-Agents</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THE CHASE MANHATTAN BANK</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as Administrative Agent</w:t>
      </w:r>
    </w:p>
    <w:p>
      <w:pPr>
        <w:spacing w:after="0" w:line="18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CREDIT LYONNAIS CHICAGO BRANCH</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as Documentation Agent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NBD BANK,</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as Syndication Agent</w:t>
      </w:r>
    </w:p>
    <w:p>
      <w:pPr>
        <w:spacing w:after="0" w:line="369"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TABLE OF CONTENTS</w:t>
      </w:r>
    </w:p>
    <w:p>
      <w:pPr>
        <w:sectPr>
          <w:pgSz w:w="11900" w:h="16838" w:orient="portrait"/>
          <w:cols w:equalWidth="0" w:num="1">
            <w:col w:w="9939"/>
          </w:cols>
          <w:pgMar w:left="520" w:top="139"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1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55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6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1.1</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Defined Terms..................................................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1.2</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Definitional Provisions..................................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6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AMOUNT AND TERMS OF LOANS........................................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2.1</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Revolving Credit Commitment....................................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2.2</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Procedure for Revolving Credit Borrowing.......................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2.3</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Swing Line Commitments.........................................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2.4</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Participation..................................................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2.5</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Bid Loans......................................................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2.6</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Repayment of Loans; Evidence of Debt...........................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2.7</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Facility Fee...................................................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2.8</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Termination or Reduction of Revolving Credit Commitments.......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2.9</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Prepayments....................................................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Collateralization of Letters of Credit....................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Conversion Options.............................................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2.12</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Interest Rate and Payment Dates................................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Computation of Interest and Fees...............................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2.14</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Inability to Determine Interest Rate...........................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2.15</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Pro Rata Treatment and Payments................................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2.16</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Illegality.....................................................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2.17</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Requirements of Law............................................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2.18</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Indemnity......................................................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2.19</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Taxes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2.20</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European Monetary Union........................................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2.21</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Use of Proceeds................................................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2.22</w:t>
            </w:r>
          </w:p>
        </w:tc>
        <w:tc>
          <w:tcPr>
            <w:tcW w:w="59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9"/>
              </w:rPr>
              <w:t>Controls on Prepayment if Aggregate Outstanding Extensions</w:t>
            </w:r>
          </w:p>
        </w:tc>
        <w:tc>
          <w:tcPr>
            <w:tcW w:w="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9"/>
              </w:rPr>
              <w:t>of Credit Exceeds Aggregate Revolving Credit Commitments......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2.23</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Lending Installations..........................................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6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LETTER OF CREDIT FACILITIES......................................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3.1</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L/C Commitment.................................................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3.2</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Procedure for Issuance of Letters of Credit....................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3.3</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Fees, Commissions and Other Charges............................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3.4</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L/C Participation..............................................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3.5</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Reimbursement Obligation of the Borrower.......................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3.6</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Obligations Absolute...........................................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3.7</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Increased Costs................................................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3.8</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Letter of Credit Payments......................................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3.9</w:t>
            </w:r>
          </w:p>
        </w:tc>
        <w:tc>
          <w:tcPr>
            <w:tcW w:w="140" w:type="dxa"/>
            <w:vAlign w:val="bottom"/>
          </w:tcPr>
          <w:p>
            <w:pPr>
              <w:spacing w:after="0"/>
              <w:rPr>
                <w:sz w:val="15"/>
                <w:szCs w:val="15"/>
                <w:color w:val="auto"/>
              </w:rPr>
            </w:pP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w w:val="98"/>
              </w:rPr>
              <w:t>Application....................................................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73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60" w:type="dxa"/>
            <w:vAlign w:val="bottom"/>
          </w:tcPr>
          <w:p>
            <w:pPr>
              <w:jc w:val="right"/>
              <w:ind w:right="3261"/>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73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550"/>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3.10</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Purpose of</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the Letters of Credit...............................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4.</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REPRESENTATIONS AND WARRANTIES...................................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4.1</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Financial Condition............................................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4.2</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Corporate Existence; Compliance with Law.......................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4.3</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Corporate Power; Authorization; Enforceable Obligations........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4.4</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 Legal Bar...................................................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4.5</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 Material Litigation.........................................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4.6</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Federal Regulations............................................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4.7</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Investment</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Company Act; Other Regulations......................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4.8</w:t>
            </w:r>
          </w:p>
        </w:tc>
        <w:tc>
          <w:tcPr>
            <w:tcW w:w="140" w:type="dxa"/>
            <w:vAlign w:val="bottom"/>
          </w:tcPr>
          <w:p>
            <w:pPr>
              <w:spacing w:after="0"/>
              <w:rPr>
                <w:sz w:val="15"/>
                <w:szCs w:val="15"/>
                <w:color w:val="auto"/>
              </w:rPr>
            </w:pPr>
          </w:p>
        </w:tc>
        <w:tc>
          <w:tcPr>
            <w:tcW w:w="63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Subsidiaries.  ................................................ 48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4.9</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Disclosure</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4.10</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Schedules......................................................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4.11</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ERISA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4.12</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No Default</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4.13</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Title to Real Property, Etc....................................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4.14</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Taxes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4.15</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Environmental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4.16</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Intellectual Property..........................................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5.</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CONDITIONS PRECEDENT.............................................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5.1</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Conditions</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to Effectiveness of this 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5.2</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Conditions</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to All Extensions of Credit.........................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5.3</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Additional</w:t>
            </w:r>
          </w:p>
        </w:tc>
        <w:tc>
          <w:tcPr>
            <w:tcW w:w="49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Conditions Applicable to Foreign Subsidiary</w:t>
            </w:r>
          </w:p>
        </w:tc>
        <w:tc>
          <w:tcPr>
            <w:tcW w:w="3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w w:val="97"/>
              </w:rPr>
              <w:t>Borrowers</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6.</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AFFIRMATIVE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6.1</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6.2</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Certificates; Other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6.3</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Payment of</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Obligations.........................................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6.4</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Conduct of</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Business and Maintenance of Existence...............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6.5</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Maintenance of Property, Insurance.............................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6.6</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Inspection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of Property; Books and Records; Discussions.........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6.7</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Notices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6.8</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Interest Coverage..............................................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6.9</w:t>
            </w:r>
          </w:p>
        </w:tc>
        <w:tc>
          <w:tcPr>
            <w:tcW w:w="140" w:type="dxa"/>
            <w:vAlign w:val="bottom"/>
          </w:tcPr>
          <w:p>
            <w:pPr>
              <w:spacing w:after="0"/>
              <w:rPr>
                <w:sz w:val="15"/>
                <w:szCs w:val="15"/>
                <w:color w:val="auto"/>
              </w:rPr>
            </w:pP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Maintenance of Leverage Ratio..................................</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6.10</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New Subsidiaries...............................................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3"/>
        </w:trPr>
        <w:tc>
          <w:tcPr>
            <w:tcW w:w="12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6.11</w:t>
            </w:r>
          </w:p>
        </w:tc>
        <w:tc>
          <w:tcPr>
            <w:tcW w:w="5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Environmental, Health and Safety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NEGATIVE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7.1</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Liens............................................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7.2</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Contingent Obligations...........................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7.3</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Fundamental Changes..............................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7.4</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Capital Expenditures.............................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7.5</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Acquisitions, Investments, Loans and Advances....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7.6</w:t>
            </w:r>
          </w:p>
        </w:tc>
        <w:tc>
          <w:tcPr>
            <w:tcW w:w="14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Limitation</w:t>
            </w:r>
          </w:p>
        </w:tc>
        <w:tc>
          <w:tcPr>
            <w:tcW w:w="4960" w:type="dxa"/>
            <w:vAlign w:val="bottom"/>
          </w:tcPr>
          <w:p>
            <w:pPr>
              <w:jc w:val="right"/>
              <w:spacing w:after="0"/>
              <w:rPr>
                <w:sz w:val="20"/>
                <w:szCs w:val="20"/>
                <w:color w:val="auto"/>
              </w:rPr>
            </w:pPr>
            <w:r>
              <w:rPr>
                <w:rFonts w:ascii="Courier New" w:cs="Courier New" w:eastAsia="Courier New" w:hAnsi="Courier New"/>
                <w:sz w:val="16"/>
                <w:szCs w:val="16"/>
                <w:color w:val="auto"/>
                <w:w w:val="98"/>
              </w:rPr>
              <w:t>on Foreign Subsidiary Indebtedness..................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73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jc w:val="right"/>
              <w:ind w:right="3261"/>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550"/>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7.7</w:t>
            </w:r>
          </w:p>
        </w:tc>
        <w:tc>
          <w:tcPr>
            <w:tcW w:w="100" w:type="dxa"/>
            <w:vAlign w:val="bottom"/>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Limitation on Restrictions on Subsidiary Distributions.........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7.8</w:t>
            </w:r>
          </w:p>
        </w:tc>
        <w:tc>
          <w:tcPr>
            <w:tcW w:w="100" w:type="dxa"/>
            <w:vAlign w:val="bottom"/>
          </w:tcPr>
          <w:p>
            <w:pPr>
              <w:spacing w:after="0"/>
              <w:rPr>
                <w:sz w:val="15"/>
                <w:szCs w:val="15"/>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Transactions with Affiliates and Officers......................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7.9</w:t>
            </w:r>
          </w:p>
        </w:tc>
        <w:tc>
          <w:tcPr>
            <w:tcW w:w="100" w:type="dxa"/>
            <w:vAlign w:val="bottom"/>
          </w:tcPr>
          <w:p>
            <w:pPr>
              <w:spacing w:after="0"/>
              <w:rPr>
                <w:sz w:val="15"/>
                <w:szCs w:val="15"/>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Limitation on Sale of Assets...................................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7.10</w:t>
            </w: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Sale and Leaseback.............................................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7.11</w:t>
            </w: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Fiscal Year....................................................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EVENTS OF DEFAULT................................................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The Administrative Agent.........................................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Appointment....................................................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Delegation of Duties...........................................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Exculpatory Provisions.........................................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Reliance by Administrative Agent...............................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Notice of Default..............................................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9.6</w:t>
            </w:r>
          </w:p>
        </w:tc>
        <w:tc>
          <w:tcPr>
            <w:tcW w:w="100" w:type="dxa"/>
            <w:vAlign w:val="bottom"/>
          </w:tcPr>
          <w:p>
            <w:pPr>
              <w:spacing w:after="0"/>
              <w:rPr>
                <w:sz w:val="15"/>
                <w:szCs w:val="15"/>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Non-Reliance on Administrative Agent, Other Lenders and CSI....</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Indemnification................................................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9.8</w:t>
            </w:r>
          </w:p>
        </w:tc>
        <w:tc>
          <w:tcPr>
            <w:tcW w:w="100" w:type="dxa"/>
            <w:vAlign w:val="bottom"/>
          </w:tcPr>
          <w:p>
            <w:pPr>
              <w:spacing w:after="0"/>
              <w:rPr>
                <w:sz w:val="15"/>
                <w:szCs w:val="15"/>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Administrative Agent in Its Individual Capacity................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140" w:type="dxa"/>
            <w:vAlign w:val="bottom"/>
          </w:tcPr>
          <w:p>
            <w:pPr>
              <w:ind w:left="860"/>
              <w:spacing w:after="0"/>
              <w:rPr>
                <w:sz w:val="20"/>
                <w:szCs w:val="20"/>
                <w:color w:val="auto"/>
              </w:rPr>
            </w:pPr>
            <w:r>
              <w:rPr>
                <w:rFonts w:ascii="Courier New" w:cs="Courier New" w:eastAsia="Courier New" w:hAnsi="Courier New"/>
                <w:sz w:val="16"/>
                <w:szCs w:val="16"/>
                <w:color w:val="auto"/>
                <w:w w:val="90"/>
              </w:rPr>
              <w:t>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7"/>
              </w:rPr>
              <w:t>Successor Administrative Agent.................................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9.10</w:t>
            </w: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The Co-Agents, Documentation Agent and Syndication Agent.......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100" w:type="dxa"/>
            <w:vAlign w:val="bottom"/>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MISCELLANEOUS...................................................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10.1</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Amendments and Waivers........................................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10.2</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Notices.......................................................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10.3</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No Waiver; Cumulative Remedies................................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10.4</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Survival of Representations, Warranties and Indemnities.......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10.5</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Payment of Expenses and Taxes.................................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10.6</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Successors and Assigns; Participants; Agency..................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10.7</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Adjustments; Set-off..........................................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10.8</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Enforceability; Usury.........................................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3"/>
        </w:trPr>
        <w:tc>
          <w:tcPr>
            <w:tcW w:w="12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93"/>
              </w:rPr>
              <w:t>10.9</w:t>
            </w:r>
          </w:p>
        </w:tc>
        <w:tc>
          <w:tcPr>
            <w:tcW w:w="100" w:type="dxa"/>
            <w:vAlign w:val="bottom"/>
          </w:tcPr>
          <w:p>
            <w:pPr>
              <w:spacing w:after="0"/>
              <w:rPr>
                <w:sz w:val="15"/>
                <w:szCs w:val="15"/>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Judgment......................................................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10.10</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Counterparts..................................................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10.11</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Governing Law; No Third Party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10.12</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Headings......................................................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10.13</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German Limitations on Liability...............................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10.14</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Submission To Jurisdiction; Waivers...........................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10.15</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Acknowledgements..............................................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10.16</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WAIVERS OF JURY TRIAL.........................................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3"/>
        </w:trPr>
        <w:tc>
          <w:tcPr>
            <w:tcW w:w="1340" w:type="dxa"/>
            <w:vAlign w:val="bottom"/>
            <w:gridSpan w:val="3"/>
          </w:tcPr>
          <w:p>
            <w:pPr>
              <w:ind w:left="860"/>
              <w:spacing w:after="0"/>
              <w:rPr>
                <w:sz w:val="20"/>
                <w:szCs w:val="20"/>
                <w:color w:val="auto"/>
              </w:rPr>
            </w:pPr>
            <w:r>
              <w:rPr>
                <w:rFonts w:ascii="Courier New" w:cs="Courier New" w:eastAsia="Courier New" w:hAnsi="Courier New"/>
                <w:sz w:val="16"/>
                <w:szCs w:val="16"/>
                <w:color w:val="auto"/>
                <w:w w:val="95"/>
              </w:rPr>
              <w:t>10.17</w:t>
            </w:r>
          </w:p>
        </w:tc>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8"/>
              </w:rPr>
              <w:t>Severability..................................................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550"/>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jc w:val="right"/>
              <w:ind w:right="3261"/>
              <w:spacing w:after="0"/>
              <w:rPr>
                <w:sz w:val="20"/>
                <w:szCs w:val="20"/>
                <w:color w:val="auto"/>
              </w:rPr>
            </w:pPr>
            <w:r>
              <w:rPr>
                <w:rFonts w:ascii="Courier New" w:cs="Courier New" w:eastAsia="Courier New" w:hAnsi="Courier New"/>
                <w:sz w:val="16"/>
                <w:szCs w:val="16"/>
                <w:color w:val="auto"/>
              </w:rPr>
              <w:t>-4-</w:t>
            </w:r>
          </w:p>
        </w:tc>
        <w:tc>
          <w:tcPr>
            <w:tcW w:w="380" w:type="dxa"/>
            <w:vAlign w:val="bottom"/>
          </w:tcPr>
          <w:p>
            <w:pPr>
              <w:spacing w:after="0"/>
              <w:rPr>
                <w:sz w:val="24"/>
                <w:szCs w:val="24"/>
                <w:color w:val="auto"/>
              </w:rPr>
            </w:pPr>
          </w:p>
        </w:tc>
      </w:tr>
    </w:tbl>
    <w:p>
      <w:pPr>
        <w:sectPr>
          <w:pgSz w:w="11900" w:h="16838" w:orient="portrait"/>
          <w:cols w:equalWidth="0" w:num="1">
            <w:col w:w="10219"/>
          </w:cols>
          <w:pgMar w:left="240" w:top="298"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960" w:type="dxa"/>
            <w:vAlign w:val="bottom"/>
          </w:tcPr>
          <w:p>
            <w:pPr>
              <w:spacing w:after="0"/>
              <w:rPr>
                <w:sz w:val="15"/>
                <w:szCs w:val="15"/>
                <w:color w:val="auto"/>
              </w:rPr>
            </w:pPr>
          </w:p>
        </w:tc>
        <w:tc>
          <w:tcPr>
            <w:tcW w:w="4800" w:type="dxa"/>
            <w:vAlign w:val="bottom"/>
          </w:tcPr>
          <w:p>
            <w:pPr>
              <w:spacing w:after="0"/>
              <w:rPr>
                <w:sz w:val="15"/>
                <w:szCs w:val="15"/>
                <w:color w:val="auto"/>
              </w:rPr>
            </w:pPr>
          </w:p>
        </w:tc>
      </w:tr>
      <w:tr>
        <w:trPr>
          <w:trHeight w:val="734"/>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67"/>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I</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Lenders; Revolving Credit Commitments; Commitment</w:t>
            </w:r>
          </w:p>
        </w:tc>
      </w:tr>
      <w:tr>
        <w:trPr>
          <w:trHeight w:val="183"/>
        </w:trPr>
        <w:tc>
          <w:tcPr>
            <w:tcW w:w="1860" w:type="dxa"/>
            <w:vAlign w:val="bottom"/>
          </w:tcPr>
          <w:p>
            <w:pPr>
              <w:spacing w:after="0"/>
              <w:rPr>
                <w:sz w:val="15"/>
                <w:szCs w:val="15"/>
                <w:color w:val="auto"/>
              </w:rPr>
            </w:pP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Percentages; Lender Addresses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I.2</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Non-Guarantor Domestic Subsidiaries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4.5</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Litigation</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4.6</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Certain</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Transactions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4.8</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Subsidiaries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5.1(f)</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Proceedings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7.1(i)</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Existing Liens and Encumbrances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7.2(iii)</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Existing Guarantees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7.6(a)</w:t>
            </w:r>
          </w:p>
        </w:tc>
        <w:tc>
          <w:tcPr>
            <w:tcW w:w="5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Existing Indebtedness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 10.2</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Notices</w:t>
            </w:r>
          </w:p>
        </w:tc>
        <w:tc>
          <w:tcPr>
            <w:tcW w:w="4800" w:type="dxa"/>
            <w:vAlign w:val="bottom"/>
          </w:tcPr>
          <w:p>
            <w:pPr>
              <w:spacing w:after="0"/>
              <w:rPr>
                <w:sz w:val="15"/>
                <w:szCs w:val="15"/>
                <w:color w:val="auto"/>
              </w:rPr>
            </w:pPr>
          </w:p>
        </w:tc>
      </w:tr>
      <w:tr>
        <w:trPr>
          <w:trHeight w:val="550"/>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67"/>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Assignment and Acceptance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Bid Loan Confirmation</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Bid Loan Request</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Bid Quote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E</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Scotts Guarantee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F</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Subsidiaries Guarantee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G</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Swing Line Loan Participation Certificate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H</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Revolving Credit Loan Promissory Note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I</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Swing Line Loan Promissory Note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J</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Bid Loan Promissory Note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K</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U.S. Tax Compliance Certificate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L</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Opinion of Vorys, Sater, Seymour &amp; Pease LLP</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M</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Borrowing Certificate</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N</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w w:val="98"/>
              </w:rPr>
              <w:t>Opinion of Counsel to Foreign Subsidiary Borrowers</w:t>
            </w:r>
          </w:p>
        </w:tc>
      </w:tr>
      <w:tr>
        <w:trPr>
          <w:trHeight w:val="183"/>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 O</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Form of</w:t>
            </w:r>
          </w:p>
        </w:tc>
        <w:tc>
          <w:tcPr>
            <w:tcW w:w="4800" w:type="dxa"/>
            <w:vAlign w:val="bottom"/>
          </w:tcPr>
          <w:p>
            <w:pPr>
              <w:ind w:left="40"/>
              <w:spacing w:after="0"/>
              <w:rPr>
                <w:sz w:val="20"/>
                <w:szCs w:val="20"/>
                <w:color w:val="auto"/>
              </w:rPr>
            </w:pPr>
            <w:r>
              <w:rPr>
                <w:rFonts w:ascii="Courier New" w:cs="Courier New" w:eastAsia="Courier New" w:hAnsi="Courier New"/>
                <w:sz w:val="16"/>
                <w:szCs w:val="16"/>
                <w:color w:val="auto"/>
              </w:rPr>
              <w:t>Joinder Agreement</w:t>
            </w:r>
          </w:p>
        </w:tc>
      </w:tr>
      <w:tr>
        <w:trPr>
          <w:trHeight w:val="917"/>
        </w:trPr>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ind w:left="800"/>
              <w:spacing w:after="0"/>
              <w:rPr>
                <w:sz w:val="20"/>
                <w:szCs w:val="20"/>
                <w:color w:val="auto"/>
              </w:rPr>
            </w:pPr>
            <w:r>
              <w:rPr>
                <w:rFonts w:ascii="Courier New" w:cs="Courier New" w:eastAsia="Courier New" w:hAnsi="Courier New"/>
                <w:sz w:val="16"/>
                <w:szCs w:val="16"/>
                <w:color w:val="auto"/>
              </w:rPr>
              <w:t>-5-</w:t>
            </w:r>
          </w:p>
        </w:tc>
      </w:tr>
    </w:tbl>
    <w:p>
      <w:pPr>
        <w:sectPr>
          <w:pgSz w:w="11900" w:h="16838" w:orient="portrait"/>
          <w:cols w:equalWidth="0" w:num="1">
            <w:col w:w="10219"/>
          </w:cols>
          <w:pgMar w:left="240" w:top="298"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CREDIT AGREEMENT, dated as of February 26, 1998, by and among THE SCOTTS COMPANY, an Ohio corporation (the "Borrower" or "Scotts"), O.M. Scott International Investments Limited, Miracle Garden Care Limited, Scotts Holdings Limited, Hyponex Corporation, Scotts' Miracle-Gro Products, Inc., Scotts-Sierra Horticultural Products Company, Republic Tool &amp; Manufacturing Corp. and the other subsidiaries of the Borrower who are also borrowers from time to time hereunder (the "Subsidiary Borrowers "), the several banks and other financial institutions from time to time parties to this Agreement (the "Lenders"), KEYBANK NATIONAL ASSOCIATION, BANK OF TOKYO-MITSUBISHI TRUST COMPANY and UNION BANK OF CALIFORNIA, N.A., as co-agents (the "Co-Agents"),THE CHASE MANHATTAN BANK, a New York banking corporation ("Chase"), as agent for the Lenders hereunder (in such capacity, the "Administrative Agent"), CREDIT LYONNAIS CHICAGO BRANCH, as Documentation Agent (the "Documentation Agent"), and NBD BANK, as syndication agent (the "Syndication Agent").</w:t>
      </w:r>
    </w:p>
    <w:p>
      <w:pPr>
        <w:spacing w:after="0" w:line="373"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 I T N E S S E T H :</w:t>
      </w:r>
    </w:p>
    <w:p>
      <w:pPr>
        <w:spacing w:after="0" w:line="186" w:lineRule="exact"/>
        <w:rPr>
          <w:sz w:val="20"/>
          <w:szCs w:val="20"/>
          <w:color w:val="auto"/>
        </w:rPr>
      </w:pPr>
    </w:p>
    <w:p>
      <w:pPr>
        <w:ind w:left="1720"/>
        <w:spacing w:after="0"/>
        <w:tabs>
          <w:tab w:leader="none" w:pos="284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DEFINITIONS</w:t>
      </w:r>
    </w:p>
    <w:p>
      <w:pPr>
        <w:spacing w:after="0" w:line="188" w:lineRule="exact"/>
        <w:rPr>
          <w:sz w:val="20"/>
          <w:szCs w:val="20"/>
          <w:color w:val="auto"/>
        </w:rPr>
      </w:pPr>
    </w:p>
    <w:p>
      <w:pPr>
        <w:ind w:right="2879" w:firstLine="1717"/>
        <w:spacing w:after="0" w:line="239" w:lineRule="auto"/>
        <w:rPr>
          <w:sz w:val="20"/>
          <w:szCs w:val="20"/>
          <w:color w:val="auto"/>
        </w:rPr>
      </w:pPr>
      <w:r>
        <w:rPr>
          <w:rFonts w:ascii="Courier New" w:cs="Courier New" w:eastAsia="Courier New" w:hAnsi="Courier New"/>
          <w:sz w:val="16"/>
          <w:szCs w:val="16"/>
          <w:color w:val="auto"/>
        </w:rPr>
        <w:t>1.1 Defined Terms. As used in this Agreement, the following terms have the following meanings:</w:t>
      </w:r>
    </w:p>
    <w:p>
      <w:pPr>
        <w:spacing w:after="0" w:line="189" w:lineRule="exact"/>
        <w:rPr>
          <w:sz w:val="20"/>
          <w:szCs w:val="20"/>
          <w:color w:val="auto"/>
        </w:rPr>
      </w:pPr>
    </w:p>
    <w:p>
      <w:pPr>
        <w:ind w:left="860" w:right="2599" w:firstLine="858"/>
        <w:spacing w:after="0" w:line="259" w:lineRule="auto"/>
        <w:rPr>
          <w:sz w:val="20"/>
          <w:szCs w:val="20"/>
          <w:color w:val="auto"/>
        </w:rPr>
      </w:pPr>
      <w:r>
        <w:rPr>
          <w:rFonts w:ascii="Courier New" w:cs="Courier New" w:eastAsia="Courier New" w:hAnsi="Courier New"/>
          <w:sz w:val="15"/>
          <w:szCs w:val="15"/>
          <w:color w:val="auto"/>
        </w:rPr>
        <w:t>"ABR" shall mean for any day, a rate per annum (rounded upwards, if necessary, to the next 1/16 of 1%) equal to the greatest of</w:t>
      </w:r>
    </w:p>
    <w:p>
      <w:pPr>
        <w:ind w:left="860" w:right="2599" w:hanging="4"/>
        <w:spacing w:after="0" w:line="242" w:lineRule="auto"/>
        <w:tabs>
          <w:tab w:leader="none" w:pos="124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Prime Rate in effect on such day, (b) the Base CD Rate in effect on such day plus 1% and (c) the Federal Funds Effective Rate in effect on such day plus 1/2 of 1%. For purposes hereof: "Prime Rate" shall mean the rate of interest per annum publicly announced from time to time by the Administrative Agent as its prime rate in effect at its principal office in New York City (the Prime Rate not being intended to be the lowest rate of interest charged by Chase in connection with extensions of credit to debtors); "Base CD Rate" shall mean the sum of</w:t>
      </w:r>
    </w:p>
    <w:p>
      <w:pPr>
        <w:spacing w:after="0" w:line="2" w:lineRule="exact"/>
        <w:rPr>
          <w:rFonts w:ascii="Courier New" w:cs="Courier New" w:eastAsia="Courier New" w:hAnsi="Courier New"/>
          <w:sz w:val="16"/>
          <w:szCs w:val="16"/>
          <w:color w:val="auto"/>
        </w:rPr>
      </w:pPr>
    </w:p>
    <w:p>
      <w:pPr>
        <w:ind w:left="1240" w:hanging="384"/>
        <w:spacing w:after="0"/>
        <w:tabs>
          <w:tab w:leader="none" w:pos="12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(i) the Three-Month Secondary CD Rate and (ii) a</w:t>
      </w:r>
    </w:p>
    <w:p>
      <w:pPr>
        <w:spacing w:after="0" w:line="4" w:lineRule="exact"/>
        <w:rPr>
          <w:rFonts w:ascii="Courier New" w:cs="Courier New" w:eastAsia="Courier New" w:hAnsi="Courier New"/>
          <w:sz w:val="16"/>
          <w:szCs w:val="16"/>
          <w:color w:val="auto"/>
        </w:rPr>
      </w:pPr>
    </w:p>
    <w:p>
      <w:pPr>
        <w:ind w:left="860" w:right="259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fraction, the numerator of which is one and the denominator of which is one minus the C/D Reserve Percentage and (b) the C/D Assessment Rate; "Three-Month Secondary CD Rate" shall mean, for any day, the secondary market rate for three month certificates of deposit reported as being in effect on such day (or, if such day shall not be a Business Day, the next preceding Business Day) by the Board of Governors of the Federal Reserve System (the "Board") through the public information telephone line of the Federal Reserve Bank of New York (which rate will, under the current practices of the Board, be published in Federal Reserve Statistical Release H.15(519) during the week following such day), or, if such rate shall not be so reported on such day or such next preceding Business Day, the average of the secondary market quotations for three-month certificates of deposit of major money center banks in New York City received at approximately 10:00 A.M., New</w:t>
      </w:r>
    </w:p>
    <w:p>
      <w:pPr>
        <w:sectPr>
          <w:pgSz w:w="11900" w:h="16838" w:orient="portrait"/>
          <w:cols w:equalWidth="0" w:num="1">
            <w:col w:w="10219"/>
          </w:cols>
          <w:pgMar w:left="240" w:top="29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580" w:right="2599"/>
        <w:spacing w:after="0" w:line="259" w:lineRule="auto"/>
        <w:rPr>
          <w:sz w:val="20"/>
          <w:szCs w:val="20"/>
          <w:color w:val="auto"/>
        </w:rPr>
      </w:pPr>
      <w:r>
        <w:rPr>
          <w:rFonts w:ascii="Courier New" w:cs="Courier New" w:eastAsia="Courier New" w:hAnsi="Courier New"/>
          <w:sz w:val="15"/>
          <w:szCs w:val="15"/>
          <w:color w:val="auto"/>
        </w:rPr>
        <w:t>York City time, on such day (or, if such day shall not be a Business Day, on the next preceding Business Day) by the Administrative Agent from three New York City negotiable certificate of deposit dealers of recognized standing selected by it;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Any change in the ABR due to a change in the Prime Rate, the Three-Month Secondary CD Rate or the Federal Funds Effective Rate shall be effective as of the opening of business on the effective day of such change in the Prime Rate, the Three-Month Secondary CD Rate or the Federal Funds Effective Rate, respectively.</w:t>
      </w:r>
    </w:p>
    <w:p>
      <w:pPr>
        <w:spacing w:after="0" w:line="184"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"ABR Loans" shall mean the Loans at such time as they are made and/or being maintained at a rate of interest based upon the ABR.</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"Affiliate" shall mean (a) any Person (other than a Subsidiary of the Borrower) which, directly or indirectly, controls, is controlled by or is under common control with, the Borrower or (b) any Person who is a director or executive officer of the Borrower, any Subsidiary of the Borrower or any Person described in clause (a) of this definition. For purposes of this definition, "control" of a Person means the power, direct or indirect, to vote 20% or more of the securities having voting power for the election of directors of such Person or otherwise to direct or cause the direction of the management and policies of such Person, whether by contract or otherwise.</w:t>
      </w:r>
    </w:p>
    <w:p>
      <w:pPr>
        <w:spacing w:after="0" w:line="190" w:lineRule="exact"/>
        <w:rPr>
          <w:sz w:val="20"/>
          <w:szCs w:val="20"/>
          <w:color w:val="auto"/>
        </w:rPr>
      </w:pPr>
    </w:p>
    <w:p>
      <w:pPr>
        <w:ind w:left="580" w:right="2679" w:firstLine="858"/>
        <w:spacing w:after="0" w:line="242" w:lineRule="auto"/>
        <w:rPr>
          <w:sz w:val="20"/>
          <w:szCs w:val="20"/>
          <w:color w:val="auto"/>
        </w:rPr>
      </w:pPr>
      <w:r>
        <w:rPr>
          <w:rFonts w:ascii="Courier New" w:cs="Courier New" w:eastAsia="Courier New" w:hAnsi="Courier New"/>
          <w:sz w:val="16"/>
          <w:szCs w:val="16"/>
          <w:color w:val="auto"/>
        </w:rPr>
        <w:t>"Aggregate Outstanding Extensions of Credit" shall mean an amount equal to the sum of (a) the aggregate principal amount of all Revolving Credit Loans (including, without limitation, Swing Line Loans) then outstanding, (b) the aggregate principal amount of all Bid Loans then outstanding and (c) the aggregate amount of all L/C Obligations then outstanding.</w:t>
      </w:r>
    </w:p>
    <w:p>
      <w:pPr>
        <w:spacing w:after="0" w:line="187" w:lineRule="exact"/>
        <w:rPr>
          <w:sz w:val="20"/>
          <w:szCs w:val="20"/>
          <w:color w:val="auto"/>
        </w:rPr>
      </w:pPr>
    </w:p>
    <w:p>
      <w:pPr>
        <w:ind w:left="580" w:right="2679" w:firstLine="858"/>
        <w:spacing w:after="0" w:line="239" w:lineRule="auto"/>
        <w:rPr>
          <w:sz w:val="20"/>
          <w:szCs w:val="20"/>
          <w:color w:val="auto"/>
        </w:rPr>
      </w:pPr>
      <w:r>
        <w:rPr>
          <w:rFonts w:ascii="Courier New" w:cs="Courier New" w:eastAsia="Courier New" w:hAnsi="Courier New"/>
          <w:sz w:val="16"/>
          <w:szCs w:val="16"/>
          <w:color w:val="auto"/>
        </w:rPr>
        <w:t>"Agreement" shall mean this Credit Agreement, as the same may be amended, supplemented or otherwise modified from time to time.</w:t>
      </w:r>
    </w:p>
    <w:p>
      <w:pPr>
        <w:spacing w:after="0" w:line="189"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"Applicable Margin" shall mean, with respect to each day for each Type of Loan, the rate per annum based on the Ratings in effect on such day, as set forth under the relevant column heading below:</w:t>
      </w:r>
    </w:p>
    <w:p>
      <w:pPr>
        <w:spacing w:after="0" w:line="370"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1560" w:type="dxa"/>
            <w:vAlign w:val="bottom"/>
          </w:tcPr>
          <w:p>
            <w:pPr>
              <w:ind w:left="80"/>
              <w:spacing w:after="0"/>
              <w:rPr>
                <w:sz w:val="20"/>
                <w:szCs w:val="20"/>
                <w:color w:val="auto"/>
              </w:rPr>
            </w:pPr>
            <w:r>
              <w:rPr>
                <w:rFonts w:ascii="Courier New" w:cs="Courier New" w:eastAsia="Courier New" w:hAnsi="Courier New"/>
                <w:sz w:val="16"/>
                <w:szCs w:val="16"/>
                <w:color w:val="auto"/>
              </w:rPr>
              <w:t>Rating</w:t>
            </w:r>
          </w:p>
        </w:tc>
        <w:tc>
          <w:tcPr>
            <w:tcW w:w="2480" w:type="dxa"/>
            <w:vAlign w:val="bottom"/>
          </w:tcPr>
          <w:p>
            <w:pPr>
              <w:ind w:left="920"/>
              <w:spacing w:after="0"/>
              <w:rPr>
                <w:sz w:val="20"/>
                <w:szCs w:val="20"/>
                <w:color w:val="auto"/>
              </w:rPr>
            </w:pPr>
            <w:r>
              <w:rPr>
                <w:rFonts w:ascii="Courier New" w:cs="Courier New" w:eastAsia="Courier New" w:hAnsi="Courier New"/>
                <w:sz w:val="16"/>
                <w:szCs w:val="16"/>
                <w:color w:val="auto"/>
              </w:rPr>
              <w:t>LIBOR</w:t>
            </w:r>
          </w:p>
        </w:tc>
        <w:tc>
          <w:tcPr>
            <w:tcW w:w="1680" w:type="dxa"/>
            <w:vAlign w:val="bottom"/>
          </w:tcPr>
          <w:p>
            <w:pPr>
              <w:spacing w:after="0"/>
              <w:rPr>
                <w:sz w:val="15"/>
                <w:szCs w:val="15"/>
                <w:color w:val="auto"/>
              </w:rPr>
            </w:pPr>
          </w:p>
        </w:tc>
      </w:tr>
      <w:tr>
        <w:trPr>
          <w:trHeight w:val="183"/>
        </w:trPr>
        <w:tc>
          <w:tcPr>
            <w:tcW w:w="1560" w:type="dxa"/>
            <w:vAlign w:val="bottom"/>
          </w:tcPr>
          <w:p>
            <w:pPr>
              <w:spacing w:after="0"/>
              <w:rPr>
                <w:sz w:val="20"/>
                <w:szCs w:val="20"/>
                <w:color w:val="auto"/>
              </w:rPr>
            </w:pPr>
            <w:r>
              <w:rPr>
                <w:rFonts w:ascii="Courier New" w:cs="Courier New" w:eastAsia="Courier New" w:hAnsi="Courier New"/>
                <w:sz w:val="16"/>
                <w:szCs w:val="16"/>
                <w:color w:val="auto"/>
              </w:rPr>
              <w:t>Category</w:t>
            </w:r>
          </w:p>
        </w:tc>
        <w:tc>
          <w:tcPr>
            <w:tcW w:w="2480" w:type="dxa"/>
            <w:vAlign w:val="bottom"/>
          </w:tcPr>
          <w:p>
            <w:pPr>
              <w:ind w:left="720"/>
              <w:spacing w:after="0"/>
              <w:rPr>
                <w:sz w:val="20"/>
                <w:szCs w:val="20"/>
                <w:color w:val="auto"/>
              </w:rPr>
            </w:pPr>
            <w:r>
              <w:rPr>
                <w:rFonts w:ascii="Courier New" w:cs="Courier New" w:eastAsia="Courier New" w:hAnsi="Courier New"/>
                <w:sz w:val="16"/>
                <w:szCs w:val="16"/>
                <w:color w:val="auto"/>
              </w:rPr>
              <w:t>Rate Loans</w:t>
            </w:r>
          </w:p>
        </w:tc>
        <w:tc>
          <w:tcPr>
            <w:tcW w:w="1680" w:type="dxa"/>
            <w:vAlign w:val="bottom"/>
          </w:tcPr>
          <w:p>
            <w:pPr>
              <w:ind w:left="820"/>
              <w:spacing w:after="0"/>
              <w:rPr>
                <w:sz w:val="20"/>
                <w:szCs w:val="20"/>
                <w:color w:val="auto"/>
              </w:rPr>
            </w:pPr>
            <w:r>
              <w:rPr>
                <w:rFonts w:ascii="Courier New" w:cs="Courier New" w:eastAsia="Courier New" w:hAnsi="Courier New"/>
                <w:sz w:val="16"/>
                <w:szCs w:val="16"/>
                <w:color w:val="auto"/>
                <w:w w:val="97"/>
              </w:rPr>
              <w:t>ABR Loans</w:t>
            </w:r>
          </w:p>
        </w:tc>
      </w:tr>
      <w:tr>
        <w:trPr>
          <w:trHeight w:val="183"/>
        </w:trPr>
        <w:tc>
          <w:tcPr>
            <w:tcW w:w="15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w:t>
            </w:r>
          </w:p>
        </w:tc>
        <w:tc>
          <w:tcPr>
            <w:tcW w:w="1680" w:type="dxa"/>
            <w:vAlign w:val="bottom"/>
          </w:tcPr>
          <w:p>
            <w:pPr>
              <w:ind w:left="82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1560" w:type="dxa"/>
            <w:vAlign w:val="bottom"/>
          </w:tcPr>
          <w:p>
            <w:pPr>
              <w:spacing w:after="0"/>
              <w:rPr>
                <w:sz w:val="20"/>
                <w:szCs w:val="20"/>
                <w:color w:val="auto"/>
              </w:rPr>
            </w:pPr>
            <w:r>
              <w:rPr>
                <w:rFonts w:ascii="Courier New" w:cs="Courier New" w:eastAsia="Courier New" w:hAnsi="Courier New"/>
                <w:sz w:val="16"/>
                <w:szCs w:val="16"/>
                <w:color w:val="auto"/>
              </w:rPr>
              <w:t>Level I</w:t>
            </w:r>
          </w:p>
        </w:tc>
        <w:tc>
          <w:tcPr>
            <w:tcW w:w="248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.2000%</w:t>
            </w:r>
          </w:p>
        </w:tc>
        <w:tc>
          <w:tcPr>
            <w:tcW w:w="1680" w:type="dxa"/>
            <w:vAlign w:val="bottom"/>
          </w:tcPr>
          <w:p>
            <w:pPr>
              <w:ind w:left="820"/>
              <w:spacing w:after="0"/>
              <w:rPr>
                <w:sz w:val="20"/>
                <w:szCs w:val="20"/>
                <w:color w:val="auto"/>
              </w:rPr>
            </w:pPr>
            <w:r>
              <w:rPr>
                <w:rFonts w:ascii="Courier New" w:cs="Courier New" w:eastAsia="Courier New" w:hAnsi="Courier New"/>
                <w:sz w:val="16"/>
                <w:szCs w:val="16"/>
                <w:color w:val="auto"/>
              </w:rPr>
              <w:t>.0000%</w:t>
            </w:r>
          </w:p>
        </w:tc>
      </w:tr>
      <w:tr>
        <w:trPr>
          <w:trHeight w:val="183"/>
        </w:trPr>
        <w:tc>
          <w:tcPr>
            <w:tcW w:w="1560" w:type="dxa"/>
            <w:vAlign w:val="bottom"/>
          </w:tcPr>
          <w:p>
            <w:pPr>
              <w:spacing w:after="0"/>
              <w:rPr>
                <w:sz w:val="20"/>
                <w:szCs w:val="20"/>
                <w:color w:val="auto"/>
              </w:rPr>
            </w:pPr>
            <w:r>
              <w:rPr>
                <w:rFonts w:ascii="Courier New" w:cs="Courier New" w:eastAsia="Courier New" w:hAnsi="Courier New"/>
                <w:sz w:val="16"/>
                <w:szCs w:val="16"/>
                <w:color w:val="auto"/>
              </w:rPr>
              <w:t>Level II</w:t>
            </w:r>
          </w:p>
        </w:tc>
        <w:tc>
          <w:tcPr>
            <w:tcW w:w="248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.2500%</w:t>
            </w:r>
          </w:p>
        </w:tc>
        <w:tc>
          <w:tcPr>
            <w:tcW w:w="1680" w:type="dxa"/>
            <w:vAlign w:val="bottom"/>
          </w:tcPr>
          <w:p>
            <w:pPr>
              <w:ind w:left="820"/>
              <w:spacing w:after="0"/>
              <w:rPr>
                <w:sz w:val="20"/>
                <w:szCs w:val="20"/>
                <w:color w:val="auto"/>
              </w:rPr>
            </w:pPr>
            <w:r>
              <w:rPr>
                <w:rFonts w:ascii="Courier New" w:cs="Courier New" w:eastAsia="Courier New" w:hAnsi="Courier New"/>
                <w:sz w:val="16"/>
                <w:szCs w:val="16"/>
                <w:color w:val="auto"/>
              </w:rPr>
              <w:t>.0000%</w:t>
            </w:r>
          </w:p>
        </w:tc>
      </w:tr>
      <w:tr>
        <w:trPr>
          <w:trHeight w:val="183"/>
        </w:trPr>
        <w:tc>
          <w:tcPr>
            <w:tcW w:w="1560" w:type="dxa"/>
            <w:vAlign w:val="bottom"/>
          </w:tcPr>
          <w:p>
            <w:pPr>
              <w:spacing w:after="0"/>
              <w:rPr>
                <w:sz w:val="20"/>
                <w:szCs w:val="20"/>
                <w:color w:val="auto"/>
              </w:rPr>
            </w:pPr>
            <w:r>
              <w:rPr>
                <w:rFonts w:ascii="Courier New" w:cs="Courier New" w:eastAsia="Courier New" w:hAnsi="Courier New"/>
                <w:sz w:val="16"/>
                <w:szCs w:val="16"/>
                <w:color w:val="auto"/>
              </w:rPr>
              <w:t>Level III</w:t>
            </w:r>
          </w:p>
        </w:tc>
        <w:tc>
          <w:tcPr>
            <w:tcW w:w="248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7"/>
              </w:rPr>
              <w:t>.3000%</w:t>
            </w:r>
          </w:p>
        </w:tc>
        <w:tc>
          <w:tcPr>
            <w:tcW w:w="1680" w:type="dxa"/>
            <w:vAlign w:val="bottom"/>
          </w:tcPr>
          <w:p>
            <w:pPr>
              <w:ind w:left="820"/>
              <w:spacing w:after="0"/>
              <w:rPr>
                <w:sz w:val="20"/>
                <w:szCs w:val="20"/>
                <w:color w:val="auto"/>
              </w:rPr>
            </w:pPr>
            <w:r>
              <w:rPr>
                <w:rFonts w:ascii="Courier New" w:cs="Courier New" w:eastAsia="Courier New" w:hAnsi="Courier New"/>
                <w:sz w:val="16"/>
                <w:szCs w:val="16"/>
                <w:color w:val="auto"/>
              </w:rPr>
              <w:t>.0000%</w:t>
            </w:r>
          </w:p>
        </w:tc>
      </w:tr>
    </w:tbl>
    <w:p>
      <w:pPr>
        <w:sectPr>
          <w:pgSz w:w="11900" w:h="16838" w:orient="portrait"/>
          <w:cols w:equalWidth="0" w:num="1">
            <w:col w:w="9939"/>
          </w:cols>
          <w:pgMar w:left="520" w:top="29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tbl>
      <w:tblPr>
        <w:tblLayout w:type="fixed"/>
        <w:tblInd w:w="134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Level</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IV</w:t>
            </w:r>
          </w:p>
        </w:tc>
        <w:tc>
          <w:tcPr>
            <w:tcW w:w="23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.4250%</w:t>
            </w:r>
          </w:p>
        </w:tc>
        <w:tc>
          <w:tcPr>
            <w:tcW w:w="1580" w:type="dxa"/>
            <w:vAlign w:val="bottom"/>
          </w:tcPr>
          <w:p>
            <w:pPr>
              <w:ind w:left="900"/>
              <w:spacing w:after="0"/>
              <w:rPr>
                <w:sz w:val="20"/>
                <w:szCs w:val="20"/>
                <w:color w:val="auto"/>
              </w:rPr>
            </w:pPr>
            <w:r>
              <w:rPr>
                <w:rFonts w:ascii="Courier New" w:cs="Courier New" w:eastAsia="Courier New" w:hAnsi="Courier New"/>
                <w:sz w:val="16"/>
                <w:szCs w:val="16"/>
                <w:color w:val="auto"/>
              </w:rPr>
              <w:t>.0000%</w:t>
            </w:r>
          </w:p>
        </w:tc>
      </w:tr>
      <w:tr>
        <w:trPr>
          <w:trHeight w:val="183"/>
        </w:trPr>
        <w:tc>
          <w:tcPr>
            <w:tcW w:w="520" w:type="dxa"/>
            <w:vAlign w:val="bottom"/>
          </w:tcPr>
          <w:p>
            <w:pPr>
              <w:spacing w:after="0"/>
              <w:rPr>
                <w:sz w:val="20"/>
                <w:szCs w:val="20"/>
                <w:color w:val="auto"/>
              </w:rPr>
            </w:pPr>
            <w:r>
              <w:rPr>
                <w:rFonts w:ascii="Courier New" w:cs="Courier New" w:eastAsia="Courier New" w:hAnsi="Courier New"/>
                <w:sz w:val="16"/>
                <w:szCs w:val="16"/>
                <w:color w:val="auto"/>
              </w:rPr>
              <w:t>Level</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V</w:t>
            </w:r>
          </w:p>
        </w:tc>
        <w:tc>
          <w:tcPr>
            <w:tcW w:w="23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.5000%</w:t>
            </w:r>
          </w:p>
        </w:tc>
        <w:tc>
          <w:tcPr>
            <w:tcW w:w="1580" w:type="dxa"/>
            <w:vAlign w:val="bottom"/>
          </w:tcPr>
          <w:p>
            <w:pPr>
              <w:ind w:left="900"/>
              <w:spacing w:after="0"/>
              <w:rPr>
                <w:sz w:val="20"/>
                <w:szCs w:val="20"/>
                <w:color w:val="auto"/>
              </w:rPr>
            </w:pPr>
            <w:r>
              <w:rPr>
                <w:rFonts w:ascii="Courier New" w:cs="Courier New" w:eastAsia="Courier New" w:hAnsi="Courier New"/>
                <w:sz w:val="16"/>
                <w:szCs w:val="16"/>
                <w:color w:val="auto"/>
                <w:w w:val="98"/>
              </w:rPr>
              <w:t>.0000%;</w:t>
            </w:r>
          </w:p>
        </w:tc>
      </w:tr>
    </w:tbl>
    <w:p>
      <w:pPr>
        <w:spacing w:after="0" w:line="188"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provided, however, that the Applicable Margin shall be deemed to be .3000% in respect of LIBOR Rate Loans and .0000% in respect of ABR Loans for the period from and including the Effective Date to and excluding the first date thereafter on which a change in either Rating shall occur.</w:t>
      </w:r>
    </w:p>
    <w:p>
      <w:pPr>
        <w:spacing w:after="0" w:line="190" w:lineRule="exact"/>
        <w:rPr>
          <w:sz w:val="20"/>
          <w:szCs w:val="20"/>
          <w:color w:val="auto"/>
        </w:rPr>
      </w:pPr>
    </w:p>
    <w:p>
      <w:pPr>
        <w:jc w:val="both"/>
        <w:ind w:left="580" w:right="2779" w:firstLine="858"/>
        <w:spacing w:after="0"/>
        <w:rPr>
          <w:sz w:val="20"/>
          <w:szCs w:val="20"/>
          <w:color w:val="auto"/>
        </w:rPr>
      </w:pPr>
      <w:r>
        <w:rPr>
          <w:rFonts w:ascii="Courier New" w:cs="Courier New" w:eastAsia="Courier New" w:hAnsi="Courier New"/>
          <w:sz w:val="16"/>
          <w:szCs w:val="16"/>
          <w:color w:val="auto"/>
        </w:rPr>
        <w:t>"Application" shall mean an application, in such form as the Issuing Lender may specify from time to time, requesting such Issuing Lender to open a Letter of Credit.</w:t>
      </w:r>
    </w:p>
    <w:p>
      <w:pPr>
        <w:spacing w:after="0" w:line="190" w:lineRule="exact"/>
        <w:rPr>
          <w:sz w:val="20"/>
          <w:szCs w:val="20"/>
          <w:color w:val="auto"/>
        </w:rPr>
      </w:pPr>
    </w:p>
    <w:p>
      <w:pPr>
        <w:ind w:left="580" w:right="3159" w:firstLine="858"/>
        <w:spacing w:after="0" w:line="239" w:lineRule="auto"/>
        <w:rPr>
          <w:sz w:val="20"/>
          <w:szCs w:val="20"/>
          <w:color w:val="auto"/>
        </w:rPr>
      </w:pPr>
      <w:r>
        <w:rPr>
          <w:rFonts w:ascii="Courier New" w:cs="Courier New" w:eastAsia="Courier New" w:hAnsi="Courier New"/>
          <w:sz w:val="16"/>
          <w:szCs w:val="16"/>
          <w:color w:val="auto"/>
        </w:rPr>
        <w:t>"Assignment and Acceptance" shall mean an Assignment and Acceptance, substantially in the form of Exhibit A hereto.</w:t>
      </w:r>
    </w:p>
    <w:p>
      <w:pPr>
        <w:spacing w:after="0" w:line="189" w:lineRule="exact"/>
        <w:rPr>
          <w:sz w:val="20"/>
          <w:szCs w:val="20"/>
          <w:color w:val="auto"/>
        </w:rPr>
      </w:pPr>
    </w:p>
    <w:p>
      <w:pPr>
        <w:ind w:left="580" w:right="2779" w:firstLine="858"/>
        <w:spacing w:after="0" w:line="242" w:lineRule="auto"/>
        <w:rPr>
          <w:sz w:val="20"/>
          <w:szCs w:val="20"/>
          <w:color w:val="auto"/>
        </w:rPr>
      </w:pPr>
      <w:r>
        <w:rPr>
          <w:rFonts w:ascii="Courier New" w:cs="Courier New" w:eastAsia="Courier New" w:hAnsi="Courier New"/>
          <w:sz w:val="16"/>
          <w:szCs w:val="16"/>
          <w:color w:val="auto"/>
        </w:rPr>
        <w:t>"Available Commitment" shall mean, as to any Lender at any time, the amount equal to the excess, if any, of (a) such Lender's Revolving Credit Commitment over (b) the sum of (i) the Revolving Credit Loans made by such Lender (including, without limitation, such Lender's Commitment Percentage of the then outstanding Swing Line Loans) then outstanding, (ii) such Lender's Commitment Percentage of the then outstanding Bid Loans and (iii) such Lender's Commitment Percentage of the L/C Obligations then outstanding.</w:t>
      </w:r>
    </w:p>
    <w:p>
      <w:pPr>
        <w:spacing w:after="0" w:line="189" w:lineRule="exact"/>
        <w:rPr>
          <w:sz w:val="20"/>
          <w:szCs w:val="20"/>
          <w:color w:val="auto"/>
        </w:rPr>
      </w:pPr>
    </w:p>
    <w:p>
      <w:pPr>
        <w:ind w:left="580" w:right="3259" w:firstLine="858"/>
        <w:spacing w:after="0" w:line="239" w:lineRule="auto"/>
        <w:rPr>
          <w:sz w:val="20"/>
          <w:szCs w:val="20"/>
          <w:color w:val="auto"/>
        </w:rPr>
      </w:pPr>
      <w:r>
        <w:rPr>
          <w:rFonts w:ascii="Courier New" w:cs="Courier New" w:eastAsia="Courier New" w:hAnsi="Courier New"/>
          <w:sz w:val="16"/>
          <w:szCs w:val="16"/>
          <w:color w:val="auto"/>
        </w:rPr>
        <w:t>"Bid Loan" shall mean each advance made to the Borrower pursuant to subsection 2.5.</w:t>
      </w:r>
    </w:p>
    <w:p>
      <w:pPr>
        <w:spacing w:after="0" w:line="189" w:lineRule="exact"/>
        <w:rPr>
          <w:sz w:val="20"/>
          <w:szCs w:val="20"/>
          <w:color w:val="auto"/>
        </w:rPr>
      </w:pPr>
    </w:p>
    <w:p>
      <w:pPr>
        <w:ind w:left="580" w:right="2599" w:firstLine="858"/>
        <w:spacing w:after="0" w:line="265" w:lineRule="auto"/>
        <w:rPr>
          <w:sz w:val="20"/>
          <w:szCs w:val="20"/>
          <w:color w:val="auto"/>
        </w:rPr>
      </w:pPr>
      <w:r>
        <w:rPr>
          <w:rFonts w:ascii="Courier New" w:cs="Courier New" w:eastAsia="Courier New" w:hAnsi="Courier New"/>
          <w:sz w:val="15"/>
          <w:szCs w:val="15"/>
          <w:color w:val="auto"/>
        </w:rPr>
        <w:t>"Bid Loan Confirmation" shall mean a bid loan confirmation, substantially in the form of Exhibit B, to be delivered by the Borrower to the Administrative Agent in accordance with subsection 2.5(b)(iv).</w:t>
      </w:r>
    </w:p>
    <w:p>
      <w:pPr>
        <w:spacing w:after="0" w:line="171"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"Bid Loan Request" shall mean a bid loan request, substantially in the form of Exhibit C, to be delivered by the Borrower to the Administrative Agent in accordance with subsection 2.5(b)(i) in writing, by facsimile transmission, or by telephone immediately confirmed by facsimile transmission.</w:t>
      </w:r>
    </w:p>
    <w:p>
      <w:pPr>
        <w:spacing w:after="0" w:line="190" w:lineRule="exact"/>
        <w:rPr>
          <w:sz w:val="20"/>
          <w:szCs w:val="20"/>
          <w:color w:val="auto"/>
        </w:rPr>
      </w:pPr>
    </w:p>
    <w:p>
      <w:pPr>
        <w:ind w:left="580" w:right="2979" w:firstLine="858"/>
        <w:spacing w:after="0" w:line="239" w:lineRule="auto"/>
        <w:rPr>
          <w:sz w:val="20"/>
          <w:szCs w:val="20"/>
          <w:color w:val="auto"/>
        </w:rPr>
      </w:pPr>
      <w:r>
        <w:rPr>
          <w:rFonts w:ascii="Courier New" w:cs="Courier New" w:eastAsia="Courier New" w:hAnsi="Courier New"/>
          <w:sz w:val="16"/>
          <w:szCs w:val="16"/>
          <w:color w:val="auto"/>
        </w:rPr>
        <w:t>"Bid Note" shall have the meaning assigned to such term in subsection 2.6(e).</w:t>
      </w:r>
    </w:p>
    <w:p>
      <w:pPr>
        <w:spacing w:after="0" w:line="189" w:lineRule="exact"/>
        <w:rPr>
          <w:sz w:val="20"/>
          <w:szCs w:val="20"/>
          <w:color w:val="auto"/>
        </w:rPr>
      </w:pPr>
    </w:p>
    <w:p>
      <w:pPr>
        <w:ind w:left="580" w:right="2779" w:firstLine="858"/>
        <w:spacing w:after="0" w:line="241" w:lineRule="auto"/>
        <w:rPr>
          <w:sz w:val="20"/>
          <w:szCs w:val="20"/>
          <w:color w:val="auto"/>
        </w:rPr>
      </w:pPr>
      <w:r>
        <w:rPr>
          <w:rFonts w:ascii="Courier New" w:cs="Courier New" w:eastAsia="Courier New" w:hAnsi="Courier New"/>
          <w:sz w:val="16"/>
          <w:szCs w:val="16"/>
          <w:color w:val="auto"/>
        </w:rPr>
        <w:t>"Bid Quote" shall mean a bid quote substantially in the form of Exhibit D, to be delivered by a Lender to the Administrative Agent in accordance with subsection 2.5(b)(ii) in writing, by facsimile transmission, or by telephone immediately confirmed by facsimile transmission.</w:t>
      </w:r>
    </w:p>
    <w:p>
      <w:pPr>
        <w:spacing w:after="0" w:line="190"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"Borrowing Date" shall mean, as to any Lender, any Business Day specified in a notice transmitted pursuant to subsection 2.2 or 2.3 as a date on which such Lender has been requested by the Borrower to make Loans hereunder.</w:t>
      </w:r>
    </w:p>
    <w:p>
      <w:pPr>
        <w:sectPr>
          <w:pgSz w:w="11900" w:h="16838" w:orient="portrait"/>
          <w:cols w:equalWidth="0" w:num="1">
            <w:col w:w="9939"/>
          </w:cols>
          <w:pgMar w:left="520" w:top="29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"Business Day" shall mean a day other than a Saturday, Sunday or other day on which commercial banks in New York City are authorized or required by law to close; provided, however, that when used to describe the date of any borrowing of, or any payment or interest rate determination in respect of, a LIBOR Loan or a LIBOR Bid Loan, the term "Business Day" shall also exclude any day on which commercial banks are not open for dealings in deposits in the relevant currency in the London Interbank Market.</w:t>
      </w:r>
    </w:p>
    <w:p>
      <w:pPr>
        <w:spacing w:after="0" w:line="189"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90" w:lineRule="exact"/>
        <w:rPr>
          <w:sz w:val="20"/>
          <w:szCs w:val="20"/>
          <w:color w:val="auto"/>
        </w:rPr>
      </w:pPr>
    </w:p>
    <w:p>
      <w:pPr>
        <w:ind w:left="580" w:right="2599" w:firstLine="858"/>
        <w:spacing w:after="0" w:line="260" w:lineRule="auto"/>
        <w:rPr>
          <w:sz w:val="20"/>
          <w:szCs w:val="20"/>
          <w:color w:val="auto"/>
        </w:rPr>
      </w:pPr>
      <w:r>
        <w:rPr>
          <w:rFonts w:ascii="Courier New" w:cs="Courier New" w:eastAsia="Courier New" w:hAnsi="Courier New"/>
          <w:sz w:val="15"/>
          <w:szCs w:val="15"/>
          <w:color w:val="auto"/>
        </w:rPr>
        <w:t>"Cash Equivalents" shall mean (a) securities with maturities of one year or less from the date of acquisition issued or fully guaranteed or insured by the United States Government or any agency thereof, (b) certificates of deposit, eurodollar time deposits, overnight bank deposits, and bankers acceptances, each with maturities of one year or less from the date of the acquisition thereof, of any Lender or any other commercial bank having capital and surplus in excess of $300,000,000, and (c) commercial paper of the Lenders or any of their affiliates or of a domestic issuer rated at least A-1 by Standard &amp; Poor's Corporation or P-1 by Moody's Investors Service, Inc.</w:t>
      </w:r>
    </w:p>
    <w:p>
      <w:pPr>
        <w:spacing w:after="0" w:line="177"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"C/D Assessment Rate" shall mean, for any day as applied to any ABR Loan, the annual assessment rate in effect on such day which is payable by a member of the Bank Insurance Fund maintained by the Federal Deposit Insurance Corporation (the "FDIC") classified as well-capitalized and within supervisory subgroup "B" (or a comparable successor assessment risk classification) within the meaning of 12 C.F.R. ' 327.3(d) (or any successor provision) to the FDIC (or any successor) for the FDIC's (or such successor's) insuring time deposits at offices of such institution in the United States.</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"C/D Reserve Percentage" shall mean, for any day as applied to any ABR Loan, that percentage (expressed as a decimal) which is in effect on such day, as prescribed by the Board of Governors of the Federal Reserve System (or any successor) (the "Board"), for determining the maximum reserve requirement for a Depositary Institution (as defined in Regulation D of the Board) in respect of new non-personal time deposits in Dollars having a maturity of 30 days or more.</w:t>
      </w:r>
    </w:p>
    <w:p>
      <w:pPr>
        <w:spacing w:after="0" w:line="189" w:lineRule="exact"/>
        <w:rPr>
          <w:sz w:val="20"/>
          <w:szCs w:val="20"/>
          <w:color w:val="auto"/>
        </w:rPr>
      </w:pPr>
    </w:p>
    <w:p>
      <w:pPr>
        <w:ind w:left="580" w:right="3259" w:firstLine="858"/>
        <w:spacing w:after="0" w:line="239" w:lineRule="auto"/>
        <w:rPr>
          <w:sz w:val="20"/>
          <w:szCs w:val="20"/>
          <w:color w:val="auto"/>
        </w:rPr>
      </w:pPr>
      <w:r>
        <w:rPr>
          <w:rFonts w:ascii="Courier New" w:cs="Courier New" w:eastAsia="Courier New" w:hAnsi="Courier New"/>
          <w:sz w:val="16"/>
          <w:szCs w:val="16"/>
          <w:color w:val="auto"/>
        </w:rPr>
        <w:t>"Code" shall mean the Internal Revenue Code of 1986, as amended from time to time.</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"Commitment Percentage" shall mean, as to any Lender at any time, the percentage set forth opposite such Lender's name on Schedule I hereto (or at any time after the Revolving Credit Commitments shall have expired or terminated, the percentage which the aggregate principal amount of such Lender's Loans then outstanding constitutes of the aggregate principal amount of the Loans then outstanding).</w:t>
      </w:r>
    </w:p>
    <w:p>
      <w:pPr>
        <w:sectPr>
          <w:pgSz w:w="11900" w:h="16838" w:orient="portrait"/>
          <w:cols w:equalWidth="0" w:num="1">
            <w:col w:w="9939"/>
          </w:cols>
          <w:pgMar w:left="520" w:top="29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w:t>
      </w:r>
    </w:p>
    <w:p>
      <w:pPr>
        <w:spacing w:after="0" w:line="372"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"Commonly Controlled Entity" shall mean an entity, whether or not incorporated, which is under common control with the Borrower within the meaning of Section 4001 of ERISA.</w:t>
      </w:r>
    </w:p>
    <w:p>
      <w:pPr>
        <w:spacing w:after="0" w:line="190" w:lineRule="exact"/>
        <w:rPr>
          <w:sz w:val="20"/>
          <w:szCs w:val="20"/>
          <w:color w:val="auto"/>
        </w:rPr>
      </w:pPr>
    </w:p>
    <w:p>
      <w:pPr>
        <w:ind w:left="580" w:right="2679" w:firstLine="858"/>
        <w:spacing w:after="0" w:line="265" w:lineRule="auto"/>
        <w:rPr>
          <w:sz w:val="20"/>
          <w:szCs w:val="20"/>
          <w:color w:val="auto"/>
        </w:rPr>
      </w:pPr>
      <w:r>
        <w:rPr>
          <w:rFonts w:ascii="Courier New" w:cs="Courier New" w:eastAsia="Courier New" w:hAnsi="Courier New"/>
          <w:sz w:val="15"/>
          <w:szCs w:val="15"/>
          <w:color w:val="auto"/>
        </w:rPr>
        <w:t>"Consolidated Interest Expense" shall mean, for any period of determination thereof, the interest expense of the Borrower and its Subsidiaries for such period, as determined in accordance with GAAP.</w:t>
      </w:r>
    </w:p>
    <w:p>
      <w:pPr>
        <w:spacing w:after="0" w:line="171"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"Consolidated Net Income" shall mean, for any period of determination thereof, net income of the Borrower and its Subsidiaries for such period, as determined in accordance with GAAP.</w:t>
      </w:r>
    </w:p>
    <w:p>
      <w:pPr>
        <w:spacing w:after="0" w:line="190"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"Consolidated Net Worth"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190" w:lineRule="exact"/>
        <w:rPr>
          <w:sz w:val="20"/>
          <w:szCs w:val="20"/>
          <w:color w:val="auto"/>
        </w:rPr>
      </w:pPr>
    </w:p>
    <w:p>
      <w:pPr>
        <w:ind w:left="580" w:right="2599" w:firstLine="858"/>
        <w:spacing w:after="0" w:line="259" w:lineRule="auto"/>
        <w:rPr>
          <w:sz w:val="20"/>
          <w:szCs w:val="20"/>
          <w:color w:val="auto"/>
        </w:rPr>
      </w:pPr>
      <w:r>
        <w:rPr>
          <w:rFonts w:ascii="Courier New" w:cs="Courier New" w:eastAsia="Courier New" w:hAnsi="Courier New"/>
          <w:sz w:val="15"/>
          <w:szCs w:val="15"/>
          <w:color w:val="auto"/>
        </w:rPr>
        <w:t>"Contingent Obligation" shall mean as to any Person, the outstanding amount of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 (d) otherwise to assure or hold harmless the obligee under such primary obligation against loss in respect thereof; provided, however, that the term Contingent Obligation shall not include endorsements of instruments for deposit or collection in the ordinary course of business.</w:t>
      </w:r>
    </w:p>
    <w:p>
      <w:pPr>
        <w:spacing w:after="0" w:line="368"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"Contractual Obligation" shall mean, as to any Person, any material provision of any material security issued by such Person or of any material agreement, instrument or undertaking to which such Person is a party or by which it or any of its property is bound.</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"CSI" shall mean Chase Securities Inc.</w:t>
      </w:r>
    </w:p>
    <w:p>
      <w:pPr>
        <w:spacing w:after="0" w:line="188"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"Default" shall mean any of the events specified in Section 8, whether or not any requirement for the giving of notice, the lapse of time, or both, or any other condition, has been satisfied.</w:t>
      </w:r>
    </w:p>
    <w:p>
      <w:pPr>
        <w:sectPr>
          <w:pgSz w:w="11900" w:h="16838" w:orient="portrait"/>
          <w:cols w:equalWidth="0" w:num="1">
            <w:col w:w="9939"/>
          </w:cols>
          <w:pgMar w:left="520" w:top="29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11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w:t>
      </w:r>
    </w:p>
    <w:p>
      <w:pPr>
        <w:spacing w:after="0" w:line="372" w:lineRule="exact"/>
        <w:rPr>
          <w:sz w:val="20"/>
          <w:szCs w:val="20"/>
          <w:color w:val="auto"/>
        </w:rPr>
      </w:pPr>
    </w:p>
    <w:p>
      <w:pPr>
        <w:ind w:left="580" w:right="2599" w:firstLine="858"/>
        <w:spacing w:after="0" w:line="260" w:lineRule="auto"/>
        <w:rPr>
          <w:sz w:val="20"/>
          <w:szCs w:val="20"/>
          <w:color w:val="auto"/>
        </w:rPr>
      </w:pPr>
      <w:r>
        <w:rPr>
          <w:rFonts w:ascii="Courier New" w:cs="Courier New" w:eastAsia="Courier New" w:hAnsi="Courier New"/>
          <w:sz w:val="15"/>
          <w:szCs w:val="15"/>
          <w:color w:val="auto"/>
        </w:rPr>
        <w:t>"Dollar Equivalent" shall mean, on any Business Day with respect to any amount denominated in any Optional Currency, the amount of Dollars that would be required to purchase the amount of such Optional Currency of such Revolving Credit Loan on the day two Business Days prior to such Business Day for settlement on such Business Day, based upon the spot selling rate at which Chase London offers to sell each for Dollars in the London foreign exchange market at approximately 11:00 a.m. London time for delivery two Business Days later.</w:t>
      </w:r>
    </w:p>
    <w:p>
      <w:pPr>
        <w:spacing w:after="0" w:line="178"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"Dollars" and "$" shall mean dollars in lawful currency of the United States of America.</w:t>
      </w:r>
    </w:p>
    <w:p>
      <w:pPr>
        <w:spacing w:after="0" w:line="189" w:lineRule="exact"/>
        <w:rPr>
          <w:sz w:val="20"/>
          <w:szCs w:val="20"/>
          <w:color w:val="auto"/>
        </w:rPr>
      </w:pPr>
    </w:p>
    <w:p>
      <w:pPr>
        <w:ind w:left="580" w:right="2779" w:firstLine="858"/>
        <w:spacing w:after="0"/>
        <w:rPr>
          <w:sz w:val="20"/>
          <w:szCs w:val="20"/>
          <w:color w:val="auto"/>
        </w:rPr>
      </w:pPr>
      <w:r>
        <w:rPr>
          <w:rFonts w:ascii="Courier New" w:cs="Courier New" w:eastAsia="Courier New" w:hAnsi="Courier New"/>
          <w:sz w:val="16"/>
          <w:szCs w:val="16"/>
          <w:color w:val="auto"/>
        </w:rPr>
        <w:t>"Domestic Subsidiary" shall mean any Subsidiary incorporated under the laws of the United States or any political subdivision thereof.</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"Dow Jones Markets Page" shall mean the "British Bankers Assoc. Interest Settlement Rates Page" display designated at Page 3750 (or such other page on which any Optional Currency then appears) on the Dow Jones Markets Service (or such other page as may replace such page on such service for the purpose of displaying the rates at which Dollar deposits or deposits in any Optional Currency are offered by leading banks in the London (or, in the case of Sterling, Paris) interbank deposit market).</w:t>
      </w:r>
    </w:p>
    <w:p>
      <w:pPr>
        <w:spacing w:after="0" w:line="189" w:lineRule="exact"/>
        <w:rPr>
          <w:sz w:val="20"/>
          <w:szCs w:val="20"/>
          <w:color w:val="auto"/>
        </w:rPr>
      </w:pPr>
    </w:p>
    <w:p>
      <w:pPr>
        <w:ind w:left="580" w:right="3059" w:firstLine="858"/>
        <w:spacing w:after="0" w:line="259" w:lineRule="auto"/>
        <w:rPr>
          <w:sz w:val="20"/>
          <w:szCs w:val="20"/>
          <w:color w:val="auto"/>
        </w:rPr>
      </w:pPr>
      <w:r>
        <w:rPr>
          <w:rFonts w:ascii="Courier New" w:cs="Courier New" w:eastAsia="Courier New" w:hAnsi="Courier New"/>
          <w:sz w:val="15"/>
          <w:szCs w:val="15"/>
          <w:color w:val="auto"/>
        </w:rPr>
        <w:t>"EBITDA" shall mean without duplication, for any fiscal period, the sum of the amounts for such fiscal period of (i) Consolidated Net Income, (ii) provision for taxes based on income,</w:t>
      </w:r>
    </w:p>
    <w:p>
      <w:pPr>
        <w:ind w:left="580" w:right="2779" w:hanging="4"/>
        <w:spacing w:after="0" w:line="242" w:lineRule="auto"/>
        <w:tabs>
          <w:tab w:leader="none" w:pos="11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expense, (iv) Consolidated Interest Expense, (v) amortization expense and (vi)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187" w:lineRule="exact"/>
        <w:rPr>
          <w:sz w:val="20"/>
          <w:szCs w:val="20"/>
          <w:color w:val="auto"/>
        </w:rPr>
      </w:pPr>
    </w:p>
    <w:p>
      <w:pPr>
        <w:ind w:left="580" w:right="2979" w:firstLine="858"/>
        <w:spacing w:after="0" w:line="241" w:lineRule="auto"/>
        <w:rPr>
          <w:sz w:val="20"/>
          <w:szCs w:val="20"/>
          <w:color w:val="auto"/>
        </w:rPr>
      </w:pPr>
      <w:r>
        <w:rPr>
          <w:rFonts w:ascii="Courier New" w:cs="Courier New" w:eastAsia="Courier New" w:hAnsi="Courier New"/>
          <w:sz w:val="16"/>
          <w:szCs w:val="16"/>
          <w:color w:val="auto"/>
        </w:rPr>
        <w:t>"Effective Date" shall mean the date upon which all of the conditions precedent to the effectiveness of this Credit Agreement contained in subsection 5.1 are satisfied or waived by the Administrative Agent and each of the Lenders.</w:t>
      </w:r>
    </w:p>
    <w:p>
      <w:pPr>
        <w:spacing w:after="0" w:line="189"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"Effective Interbank Rate" shall have the meaning specified in subsection 2.15(b).</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"Eligible U.K. Bank" shall mean a Person that is both (i) a bank as defined in Section 840A of the United Kingdom Incorporation and Corporation Taxes Act 1988, and (ii) a Person within the charge to United Kingdom corporation tax (i.e., a United Kingdom resident company or a non-resident company which is carrying on a trade in the United Kingdom through a branch or agency to which the beneficial interest in interest accrued under Revolving Credit Loans made to the Borrower or a Subsidiary Borrower is attributable, when such Borrower or Subsidiary Borrower is resident for taxation purposes in the United Kingdom, pursuant to the last two sentences of subsection 2.1 hereof).</w:t>
      </w:r>
    </w:p>
    <w:p>
      <w:pPr>
        <w:sectPr>
          <w:pgSz w:w="11900" w:h="16838" w:orient="portrait"/>
          <w:cols w:equalWidth="0" w:num="1">
            <w:col w:w="9939"/>
          </w:cols>
          <w:pgMar w:left="520" w:top="298"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372" w:lineRule="exact"/>
        <w:rPr>
          <w:sz w:val="20"/>
          <w:szCs w:val="20"/>
          <w:color w:val="auto"/>
        </w:rPr>
      </w:pPr>
    </w:p>
    <w:p>
      <w:pPr>
        <w:ind w:left="580" w:right="2679" w:firstLine="858"/>
        <w:spacing w:after="0" w:line="239" w:lineRule="auto"/>
        <w:rPr>
          <w:sz w:val="20"/>
          <w:szCs w:val="20"/>
          <w:color w:val="auto"/>
        </w:rPr>
      </w:pPr>
      <w:r>
        <w:rPr>
          <w:rFonts w:ascii="Courier New" w:cs="Courier New" w:eastAsia="Courier New" w:hAnsi="Courier New"/>
          <w:sz w:val="16"/>
          <w:szCs w:val="16"/>
          <w:color w:val="auto"/>
        </w:rPr>
        <w:t>"Engagement Letter" shall mean the letter, dated November 12, 1997, from the Administrative Agent and CSI to the Borrower.</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"Environmental Laws" shall mean any and all foreign, Federal, state, local or municipal laws, rules, orders, regulations, statutes, ordinances, codes, decrees,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188"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from time to time.</w:t>
      </w:r>
    </w:p>
    <w:p>
      <w:pPr>
        <w:spacing w:after="0" w:line="189" w:lineRule="exact"/>
        <w:rPr>
          <w:sz w:val="20"/>
          <w:szCs w:val="20"/>
          <w:color w:val="auto"/>
        </w:rPr>
      </w:pPr>
    </w:p>
    <w:p>
      <w:pPr>
        <w:ind w:left="580" w:right="2679" w:firstLine="858"/>
        <w:spacing w:after="0" w:line="265" w:lineRule="auto"/>
        <w:rPr>
          <w:sz w:val="20"/>
          <w:szCs w:val="20"/>
          <w:color w:val="auto"/>
        </w:rPr>
      </w:pPr>
      <w:r>
        <w:rPr>
          <w:rFonts w:ascii="Courier New" w:cs="Courier New" w:eastAsia="Courier New" w:hAnsi="Courier New"/>
          <w:sz w:val="15"/>
          <w:szCs w:val="15"/>
          <w:color w:val="auto"/>
        </w:rPr>
        <w:t>"Event of Default" shall mean any of the events specified in Section 8, provided that any requirement for the giving of notice, the lapse of time, or both, or any other condition, has been satisfied.</w:t>
      </w:r>
    </w:p>
    <w:p>
      <w:pPr>
        <w:spacing w:after="0" w:line="171"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"Existing Lenders" shall mean those Lenders under the Existing Credit Agreement.</w:t>
      </w:r>
    </w:p>
    <w:p>
      <w:pPr>
        <w:spacing w:after="0" w:line="189"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"Existing Credit Agreement" shall mean the Fourth Amended and Restated Credit Agreement dated as of March 17, 1995, as amended, among the Borrower, the subsidiary borrowers and the lenders, parties thereto, and Chase, as administrative agent.</w:t>
      </w:r>
    </w:p>
    <w:p>
      <w:pPr>
        <w:spacing w:after="0" w:line="189" w:lineRule="exact"/>
        <w:rPr>
          <w:sz w:val="20"/>
          <w:szCs w:val="20"/>
          <w:color w:val="auto"/>
        </w:rPr>
      </w:pPr>
    </w:p>
    <w:p>
      <w:pPr>
        <w:ind w:left="580" w:right="2879" w:firstLine="858"/>
        <w:spacing w:after="0" w:line="263" w:lineRule="auto"/>
        <w:rPr>
          <w:sz w:val="20"/>
          <w:szCs w:val="20"/>
          <w:color w:val="auto"/>
        </w:rPr>
      </w:pPr>
      <w:r>
        <w:rPr>
          <w:rFonts w:ascii="Courier New" w:cs="Courier New" w:eastAsia="Courier New" w:hAnsi="Courier New"/>
          <w:sz w:val="15"/>
          <w:szCs w:val="15"/>
          <w:color w:val="auto"/>
        </w:rPr>
        <w:t>"Extension of Credit" shall mean (i) all Loans or advances made to the Borrower and the Subsidiary Borrowers hereunder and (ii) all Letters of Credit issued for the account of the Borrower and the Subsidiary Borrowers and any unreimbursed drawings hereunder.</w:t>
      </w:r>
    </w:p>
    <w:p>
      <w:pPr>
        <w:spacing w:after="0" w:line="172"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"Facility Fee Rate" shall mean, for each day during each calculation period, a rate per annum based on the Ratings in effect on such day, as set forth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Rating</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Facility</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Category</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Fee Rate</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Level I</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Level II</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Level III</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Level IV</w:t>
            </w:r>
          </w:p>
        </w:tc>
        <w:tc>
          <w:tcPr>
            <w:tcW w:w="2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Level V</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.3750%;</w:t>
            </w:r>
          </w:p>
        </w:tc>
      </w:tr>
    </w:tbl>
    <w:p>
      <w:pPr>
        <w:spacing w:after="0" w:line="188"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provided, however, that the Facility Fee Rate shall be deemed to be .1500% for the period from and including the Effective Date to and excluding the first date thereafter on which a change in either Rating shall occur.</w:t>
      </w:r>
    </w:p>
    <w:p>
      <w:pPr>
        <w:sectPr>
          <w:pgSz w:w="11900" w:h="16838" w:orient="portrait"/>
          <w:cols w:equalWidth="0" w:num="1">
            <w:col w:w="9939"/>
          </w:cols>
          <w:pgMar w:left="520" w:top="29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13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w:t>
      </w:r>
    </w:p>
    <w:p>
      <w:pPr>
        <w:spacing w:after="0" w:line="372" w:lineRule="exact"/>
        <w:rPr>
          <w:sz w:val="20"/>
          <w:szCs w:val="20"/>
          <w:color w:val="auto"/>
        </w:rPr>
      </w:pPr>
    </w:p>
    <w:p>
      <w:pPr>
        <w:ind w:left="580" w:right="2679" w:firstLine="858"/>
        <w:spacing w:after="0" w:line="271" w:lineRule="auto"/>
        <w:rPr>
          <w:sz w:val="20"/>
          <w:szCs w:val="20"/>
          <w:color w:val="auto"/>
        </w:rPr>
      </w:pPr>
      <w:r>
        <w:rPr>
          <w:rFonts w:ascii="Courier New" w:cs="Courier New" w:eastAsia="Courier New" w:hAnsi="Courier New"/>
          <w:sz w:val="15"/>
          <w:szCs w:val="15"/>
          <w:color w:val="auto"/>
        </w:rPr>
        <w:t>"Fixed Rate Bid Loan" shall mean any Bid Loan in Dollars made at a fixed rate (as opposed to a rate based upon the LIBOR Rate).</w:t>
      </w:r>
    </w:p>
    <w:p>
      <w:pPr>
        <w:spacing w:after="0" w:line="166" w:lineRule="exact"/>
        <w:rPr>
          <w:sz w:val="20"/>
          <w:szCs w:val="20"/>
          <w:color w:val="auto"/>
        </w:rPr>
      </w:pPr>
    </w:p>
    <w:p>
      <w:pPr>
        <w:ind w:left="580" w:right="2679" w:firstLine="858"/>
        <w:spacing w:after="0" w:line="239" w:lineRule="auto"/>
        <w:rPr>
          <w:sz w:val="20"/>
          <w:szCs w:val="20"/>
          <w:color w:val="auto"/>
        </w:rPr>
      </w:pPr>
      <w:r>
        <w:rPr>
          <w:rFonts w:ascii="Courier New" w:cs="Courier New" w:eastAsia="Courier New" w:hAnsi="Courier New"/>
          <w:sz w:val="16"/>
          <w:szCs w:val="16"/>
          <w:color w:val="auto"/>
        </w:rPr>
        <w:t>"Fixed Rate Bid Loan Request" shall mean any Bid Loan Request requesting the Lenders to offer to make Fixed Rate Bid Loans.</w:t>
      </w:r>
    </w:p>
    <w:p>
      <w:pPr>
        <w:spacing w:after="0" w:line="189"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"Foreign Subsidiary" shall mean any Subsidiary of the Borrower which is organized under the laws of any jurisdiction outside of the United States of America.</w:t>
      </w:r>
    </w:p>
    <w:p>
      <w:pPr>
        <w:spacing w:after="0" w:line="190" w:lineRule="exact"/>
        <w:rPr>
          <w:sz w:val="20"/>
          <w:szCs w:val="20"/>
          <w:color w:val="auto"/>
        </w:rPr>
      </w:pPr>
    </w:p>
    <w:p>
      <w:pPr>
        <w:ind w:left="580" w:right="2779" w:firstLine="858"/>
        <w:spacing w:after="0" w:line="271" w:lineRule="auto"/>
        <w:rPr>
          <w:sz w:val="20"/>
          <w:szCs w:val="20"/>
          <w:color w:val="auto"/>
        </w:rPr>
      </w:pPr>
      <w:r>
        <w:rPr>
          <w:rFonts w:ascii="Courier New" w:cs="Courier New" w:eastAsia="Courier New" w:hAnsi="Courier New"/>
          <w:sz w:val="15"/>
          <w:szCs w:val="15"/>
          <w:color w:val="auto"/>
        </w:rPr>
        <w:t>"Foreign Subsidiary Borrower" shall mean any Foreign Subsidiary designated by the Borrower pursuant to subsection 10.1(b).</w:t>
      </w:r>
    </w:p>
    <w:p>
      <w:pPr>
        <w:spacing w:after="0" w:line="166" w:lineRule="exact"/>
        <w:rPr>
          <w:sz w:val="20"/>
          <w:szCs w:val="20"/>
          <w:color w:val="auto"/>
        </w:rPr>
      </w:pPr>
    </w:p>
    <w:p>
      <w:pPr>
        <w:ind w:left="580" w:right="2599" w:firstLine="858"/>
        <w:spacing w:after="0" w:line="261" w:lineRule="auto"/>
        <w:rPr>
          <w:sz w:val="20"/>
          <w:szCs w:val="20"/>
          <w:color w:val="auto"/>
        </w:rPr>
      </w:pPr>
      <w:r>
        <w:rPr>
          <w:rFonts w:ascii="Courier New" w:cs="Courier New" w:eastAsia="Courier New" w:hAnsi="Courier New"/>
          <w:sz w:val="15"/>
          <w:szCs w:val="15"/>
          <w:color w:val="auto"/>
        </w:rPr>
        <w:t>"GAAP" shall mean generally accepted accounting principles in the United States of America as in effect from time to time; provided, however, that if any modifications in GAAP after the Effective Date change any calculation of any financial covenants under this Agreement, the Administrative Agent and the Lenders agree to amend this Agreement to the effect that each such financial covenant is no more restrictive than such covenant was prior to such modification in GAAP.</w:t>
      </w:r>
    </w:p>
    <w:p>
      <w:pPr>
        <w:spacing w:after="0" w:line="174" w:lineRule="exact"/>
        <w:rPr>
          <w:sz w:val="20"/>
          <w:szCs w:val="20"/>
          <w:color w:val="auto"/>
        </w:rPr>
      </w:pPr>
    </w:p>
    <w:p>
      <w:pPr>
        <w:ind w:left="580" w:right="2679" w:firstLine="858"/>
        <w:spacing w:after="0" w:line="241" w:lineRule="auto"/>
        <w:rPr>
          <w:sz w:val="20"/>
          <w:szCs w:val="20"/>
          <w:color w:val="auto"/>
        </w:rPr>
      </w:pPr>
      <w:r>
        <w:rPr>
          <w:rFonts w:ascii="Courier New" w:cs="Courier New" w:eastAsia="Courier New" w:hAnsi="Courier New"/>
          <w:sz w:val="16"/>
          <w:szCs w:val="16"/>
          <w:color w:val="auto"/>
        </w:rPr>
        <w:t>"Governmental Authority" shall mean any nation or government, any state or other political subdivision thereof and any entity exercising executive, legislative, judicial, regulatory or administrative functions of or pertaining to government.</w:t>
      </w:r>
    </w:p>
    <w:p>
      <w:pPr>
        <w:spacing w:after="0" w:line="189" w:lineRule="exact"/>
        <w:rPr>
          <w:sz w:val="20"/>
          <w:szCs w:val="20"/>
          <w:color w:val="auto"/>
        </w:rPr>
      </w:pPr>
    </w:p>
    <w:p>
      <w:pPr>
        <w:ind w:left="580" w:right="2779" w:firstLine="858"/>
        <w:spacing w:after="0" w:line="259" w:lineRule="auto"/>
        <w:rPr>
          <w:sz w:val="20"/>
          <w:szCs w:val="20"/>
          <w:color w:val="auto"/>
        </w:rPr>
      </w:pPr>
      <w:r>
        <w:rPr>
          <w:rFonts w:ascii="Courier New" w:cs="Courier New" w:eastAsia="Courier New" w:hAnsi="Courier New"/>
          <w:sz w:val="15"/>
          <w:szCs w:val="15"/>
          <w:color w:val="auto"/>
        </w:rPr>
        <w:t>"Hedging Agreements" shall mean (a) any interest rate protection agreement, interest rate future, interest rate option, interest rate swap, interest rate cap or other interest rate hedge or arrangement under which the Borrower is a party or a beneficiary and</w:t>
      </w:r>
    </w:p>
    <w:p>
      <w:pPr>
        <w:ind w:left="580" w:right="2979" w:hanging="4"/>
        <w:spacing w:after="0"/>
        <w:tabs>
          <w:tab w:leader="none" w:pos="9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arrangement designed to limit or eliminate the risk and/or exposure of the Borrower to fluctuations in currency exchange rates.</w:t>
      </w:r>
    </w:p>
    <w:p>
      <w:pPr>
        <w:spacing w:after="0" w:line="190"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"Hedging Lender" shall mean any Lender which from time to time enters into a Hedging Agreement with the Borrower.</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"Indebtedness" shall mean, as to any Person, at a particular time, (a) indebtedness of such Person for borrowed money or for the deferred purchase price of property or services (including, without limitation, any such indebtedness which is non-recourse to the credit of such Person but is secured by assets of such Person), (b) 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and (f) liabilities arising under Hedging Agreements of such Person.</w:t>
      </w:r>
    </w:p>
    <w:p>
      <w:pPr>
        <w:spacing w:after="0" w:line="192" w:lineRule="exact"/>
        <w:rPr>
          <w:sz w:val="20"/>
          <w:szCs w:val="20"/>
          <w:color w:val="auto"/>
        </w:rPr>
      </w:pPr>
    </w:p>
    <w:p>
      <w:pPr>
        <w:ind w:left="580" w:right="2879" w:firstLine="858"/>
        <w:spacing w:after="0" w:line="239" w:lineRule="auto"/>
        <w:rPr>
          <w:sz w:val="20"/>
          <w:szCs w:val="20"/>
          <w:color w:val="auto"/>
        </w:rPr>
      </w:pPr>
      <w:r>
        <w:rPr>
          <w:rFonts w:ascii="Courier New" w:cs="Courier New" w:eastAsia="Courier New" w:hAnsi="Courier New"/>
          <w:sz w:val="16"/>
          <w:szCs w:val="16"/>
          <w:color w:val="auto"/>
        </w:rPr>
        <w:t>"Insolvency" shall mean, with respect to any Multi-employer Plan, the condition</w:t>
      </w:r>
    </w:p>
    <w:p>
      <w:pPr>
        <w:sectPr>
          <w:pgSz w:w="11900" w:h="16838" w:orient="portrait"/>
          <w:cols w:equalWidth="0" w:num="1">
            <w:col w:w="9939"/>
          </w:cols>
          <w:pgMar w:left="520" w:top="298"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14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372" w:lineRule="exact"/>
        <w:rPr>
          <w:sz w:val="20"/>
          <w:szCs w:val="20"/>
          <w:color w:val="auto"/>
        </w:rPr>
      </w:pPr>
    </w:p>
    <w:p>
      <w:pPr>
        <w:ind w:left="580" w:right="2679"/>
        <w:spacing w:after="0" w:line="239" w:lineRule="auto"/>
        <w:rPr>
          <w:sz w:val="20"/>
          <w:szCs w:val="20"/>
          <w:color w:val="auto"/>
        </w:rPr>
      </w:pPr>
      <w:r>
        <w:rPr>
          <w:rFonts w:ascii="Courier New" w:cs="Courier New" w:eastAsia="Courier New" w:hAnsi="Courier New"/>
          <w:sz w:val="16"/>
          <w:szCs w:val="16"/>
          <w:color w:val="auto"/>
        </w:rPr>
        <w:t>that such Plan is insolvent within the meaning of such term as used in Section 4245 of ERISA.</w:t>
      </w:r>
    </w:p>
    <w:p>
      <w:pPr>
        <w:spacing w:after="0" w:line="189" w:lineRule="exact"/>
        <w:rPr>
          <w:sz w:val="20"/>
          <w:szCs w:val="20"/>
          <w:color w:val="auto"/>
        </w:rPr>
      </w:pPr>
    </w:p>
    <w:p>
      <w:pPr>
        <w:ind w:left="580" w:right="2599" w:firstLine="858"/>
        <w:spacing w:after="0" w:line="259" w:lineRule="auto"/>
        <w:rPr>
          <w:sz w:val="20"/>
          <w:szCs w:val="20"/>
          <w:color w:val="auto"/>
        </w:rPr>
      </w:pPr>
      <w:r>
        <w:rPr>
          <w:rFonts w:ascii="Courier New" w:cs="Courier New" w:eastAsia="Courier New" w:hAnsi="Courier New"/>
          <w:sz w:val="15"/>
          <w:szCs w:val="15"/>
          <w:color w:val="auto"/>
        </w:rPr>
        <w:t>"Interest Payment Date" shall mean (a) as to any ABR Loan, the last day of each March, June, September and December, commencing on the first of such days to occur after such ABR Loan is made or any LIBOR Loan is converted to such ABR Loan, (b) as to any LIBOR Loan or LIBOR Bid Loan in respect of which the Borrower has selected an Interest Period of one month or three months or any Fixed Rate Bid Loan having an Interest Period of 90 days or less, the last day of such Interest Period, (c) as to any LIBOR Loan or LIBOR Bid Loan in respect of which the Borrower has selected a longer Interest Period than the periods described in preceding clause (b), the 90th day of such Interest Period and the last day of such Interest Period and (d) as to any Fixed Rate Bid Loan in respect of which the Borrower has selected a longer Interest Period than the period described in preceding clause (b), the last day of each March, June, September and December falling within such Interest Period and the last day of such Interest Period.</w:t>
      </w:r>
    </w:p>
    <w:p>
      <w:pPr>
        <w:spacing w:after="0" w:line="184" w:lineRule="exact"/>
        <w:rPr>
          <w:sz w:val="20"/>
          <w:szCs w:val="20"/>
          <w:color w:val="auto"/>
        </w:rPr>
      </w:pPr>
    </w:p>
    <w:p>
      <w:pPr>
        <w:ind w:left="580" w:right="2679" w:firstLine="858"/>
        <w:spacing w:after="0" w:line="242" w:lineRule="auto"/>
        <w:rPr>
          <w:sz w:val="20"/>
          <w:szCs w:val="20"/>
          <w:color w:val="auto"/>
        </w:rPr>
      </w:pPr>
      <w:r>
        <w:rPr>
          <w:rFonts w:ascii="Courier New" w:cs="Courier New" w:eastAsia="Courier New" w:hAnsi="Courier New"/>
          <w:sz w:val="16"/>
          <w:szCs w:val="16"/>
          <w:color w:val="auto"/>
        </w:rPr>
        <w:t>"Interest Period" shall mean (a) with respect to any LIBOR Loan, (i) initially, the period commencing on, as the case may be, the borrowing or conversion date with respect to a LIBOR Loan and ending one, two, three, four or six months thereafter, as selected by the Borrower, as the case may be, in its irrevocable written notice of borrowing as provided in subsection 2.2 or 2.3 or its written irrevocable notice of conversion as provided in subsection 2.11 and</w:t>
      </w:r>
    </w:p>
    <w:p>
      <w:pPr>
        <w:spacing w:after="0" w:line="5" w:lineRule="exact"/>
        <w:rPr>
          <w:sz w:val="20"/>
          <w:szCs w:val="20"/>
          <w:color w:val="auto"/>
        </w:rPr>
      </w:pPr>
    </w:p>
    <w:p>
      <w:pPr>
        <w:ind w:left="580" w:right="2599" w:hanging="4"/>
        <w:spacing w:after="0" w:line="242" w:lineRule="auto"/>
        <w:tabs>
          <w:tab w:leader="none" w:pos="105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thereafter, each period commencing on the last day of the next preceding Interest Period applicable to such LIBOR Loan and ending one, three or six months thereafter, as selected by the Borrower by irrevocable written notice to the Administrative Agent not less than three Business Days prior to the last day of the then current Interest Period with respect to such LIBOR Loan and (b) with respect to any Bid Loan, the period specified in the Bid Loan Confirmation with respect to such Bid Loan; provided that all of the foregoing provisions relating to Interest Periods are subject to the following:</w:t>
      </w:r>
    </w:p>
    <w:p>
      <w:pPr>
        <w:spacing w:after="0" w:line="189" w:lineRule="exact"/>
        <w:rPr>
          <w:rFonts w:ascii="Courier New" w:cs="Courier New" w:eastAsia="Courier New" w:hAnsi="Courier New"/>
          <w:sz w:val="16"/>
          <w:szCs w:val="16"/>
          <w:color w:val="auto"/>
        </w:rPr>
      </w:pPr>
    </w:p>
    <w:p>
      <w:pPr>
        <w:ind w:left="1440" w:right="2599" w:firstLine="853"/>
        <w:spacing w:after="0" w:line="242" w:lineRule="auto"/>
        <w:tabs>
          <w:tab w:leader="none" w:pos="26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pertaining to a LIBOR Loan or a LIBOR Bid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next preceding Business Day;</w:t>
      </w:r>
    </w:p>
    <w:p>
      <w:pPr>
        <w:spacing w:after="0" w:line="187" w:lineRule="exact"/>
        <w:rPr>
          <w:rFonts w:ascii="Courier New" w:cs="Courier New" w:eastAsia="Courier New" w:hAnsi="Courier New"/>
          <w:sz w:val="16"/>
          <w:szCs w:val="16"/>
          <w:color w:val="auto"/>
        </w:rPr>
      </w:pPr>
    </w:p>
    <w:p>
      <w:pPr>
        <w:ind w:left="1440" w:right="2599" w:firstLine="853"/>
        <w:spacing w:after="0" w:line="241" w:lineRule="auto"/>
        <w:tabs>
          <w:tab w:leader="none" w:pos="26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give notice as provided in clause (a)(ii) above, the Borrower shall be deemed to have requested conversion of the affected LIBOR Loan to an ABR Loan on the last day of the then current Interest Period with respect thereto;</w:t>
      </w:r>
    </w:p>
    <w:p>
      <w:pPr>
        <w:spacing w:after="0" w:line="190" w:lineRule="exact"/>
        <w:rPr>
          <w:rFonts w:ascii="Courier New" w:cs="Courier New" w:eastAsia="Courier New" w:hAnsi="Courier New"/>
          <w:sz w:val="16"/>
          <w:szCs w:val="16"/>
          <w:color w:val="auto"/>
        </w:rPr>
      </w:pPr>
    </w:p>
    <w:p>
      <w:pPr>
        <w:ind w:left="1440" w:right="2599" w:firstLine="853"/>
        <w:spacing w:after="0" w:line="241" w:lineRule="auto"/>
        <w:tabs>
          <w:tab w:leader="none" w:pos="26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pertaining to a Fixed Rate Bid Loan would otherwise end on a day that is not a Business Day, such Interest Period shall be extended to the next succeeding Business Day;</w:t>
      </w:r>
    </w:p>
    <w:p>
      <w:pPr>
        <w:sectPr>
          <w:pgSz w:w="11900" w:h="16838" w:orient="portrait"/>
          <w:cols w:equalWidth="0" w:num="1">
            <w:col w:w="9939"/>
          </w:cols>
          <w:pgMar w:left="520" w:top="298"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15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372" w:lineRule="exact"/>
        <w:rPr>
          <w:sz w:val="20"/>
          <w:szCs w:val="20"/>
          <w:color w:val="auto"/>
        </w:rPr>
      </w:pPr>
    </w:p>
    <w:p>
      <w:pPr>
        <w:ind w:left="1440" w:right="2599" w:firstLine="853"/>
        <w:spacing w:after="0"/>
        <w:tabs>
          <w:tab w:leader="none" w:pos="2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Termination Date shall end on the Termination Date; and</w:t>
      </w:r>
    </w:p>
    <w:p>
      <w:pPr>
        <w:spacing w:after="0" w:line="189" w:lineRule="exact"/>
        <w:rPr>
          <w:rFonts w:ascii="Courier New" w:cs="Courier New" w:eastAsia="Courier New" w:hAnsi="Courier New"/>
          <w:sz w:val="16"/>
          <w:szCs w:val="16"/>
          <w:color w:val="auto"/>
        </w:rPr>
      </w:pPr>
    </w:p>
    <w:p>
      <w:pPr>
        <w:ind w:left="1440" w:right="2599" w:firstLine="853"/>
        <w:spacing w:after="0" w:line="242" w:lineRule="auto"/>
        <w:tabs>
          <w:tab w:leader="none" w:pos="2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pertaining to a LIBOR Loan or LIBOR Bid Loan that begins on the last Business Day of a calendar month (or on a day for which there is no numerically corresponding day in the calendar month at the end of such Interest Period) shall end on the last Business Day of a calendar month.</w:t>
      </w:r>
    </w:p>
    <w:p>
      <w:pPr>
        <w:spacing w:after="0" w:line="187" w:lineRule="exact"/>
        <w:rPr>
          <w:sz w:val="20"/>
          <w:szCs w:val="20"/>
          <w:color w:val="auto"/>
        </w:rPr>
      </w:pPr>
    </w:p>
    <w:p>
      <w:pPr>
        <w:ind w:left="580" w:right="2879" w:firstLine="858"/>
        <w:spacing w:after="0"/>
        <w:rPr>
          <w:sz w:val="20"/>
          <w:szCs w:val="20"/>
          <w:color w:val="auto"/>
        </w:rPr>
      </w:pPr>
      <w:r>
        <w:rPr>
          <w:rFonts w:ascii="Courier New" w:cs="Courier New" w:eastAsia="Courier New" w:hAnsi="Courier New"/>
          <w:sz w:val="16"/>
          <w:szCs w:val="16"/>
          <w:color w:val="auto"/>
        </w:rPr>
        <w:t>"Issuing Lender" shall mean, in respect of any Letter of Credit, Chase or, at the option of Chase, any Affiliate of Chase, in its capacity as the issuer of such Letter of Credit.</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"L/C Commitment" shall mean the amount of $20,000,000.</w:t>
      </w:r>
    </w:p>
    <w:p>
      <w:pPr>
        <w:spacing w:after="0" w:line="188" w:lineRule="exact"/>
        <w:rPr>
          <w:sz w:val="20"/>
          <w:szCs w:val="20"/>
          <w:color w:val="auto"/>
        </w:rPr>
      </w:pPr>
    </w:p>
    <w:p>
      <w:pPr>
        <w:ind w:left="580" w:right="2679" w:firstLine="858"/>
        <w:spacing w:after="0" w:line="241" w:lineRule="auto"/>
        <w:rPr>
          <w:sz w:val="20"/>
          <w:szCs w:val="20"/>
          <w:color w:val="auto"/>
        </w:rPr>
      </w:pPr>
      <w:r>
        <w:rPr>
          <w:rFonts w:ascii="Courier New" w:cs="Courier New" w:eastAsia="Courier New" w:hAnsi="Courier New"/>
          <w:sz w:val="16"/>
          <w:szCs w:val="16"/>
          <w:color w:val="auto"/>
        </w:rPr>
        <w:t>"L/C Obligations"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190" w:lineRule="exact"/>
        <w:rPr>
          <w:sz w:val="20"/>
          <w:szCs w:val="20"/>
          <w:color w:val="auto"/>
        </w:rPr>
      </w:pPr>
    </w:p>
    <w:p>
      <w:pPr>
        <w:ind w:left="580" w:right="2679" w:firstLine="858"/>
        <w:spacing w:after="0" w:line="239" w:lineRule="auto"/>
        <w:rPr>
          <w:sz w:val="20"/>
          <w:szCs w:val="20"/>
          <w:color w:val="auto"/>
        </w:rPr>
      </w:pPr>
      <w:r>
        <w:rPr>
          <w:rFonts w:ascii="Courier New" w:cs="Courier New" w:eastAsia="Courier New" w:hAnsi="Courier New"/>
          <w:sz w:val="16"/>
          <w:szCs w:val="16"/>
          <w:color w:val="auto"/>
        </w:rPr>
        <w:t>"L/C Participants" shall mean the collective reference to all the Lenders other than the Issuing Lender.</w:t>
      </w:r>
    </w:p>
    <w:p>
      <w:pPr>
        <w:spacing w:after="0" w:line="189" w:lineRule="exact"/>
        <w:rPr>
          <w:sz w:val="20"/>
          <w:szCs w:val="20"/>
          <w:color w:val="auto"/>
        </w:rPr>
      </w:pPr>
    </w:p>
    <w:p>
      <w:pPr>
        <w:ind w:left="580" w:right="2779" w:firstLine="858"/>
        <w:spacing w:after="0" w:line="241" w:lineRule="auto"/>
        <w:rPr>
          <w:sz w:val="20"/>
          <w:szCs w:val="20"/>
          <w:color w:val="auto"/>
        </w:rPr>
      </w:pPr>
      <w:r>
        <w:rPr>
          <w:rFonts w:ascii="Courier New" w:cs="Courier New" w:eastAsia="Courier New" w:hAnsi="Courier New"/>
          <w:sz w:val="16"/>
          <w:szCs w:val="16"/>
          <w:color w:val="auto"/>
        </w:rPr>
        <w:t>"Lending Installation" shall mean, with respect to a Lender, the office, branch, subsidiary or affiliate of such Lender listed on the signature pages hereof or on a Schedule or otherwise selected by such Lender pursuant to subsection 2.23.</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"Letter of Credit" shall mean any Standby L/C or Trade L/C.</w:t>
      </w:r>
    </w:p>
    <w:p>
      <w:pPr>
        <w:spacing w:after="0" w:line="188" w:lineRule="exact"/>
        <w:rPr>
          <w:sz w:val="20"/>
          <w:szCs w:val="20"/>
          <w:color w:val="auto"/>
        </w:rPr>
      </w:pPr>
    </w:p>
    <w:p>
      <w:pPr>
        <w:ind w:left="580" w:right="2979" w:firstLine="858"/>
        <w:spacing w:after="0" w:line="239" w:lineRule="auto"/>
        <w:rPr>
          <w:sz w:val="20"/>
          <w:szCs w:val="20"/>
          <w:color w:val="auto"/>
        </w:rPr>
      </w:pPr>
      <w:r>
        <w:rPr>
          <w:rFonts w:ascii="Courier New" w:cs="Courier New" w:eastAsia="Courier New" w:hAnsi="Courier New"/>
          <w:sz w:val="16"/>
          <w:szCs w:val="16"/>
          <w:color w:val="auto"/>
        </w:rPr>
        <w:t>"Level I, Level II, Level III, Level IV and Level V" shall mean the respective Ratings set forth below:</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1280" w:type="dxa"/>
            <w:vAlign w:val="bottom"/>
          </w:tcPr>
          <w:p>
            <w:pPr>
              <w:ind w:left="80"/>
              <w:spacing w:after="0"/>
              <w:rPr>
                <w:sz w:val="20"/>
                <w:szCs w:val="20"/>
                <w:color w:val="auto"/>
              </w:rPr>
            </w:pPr>
            <w:r>
              <w:rPr>
                <w:rFonts w:ascii="Courier New" w:cs="Courier New" w:eastAsia="Courier New" w:hAnsi="Courier New"/>
                <w:sz w:val="16"/>
                <w:szCs w:val="16"/>
                <w:color w:val="auto"/>
              </w:rPr>
              <w:t>Rating</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Category</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S&amp;P</w:t>
            </w:r>
          </w:p>
        </w:tc>
        <w:tc>
          <w:tcPr>
            <w:tcW w:w="1100" w:type="dxa"/>
            <w:vAlign w:val="bottom"/>
          </w:tcPr>
          <w:p>
            <w:pPr>
              <w:spacing w:after="0"/>
              <w:rPr>
                <w:sz w:val="15"/>
                <w:szCs w:val="15"/>
                <w:color w:val="auto"/>
              </w:rPr>
            </w:pPr>
          </w:p>
        </w:tc>
        <w:tc>
          <w:tcPr>
            <w:tcW w:w="1900" w:type="dxa"/>
            <w:vAlign w:val="bottom"/>
          </w:tcPr>
          <w:p>
            <w:pPr>
              <w:ind w:left="760"/>
              <w:spacing w:after="0"/>
              <w:rPr>
                <w:sz w:val="20"/>
                <w:szCs w:val="20"/>
                <w:color w:val="auto"/>
              </w:rPr>
            </w:pPr>
            <w:r>
              <w:rPr>
                <w:rFonts w:ascii="Courier New" w:cs="Courier New" w:eastAsia="Courier New" w:hAnsi="Courier New"/>
                <w:sz w:val="16"/>
                <w:szCs w:val="16"/>
                <w:color w:val="auto"/>
              </w:rPr>
              <w:t>Moody's</w:t>
            </w:r>
          </w:p>
        </w:tc>
      </w:tr>
      <w:tr>
        <w:trPr>
          <w:trHeight w:val="183"/>
        </w:trPr>
        <w:tc>
          <w:tcPr>
            <w:tcW w:w="12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c>
          <w:tcPr>
            <w:tcW w:w="190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Level I</w:t>
            </w:r>
          </w:p>
        </w:tc>
        <w:tc>
          <w:tcPr>
            <w:tcW w:w="23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greater than or</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w w:val="97"/>
              </w:rPr>
              <w:t>greater than or</w:t>
            </w:r>
          </w:p>
        </w:tc>
      </w:tr>
      <w:tr>
        <w:trPr>
          <w:trHeight w:val="183"/>
        </w:trPr>
        <w:tc>
          <w:tcPr>
            <w:tcW w:w="1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BBB+</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equal to Baa1</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Level II</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BBB</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equal to Baa2</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Level III</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BBB-</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equal to Baa3</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Level IV</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BB+</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equal to Ba1</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Level V</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equal to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BB</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equal to Ba2</w:t>
            </w:r>
          </w:p>
        </w:tc>
      </w:tr>
      <w:tr>
        <w:trPr>
          <w:trHeight w:val="183"/>
        </w:trPr>
        <w:tc>
          <w:tcPr>
            <w:tcW w:w="1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or lower</w:t>
            </w:r>
          </w:p>
        </w:tc>
        <w:tc>
          <w:tcPr>
            <w:tcW w:w="1100" w:type="dxa"/>
            <w:vAlign w:val="bottom"/>
          </w:tcPr>
          <w:p>
            <w:pPr>
              <w:spacing w:after="0"/>
              <w:rPr>
                <w:sz w:val="15"/>
                <w:szCs w:val="15"/>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or lower;</w:t>
            </w:r>
          </w:p>
        </w:tc>
      </w:tr>
    </w:tbl>
    <w:p>
      <w:pPr>
        <w:sectPr>
          <w:pgSz w:w="11900" w:h="16838" w:orient="portrait"/>
          <w:cols w:equalWidth="0" w:num="1">
            <w:col w:w="9939"/>
          </w:cols>
          <w:pgMar w:left="520" w:top="298"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16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372"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provided, that (i) if on any day the Ratings of the Rating Agencies do not fall in the same Rating Category, and the lower of such Ratings is one Rating lower than the higher of such Ratings, then the Rating Category of the higher of such Ratings shall be applicable for such day, (ii) if on any day the Ratings of the Rating Agencies do not fall in the same Rating Category, and the lower of such Ratings is more than one Rating lower than the higher of such Ratings, then the Rating next lower from that of the higher of such Ratings shall be used to determine the applicable Rating Category for such day, (iii) if on any day the Rating of only one of the Rating Agencies is available, then such Rating Category shall be applicable for such day and (iv) if on any day a Rating is available from neither of the Rating Agencies, then Level V shall be applicable for such day. Any change in the applicable Rating Category resulting from a change in the Rating of a Rating Agency shall become effective on the date such change is publicly announced by such Rating Agency.</w:t>
      </w:r>
    </w:p>
    <w:p>
      <w:pPr>
        <w:spacing w:after="0" w:line="194" w:lineRule="exact"/>
        <w:rPr>
          <w:sz w:val="20"/>
          <w:szCs w:val="20"/>
          <w:color w:val="auto"/>
        </w:rPr>
      </w:pPr>
    </w:p>
    <w:p>
      <w:pPr>
        <w:jc w:val="both"/>
        <w:ind w:left="580" w:right="2779" w:firstLine="858"/>
        <w:spacing w:after="0" w:line="271" w:lineRule="auto"/>
        <w:rPr>
          <w:sz w:val="20"/>
          <w:szCs w:val="20"/>
          <w:color w:val="auto"/>
        </w:rPr>
      </w:pPr>
      <w:r>
        <w:rPr>
          <w:rFonts w:ascii="Courier New" w:cs="Courier New" w:eastAsia="Courier New" w:hAnsi="Courier New"/>
          <w:sz w:val="15"/>
          <w:szCs w:val="15"/>
          <w:color w:val="auto"/>
        </w:rPr>
        <w:t>"LIBOR Base Rate" shall mean, with respect to any LIBOR Loan in Dollars or any Optional Currency for any Interest Period therefor:</w:t>
      </w:r>
    </w:p>
    <w:p>
      <w:pPr>
        <w:spacing w:after="0" w:line="166" w:lineRule="exact"/>
        <w:rPr>
          <w:sz w:val="20"/>
          <w:szCs w:val="20"/>
          <w:color w:val="auto"/>
        </w:rPr>
      </w:pPr>
    </w:p>
    <w:p>
      <w:pPr>
        <w:ind w:left="580" w:right="2599" w:firstLine="855"/>
        <w:spacing w:after="0" w:line="242" w:lineRule="auto"/>
        <w:tabs>
          <w:tab w:leader="none" w:pos="18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(in the case of any LIBOR Loan in Dollars or any other Optional Currency) two Business Days prior to, the first day of such Interest Period as the London Interbank Offered Rate for such currency having a term comparable to such Interest Period and in an amount of U.S.$1,000,000 or the Optional Currency Equivalent thereof; or</w:t>
      </w:r>
    </w:p>
    <w:p>
      <w:pPr>
        <w:spacing w:after="0" w:line="189" w:lineRule="exact"/>
        <w:rPr>
          <w:rFonts w:ascii="Courier New" w:cs="Courier New" w:eastAsia="Courier New" w:hAnsi="Courier New"/>
          <w:sz w:val="16"/>
          <w:szCs w:val="16"/>
          <w:color w:val="auto"/>
        </w:rPr>
      </w:pPr>
    </w:p>
    <w:p>
      <w:pPr>
        <w:ind w:left="580" w:right="2599" w:firstLine="855"/>
        <w:spacing w:after="0" w:line="259" w:lineRule="auto"/>
        <w:tabs>
          <w:tab w:leader="none" w:pos="18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rate does not appear on the Screen (or, if the Screen shall cease to be publicly available or if the information contained on the Screen, in the Administrative Agent's reasonable judgment, shall cease accurately to reflect such LIBOR Base Rate, as reported by any publicly available source of similar market data selected by the Administrative Agent that, in the Administrative Agent's reasonable judgment, accurately reflects such LIBOR Base Rate), the LIBOR Base Rate shall mean, with respect to any LIBOR Loan for any Interest Period, the arithmetic mean, as determined by the Administrative Agent, of the rate per annum (rounded to the nearest 1/16 of 1%) quoted by each relevant Reference Lender at approximately 11:00 a.m. London time (or as soon thereafter as practicable) on (in the case of any LIBOR Loan in Sterling), or (in the case of any LIBOR Loan in Dollars or any Optional Currency) two Business Days prior to, the first day of the Interest Period for such Loan for the offering by such Reference Lender to leading banks in the London interbank market of deposits in such currency having a term comparable to such Interest Period and in an amount comparable to the principal amount of the LIBOR Loan to be made by such Reference Lender (or its relevant Applicable Lending Office, as the case may be) for such Interest Period.</w:t>
      </w:r>
    </w:p>
    <w:p>
      <w:pPr>
        <w:spacing w:after="0" w:line="368" w:lineRule="exact"/>
        <w:rPr>
          <w:sz w:val="20"/>
          <w:szCs w:val="20"/>
          <w:color w:val="auto"/>
        </w:rPr>
      </w:pPr>
    </w:p>
    <w:p>
      <w:pPr>
        <w:ind w:left="580" w:right="2979" w:firstLine="858"/>
        <w:spacing w:after="0" w:line="239" w:lineRule="auto"/>
        <w:rPr>
          <w:sz w:val="20"/>
          <w:szCs w:val="20"/>
          <w:color w:val="auto"/>
        </w:rPr>
      </w:pPr>
      <w:r>
        <w:rPr>
          <w:rFonts w:ascii="Courier New" w:cs="Courier New" w:eastAsia="Courier New" w:hAnsi="Courier New"/>
          <w:sz w:val="16"/>
          <w:szCs w:val="16"/>
          <w:color w:val="auto"/>
        </w:rPr>
        <w:t>"LIBOR Bid Loan" shall mean any Bid Loan made and/or being maintained at a</w:t>
      </w:r>
    </w:p>
    <w:p>
      <w:pPr>
        <w:sectPr>
          <w:pgSz w:w="11900" w:h="16838" w:orient="portrait"/>
          <w:cols w:equalWidth="0" w:num="1">
            <w:col w:w="9939"/>
          </w:cols>
          <w:pgMar w:left="520" w:top="29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17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36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rate of interest based upon the LIBOR Rate.</w:t>
      </w:r>
    </w:p>
    <w:p>
      <w:pPr>
        <w:spacing w:after="0" w:line="188" w:lineRule="exact"/>
        <w:rPr>
          <w:sz w:val="20"/>
          <w:szCs w:val="20"/>
          <w:color w:val="auto"/>
        </w:rPr>
      </w:pPr>
    </w:p>
    <w:p>
      <w:pPr>
        <w:ind w:left="580" w:right="3159" w:firstLine="858"/>
        <w:spacing w:after="0" w:line="239" w:lineRule="auto"/>
        <w:rPr>
          <w:sz w:val="20"/>
          <w:szCs w:val="20"/>
          <w:color w:val="auto"/>
        </w:rPr>
      </w:pPr>
      <w:r>
        <w:rPr>
          <w:rFonts w:ascii="Courier New" w:cs="Courier New" w:eastAsia="Courier New" w:hAnsi="Courier New"/>
          <w:sz w:val="16"/>
          <w:szCs w:val="16"/>
          <w:color w:val="auto"/>
        </w:rPr>
        <w:t>"LIBOR Bid Loan Request" shall mean any Bid Loan Request requesting the Lenders to offer to make LIBOR Bid Loans.</w:t>
      </w:r>
    </w:p>
    <w:p>
      <w:pPr>
        <w:spacing w:after="0" w:line="189"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"LIBOR Loans" shall mean the Loans hereunder at such time as they are made and/or being maintained at a rate of interest based upon the applicable LIBOR Rate.</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"LIBOR Rate" shall mean (a) with respect to a LIBOR Loan denominated in Dollars or any Optional Currency other than Sterling for each day during each Interest period pertaining thereto, the rate per annum equal to the LIBOR Base Rate or, to the extent such reserve requirements are generally applicable with respect to loans to the relevant Borrower, the quotient (rounded upward to the nearest 1/100 of 1%) of (A) the LIBOR Base Rate, divided by (B) a number equal to 1.00 minus the aggregate of the rates (expressed as a decimal fraction) of reserve requirements current on such day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(b) with respect to a LIBOR Loan denominated in Sterling for each day during each Interest Period pertaining thereto, the sum of the LIBOR Base Rate plus, to the extent generally applicable to loans to the relevant Borrower, the MLA Cost for such day, and (c) with respect to any Bid Loan requested pursuant to a LIBOR Bid Loan Request, the LIBOR Base Rate for such Bid Loan.</w:t>
      </w:r>
    </w:p>
    <w:p>
      <w:pPr>
        <w:spacing w:after="0" w:line="381" w:lineRule="exact"/>
        <w:rPr>
          <w:sz w:val="20"/>
          <w:szCs w:val="20"/>
          <w:color w:val="auto"/>
        </w:rPr>
      </w:pPr>
    </w:p>
    <w:p>
      <w:pPr>
        <w:ind w:left="580" w:right="2679" w:firstLine="858"/>
        <w:spacing w:after="0" w:line="260" w:lineRule="auto"/>
        <w:rPr>
          <w:sz w:val="20"/>
          <w:szCs w:val="20"/>
          <w:color w:val="auto"/>
        </w:rPr>
      </w:pPr>
      <w:r>
        <w:rPr>
          <w:rFonts w:ascii="Courier New" w:cs="Courier New" w:eastAsia="Courier New" w:hAnsi="Courier New"/>
          <w:sz w:val="15"/>
          <w:szCs w:val="15"/>
          <w:color w:val="auto"/>
        </w:rPr>
        <w:t>"Lien"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177" w:lineRule="exact"/>
        <w:rPr>
          <w:sz w:val="20"/>
          <w:szCs w:val="20"/>
          <w:color w:val="auto"/>
        </w:rPr>
      </w:pPr>
    </w:p>
    <w:p>
      <w:pPr>
        <w:ind w:left="580" w:right="2779" w:firstLine="858"/>
        <w:spacing w:after="0"/>
        <w:rPr>
          <w:sz w:val="20"/>
          <w:szCs w:val="20"/>
          <w:color w:val="auto"/>
        </w:rPr>
      </w:pPr>
      <w:r>
        <w:rPr>
          <w:rFonts w:ascii="Courier New" w:cs="Courier New" w:eastAsia="Courier New" w:hAnsi="Courier New"/>
          <w:sz w:val="16"/>
          <w:szCs w:val="16"/>
          <w:color w:val="auto"/>
        </w:rPr>
        <w:t>"Loan" shall mean any Revolving Credit Loan, Swing Line Loan and/or Bid Loan, as the context shall require; collectively, the "Loans".</w:t>
      </w:r>
    </w:p>
    <w:p>
      <w:pPr>
        <w:spacing w:after="0" w:line="190"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"Loan Documents" shall mean, collectively, this Agreement, any Notes, the Applications, the Letters of Credit, the Scotts Guarantee and the Subsidiaries Guarantee.</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"Material Adverse Effect" shall mean a material adverse effect on (a) the business, operations, property or financial condition of the Borrower and its Subsidiaries taken as a whole or (b) the validity or enforceability of any material term of this or any of the other Loan Documents or the rights or remedies of the Administrative Agent or the Lenders</w:t>
      </w:r>
    </w:p>
    <w:p>
      <w:pPr>
        <w:sectPr>
          <w:pgSz w:w="11900" w:h="16838" w:orient="portrait"/>
          <w:cols w:equalWidth="0" w:num="1">
            <w:col w:w="9939"/>
          </w:cols>
          <w:pgMar w:left="520" w:top="29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36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hereunder or thereunder.</w:t>
      </w:r>
    </w:p>
    <w:p>
      <w:pPr>
        <w:spacing w:after="0" w:line="188"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"Material Environmental Amount" shall mean an amount payable by the Borrower or any of its Subsidiaries in excess of $10,000,000 (net of insurance) in the aggregate for remedial costs, compliance costs, compensatory damages, punitive damages, fines, penalties, or any combination thereof.</w:t>
      </w:r>
    </w:p>
    <w:p>
      <w:pPr>
        <w:spacing w:after="0" w:line="190" w:lineRule="exact"/>
        <w:rPr>
          <w:sz w:val="20"/>
          <w:szCs w:val="20"/>
          <w:color w:val="auto"/>
        </w:rPr>
      </w:pPr>
    </w:p>
    <w:p>
      <w:pPr>
        <w:ind w:left="580" w:right="2679" w:firstLine="858"/>
        <w:spacing w:after="0" w:line="259" w:lineRule="auto"/>
        <w:rPr>
          <w:sz w:val="20"/>
          <w:szCs w:val="20"/>
          <w:color w:val="auto"/>
        </w:rPr>
      </w:pPr>
      <w:r>
        <w:rPr>
          <w:rFonts w:ascii="Courier New" w:cs="Courier New" w:eastAsia="Courier New" w:hAnsi="Courier New"/>
          <w:sz w:val="15"/>
          <w:szCs w:val="15"/>
          <w:color w:val="auto"/>
        </w:rPr>
        <w:t>"Material Subsidiary" shall mean at any time (a) any Subsidiary Borrower, (b) any Subsidiary of the Borrower created or acquired after the Effective Date which has a Total Capitalization of more than $20,000,000, (c) any Subsidiary of the Borrower with assets greater than or equal to 5% of all assets of the Borrower and its Subsidiaries, computed and consolidated in accordance with GAAP ("Consolidated Assets"), (d) any Subsidiary with revenues greater than or equal to 5% of the revenues of the Borrower and its Subsidiaries, computed and consolidated in accordance with GAAP ("Net Revenues") or</w:t>
      </w:r>
    </w:p>
    <w:p>
      <w:pPr>
        <w:ind w:left="580" w:right="2599" w:hanging="4"/>
        <w:spacing w:after="0" w:line="259" w:lineRule="auto"/>
        <w:tabs>
          <w:tab w:leader="none" w:pos="9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designated in writing by the Borrower as a Material Subsidiary, which such designation shall be irrevocable; provided that if at any time (i) 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 (iii) 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For purposes of the proviso to the next preceding sentence, the Subsidiaries which shall be deemed to be Material Subsidiaries shall be determined based 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respective percentages.</w:t>
      </w:r>
    </w:p>
    <w:p>
      <w:pPr>
        <w:spacing w:after="0" w:line="368"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"Materials of Environmental Concern" shall mean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w:t>
      </w:r>
    </w:p>
    <w:p>
      <w:pPr>
        <w:spacing w:after="0" w:line="187" w:lineRule="exact"/>
        <w:rPr>
          <w:sz w:val="20"/>
          <w:szCs w:val="20"/>
          <w:color w:val="auto"/>
        </w:rPr>
      </w:pPr>
    </w:p>
    <w:p>
      <w:pPr>
        <w:ind w:left="580" w:right="2599" w:firstLine="858"/>
        <w:spacing w:after="0" w:line="260" w:lineRule="auto"/>
        <w:rPr>
          <w:sz w:val="20"/>
          <w:szCs w:val="20"/>
          <w:color w:val="auto"/>
        </w:rPr>
      </w:pPr>
      <w:r>
        <w:rPr>
          <w:rFonts w:ascii="Courier New" w:cs="Courier New" w:eastAsia="Courier New" w:hAnsi="Courier New"/>
          <w:sz w:val="15"/>
          <w:szCs w:val="15"/>
          <w:color w:val="auto"/>
        </w:rPr>
        <w:t>"Miracle-Gro Merger Agreement" shall mean that certain Agreement and Plan of Merger dated as of January 26, 1995 among Miracle-Gro, the other Miracle-Gro Constituent Companies party thereto, the shareholders of the Miracle-Gro Constituent Companies party thereto, the Borrower and Merger Subsidiary (as defined in the Merger Agreement), the exhibits and schedules thereto, and the agreements and documents executed in connection therewith, copies of which have been delivered to the Agent and the Lenders prior to the date hereof.</w:t>
      </w:r>
    </w:p>
    <w:p>
      <w:pPr>
        <w:sectPr>
          <w:pgSz w:w="11900" w:h="16838" w:orient="portrait"/>
          <w:cols w:equalWidth="0" w:num="1">
            <w:col w:w="9939"/>
          </w:cols>
          <w:pgMar w:left="520" w:top="29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19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14</w:t>
      </w:r>
    </w:p>
    <w:p>
      <w:pPr>
        <w:spacing w:after="0" w:line="369"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"MLA Cost" shall mean:</w:t>
      </w:r>
    </w:p>
    <w:p>
      <w:pPr>
        <w:spacing w:after="0" w:line="186" w:lineRule="exact"/>
        <w:rPr>
          <w:sz w:val="20"/>
          <w:szCs w:val="20"/>
          <w:color w:val="auto"/>
        </w:rPr>
      </w:pPr>
    </w:p>
    <w:p>
      <w:pPr>
        <w:ind w:left="3160"/>
        <w:spacing w:after="0"/>
        <w:tabs>
          <w:tab w:leader="none" w:pos="5320" w:val="left"/>
        </w:tabs>
        <w:rPr>
          <w:sz w:val="20"/>
          <w:szCs w:val="20"/>
          <w:color w:val="auto"/>
        </w:rPr>
      </w:pPr>
      <w:r>
        <w:rPr>
          <w:rFonts w:ascii="Courier New" w:cs="Courier New" w:eastAsia="Courier New" w:hAnsi="Courier New"/>
          <w:sz w:val="16"/>
          <w:szCs w:val="16"/>
          <w:color w:val="auto"/>
        </w:rPr>
        <w:t>AB + C (B-E) + D(B-F)</w:t>
      </w:r>
      <w:r>
        <w:rPr>
          <w:sz w:val="20"/>
          <w:szCs w:val="20"/>
          <w:color w:val="auto"/>
        </w:rPr>
        <w:tab/>
      </w:r>
      <w:r>
        <w:rPr>
          <w:rFonts w:ascii="Courier New" w:cs="Courier New" w:eastAsia="Courier New" w:hAnsi="Courier New"/>
          <w:sz w:val="15"/>
          <w:szCs w:val="15"/>
          <w:color w:val="auto"/>
        </w:rPr>
        <w:t>percent per annum</w:t>
      </w:r>
    </w:p>
    <w:p>
      <w:pPr>
        <w:spacing w:after="0" w:line="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100 - (A+D)</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Where on the day of application of the formula:</w:t>
      </w:r>
    </w:p>
    <w:p>
      <w:pPr>
        <w:spacing w:after="0" w:line="188" w:lineRule="exact"/>
        <w:rPr>
          <w:sz w:val="20"/>
          <w:szCs w:val="20"/>
          <w:color w:val="auto"/>
        </w:rPr>
      </w:pPr>
    </w:p>
    <w:p>
      <w:pPr>
        <w:ind w:left="3160" w:right="2779" w:hanging="867"/>
        <w:spacing w:after="0" w:line="262" w:lineRule="auto"/>
        <w:tabs>
          <w:tab w:leader="none" w:pos="31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of eligible liabilities which such Reference Bank is from time to time required to maintain as an interest free cash deposit with the Bank of England to comply with cash ratio requirements.</w:t>
      </w:r>
    </w:p>
    <w:p>
      <w:pPr>
        <w:spacing w:after="0" w:line="172" w:lineRule="exact"/>
        <w:rPr>
          <w:rFonts w:ascii="Courier New" w:cs="Courier New" w:eastAsia="Courier New" w:hAnsi="Courier New"/>
          <w:sz w:val="15"/>
          <w:szCs w:val="15"/>
          <w:color w:val="auto"/>
        </w:rPr>
      </w:pPr>
    </w:p>
    <w:p>
      <w:pPr>
        <w:ind w:left="3160" w:right="2599" w:hanging="867"/>
        <w:spacing w:after="0" w:line="242" w:lineRule="auto"/>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percentage rate per annum at which Sterling deposits are offered by such Reference Bank, in accordance with its normal practice, for a period equal to (i) the Term (or, as the case may be, remainder of such Term) in respect of the relevant Advance or (ii) three months, whichever is the shorter, to a leading bank in the London Interbank Market at or about 11:00 A.M. in a sum approximately equal to the amount of such Advance.</w:t>
      </w:r>
    </w:p>
    <w:p>
      <w:pPr>
        <w:spacing w:after="0" w:line="190" w:lineRule="exact"/>
        <w:rPr>
          <w:rFonts w:ascii="Courier New" w:cs="Courier New" w:eastAsia="Courier New" w:hAnsi="Courier New"/>
          <w:sz w:val="16"/>
          <w:szCs w:val="16"/>
          <w:color w:val="auto"/>
        </w:rPr>
      </w:pPr>
    </w:p>
    <w:p>
      <w:pPr>
        <w:ind w:left="3160" w:right="2779" w:hanging="867"/>
        <w:spacing w:after="0" w:line="242" w:lineRule="auto"/>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percentage of eligible liabilities which such Reference Bank is from time to time required by the Bank of England to maintain as secured money with members of the London Discount Market Association ("LDMA") and/or as secured call money with such money brokers and gilt edged market makers.</w:t>
      </w:r>
    </w:p>
    <w:p>
      <w:pPr>
        <w:spacing w:after="0" w:line="188" w:lineRule="exact"/>
        <w:rPr>
          <w:rFonts w:ascii="Courier New" w:cs="Courier New" w:eastAsia="Courier New" w:hAnsi="Courier New"/>
          <w:sz w:val="16"/>
          <w:szCs w:val="16"/>
          <w:color w:val="auto"/>
        </w:rPr>
      </w:pPr>
    </w:p>
    <w:p>
      <w:pPr>
        <w:ind w:left="3160" w:right="2599" w:hanging="867"/>
        <w:spacing w:after="0" w:line="263" w:lineRule="auto"/>
        <w:tabs>
          <w:tab w:leader="none" w:pos="31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of eligible liabilities which such Reference Bank is required from time to time to maintain as interest bearing special deposits with the Bank of England.</w:t>
      </w:r>
    </w:p>
    <w:p>
      <w:pPr>
        <w:spacing w:after="0" w:line="172" w:lineRule="exact"/>
        <w:rPr>
          <w:rFonts w:ascii="Courier New" w:cs="Courier New" w:eastAsia="Courier New" w:hAnsi="Courier New"/>
          <w:sz w:val="15"/>
          <w:szCs w:val="15"/>
          <w:color w:val="auto"/>
        </w:rPr>
      </w:pPr>
    </w:p>
    <w:p>
      <w:pPr>
        <w:ind w:left="3160" w:right="2599" w:hanging="867"/>
        <w:spacing w:after="0" w:line="242" w:lineRule="auto"/>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percentage rate per annum at which members of the LDMA are offered Sterling deposits in a sum approximately equal to the amount of the relevant Advance as a callable fixture from such Reference Bank for such period as determined in accordance with B above at or about 11:00 A.M.</w:t>
      </w:r>
    </w:p>
    <w:p>
      <w:pPr>
        <w:spacing w:after="0" w:line="187" w:lineRule="exact"/>
        <w:rPr>
          <w:rFonts w:ascii="Courier New" w:cs="Courier New" w:eastAsia="Courier New" w:hAnsi="Courier New"/>
          <w:sz w:val="16"/>
          <w:szCs w:val="16"/>
          <w:color w:val="auto"/>
        </w:rPr>
      </w:pPr>
    </w:p>
    <w:p>
      <w:pPr>
        <w:ind w:left="3160" w:right="2679" w:hanging="867"/>
        <w:spacing w:after="0"/>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percentage rate per annum payable by the Bank of England to such Reference Bank on interest bearing special deposits.</w:t>
      </w:r>
    </w:p>
    <w:p>
      <w:pPr>
        <w:spacing w:after="0" w:line="189" w:lineRule="exact"/>
        <w:rPr>
          <w:rFonts w:ascii="Courier New" w:cs="Courier New" w:eastAsia="Courier New" w:hAnsi="Courier New"/>
          <w:sz w:val="16"/>
          <w:szCs w:val="16"/>
          <w:color w:val="auto"/>
        </w:rPr>
      </w:pPr>
    </w:p>
    <w:p>
      <w:pPr>
        <w:ind w:left="3160" w:right="2779" w:hanging="867"/>
        <w:spacing w:after="0" w:line="241" w:lineRule="auto"/>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definition "Eligible Liabilities" and "Special Deposits" shall bear the meanings ascribed to them from time to time by the Bank of England.</w:t>
      </w:r>
    </w:p>
    <w:p>
      <w:pPr>
        <w:spacing w:after="0" w:line="190" w:lineRule="exact"/>
        <w:rPr>
          <w:rFonts w:ascii="Courier New" w:cs="Courier New" w:eastAsia="Courier New" w:hAnsi="Courier New"/>
          <w:sz w:val="16"/>
          <w:szCs w:val="16"/>
          <w:color w:val="auto"/>
        </w:rPr>
      </w:pPr>
    </w:p>
    <w:p>
      <w:pPr>
        <w:ind w:left="3160" w:right="2679" w:hanging="867"/>
        <w:spacing w:after="0"/>
        <w:tabs>
          <w:tab w:leader="none" w:pos="3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percentages used in A,C and D above shall be those required to be maintained on the first day of the relevant period as</w:t>
      </w:r>
    </w:p>
    <w:p>
      <w:pPr>
        <w:sectPr>
          <w:pgSz w:w="11900" w:h="16838" w:orient="portrait"/>
          <w:cols w:equalWidth="0" w:num="1">
            <w:col w:w="9939"/>
          </w:cols>
          <w:pgMar w:left="520" w:top="298"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20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15</w:t>
      </w:r>
    </w:p>
    <w:p>
      <w:pPr>
        <w:spacing w:after="0" w:line="3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determined in accordance with B above.</w:t>
      </w:r>
    </w:p>
    <w:p>
      <w:pPr>
        <w:spacing w:after="0" w:line="188" w:lineRule="exact"/>
        <w:rPr>
          <w:sz w:val="20"/>
          <w:szCs w:val="20"/>
          <w:color w:val="auto"/>
        </w:rPr>
      </w:pPr>
    </w:p>
    <w:p>
      <w:pPr>
        <w:ind w:left="3160" w:right="2779" w:hanging="867"/>
        <w:spacing w:after="0" w:line="242" w:lineRule="auto"/>
        <w:tabs>
          <w:tab w:leader="none" w:pos="3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application of the above formula, A,B,C,D,E, and F will be included in the formula as figures and not as percentages e.g. if A is 0.5 percent and B is 12 percent, AB will be calculated as 0.5 x 12 and not as 0.5 percent x 12 percent.</w:t>
      </w:r>
    </w:p>
    <w:p>
      <w:pPr>
        <w:spacing w:after="0" w:line="187" w:lineRule="exact"/>
        <w:rPr>
          <w:rFonts w:ascii="Courier New" w:cs="Courier New" w:eastAsia="Courier New" w:hAnsi="Courier New"/>
          <w:sz w:val="16"/>
          <w:szCs w:val="16"/>
          <w:color w:val="auto"/>
        </w:rPr>
      </w:pPr>
    </w:p>
    <w:p>
      <w:pPr>
        <w:ind w:left="3160" w:right="2679" w:hanging="867"/>
        <w:spacing w:after="0" w:line="239" w:lineRule="auto"/>
        <w:tabs>
          <w:tab w:leader="none" w:pos="3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Calculations will be made on the basis of a 365 day year.</w:t>
      </w:r>
    </w:p>
    <w:p>
      <w:pPr>
        <w:spacing w:after="0" w:line="189" w:lineRule="exact"/>
        <w:rPr>
          <w:rFonts w:ascii="Courier New" w:cs="Courier New" w:eastAsia="Courier New" w:hAnsi="Courier New"/>
          <w:sz w:val="16"/>
          <w:szCs w:val="16"/>
          <w:color w:val="auto"/>
        </w:rPr>
      </w:pPr>
    </w:p>
    <w:p>
      <w:pPr>
        <w:ind w:left="3160" w:right="2679" w:hanging="867"/>
        <w:spacing w:after="0" w:line="271" w:lineRule="auto"/>
        <w:tabs>
          <w:tab w:leader="none" w:pos="31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negative result obtained from subtracting E from B or F from B shall be zero.</w:t>
      </w:r>
    </w:p>
    <w:p>
      <w:pPr>
        <w:spacing w:after="0" w:line="166" w:lineRule="exact"/>
        <w:rPr>
          <w:rFonts w:ascii="Courier New" w:cs="Courier New" w:eastAsia="Courier New" w:hAnsi="Courier New"/>
          <w:sz w:val="15"/>
          <w:szCs w:val="15"/>
          <w:color w:val="auto"/>
        </w:rPr>
      </w:pPr>
    </w:p>
    <w:p>
      <w:pPr>
        <w:ind w:left="3160" w:right="2599" w:hanging="867"/>
        <w:spacing w:after="0" w:line="241" w:lineRule="auto"/>
        <w:tabs>
          <w:tab w:leader="none" w:pos="3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arithmetic mean of the resulting figures for each Reference Bank shall be calculated and shall be rounded upwards, to the fourth decimal place.</w:t>
      </w:r>
    </w:p>
    <w:p>
      <w:pPr>
        <w:spacing w:after="0" w:line="189" w:lineRule="exact"/>
        <w:rPr>
          <w:rFonts w:ascii="Courier New" w:cs="Courier New" w:eastAsia="Courier New" w:hAnsi="Courier New"/>
          <w:sz w:val="16"/>
          <w:szCs w:val="16"/>
          <w:color w:val="auto"/>
        </w:rPr>
      </w:pPr>
    </w:p>
    <w:p>
      <w:pPr>
        <w:ind w:left="3160" w:right="2599" w:hanging="867"/>
        <w:spacing w:after="0"/>
        <w:tabs>
          <w:tab w:leader="none" w:pos="31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amounts calculated in accordance with this definition are payable on the last date of the Term to which they relate.</w:t>
      </w:r>
    </w:p>
    <w:p>
      <w:pPr>
        <w:spacing w:after="0" w:line="189" w:lineRule="exact"/>
        <w:rPr>
          <w:rFonts w:ascii="Courier New" w:cs="Courier New" w:eastAsia="Courier New" w:hAnsi="Courier New"/>
          <w:sz w:val="16"/>
          <w:szCs w:val="16"/>
          <w:color w:val="auto"/>
        </w:rPr>
      </w:pPr>
    </w:p>
    <w:p>
      <w:pPr>
        <w:ind w:left="3160" w:right="2599" w:hanging="867"/>
        <w:spacing w:after="0" w:line="263" w:lineRule="auto"/>
        <w:tabs>
          <w:tab w:leader="none" w:pos="31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of the Associated Costs Rate in relation to any period shall, in the absence of manifest error, be conclusive and binding on all parties hereto.</w:t>
      </w:r>
    </w:p>
    <w:p>
      <w:pPr>
        <w:spacing w:after="0" w:line="172" w:lineRule="exact"/>
        <w:rPr>
          <w:rFonts w:ascii="Courier New" w:cs="Courier New" w:eastAsia="Courier New" w:hAnsi="Courier New"/>
          <w:sz w:val="15"/>
          <w:szCs w:val="15"/>
          <w:color w:val="auto"/>
        </w:rPr>
      </w:pPr>
    </w:p>
    <w:p>
      <w:pPr>
        <w:ind w:left="3160" w:right="2599" w:hanging="867"/>
        <w:spacing w:after="0" w:line="259" w:lineRule="auto"/>
        <w:tabs>
          <w:tab w:leader="none" w:pos="31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may from time to time, after consultation with Scotts and the Banks, determine and notify to all the parties hereto any amendments or variation which are required to be made to the formula set out above in order to comply with any requirements from time to time imposed by the Bank of England in relation to Advances denominated in Sterling (including, without limitation, any requirements relating to Sterling primary liquidity) and, any such determination shall, in the absence of manifest error, be conclusive and binding on all the parties hereto.</w:t>
      </w:r>
    </w:p>
    <w:p>
      <w:pPr>
        <w:spacing w:after="0" w:line="18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"Moody's" shall mean Moody's Investors Service, Inc.</w:t>
      </w:r>
    </w:p>
    <w:p>
      <w:pPr>
        <w:spacing w:after="0" w:line="188" w:lineRule="exact"/>
        <w:rPr>
          <w:sz w:val="20"/>
          <w:szCs w:val="20"/>
          <w:color w:val="auto"/>
        </w:rPr>
      </w:pPr>
    </w:p>
    <w:p>
      <w:pPr>
        <w:ind w:left="580" w:right="3459" w:firstLine="858"/>
        <w:spacing w:after="0" w:line="271" w:lineRule="auto"/>
        <w:rPr>
          <w:sz w:val="20"/>
          <w:szCs w:val="20"/>
          <w:color w:val="auto"/>
        </w:rPr>
      </w:pPr>
      <w:r>
        <w:rPr>
          <w:rFonts w:ascii="Courier New" w:cs="Courier New" w:eastAsia="Courier New" w:hAnsi="Courier New"/>
          <w:sz w:val="15"/>
          <w:szCs w:val="15"/>
          <w:color w:val="auto"/>
        </w:rPr>
        <w:t>"Multi-employer Plan" shall mean a Plan which is a multi-employer plan as defined in Section 4001(a)(3) of ERISA.</w:t>
      </w:r>
    </w:p>
    <w:p>
      <w:pPr>
        <w:spacing w:after="0" w:line="166"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"Net Cash Proceeds" shall mean, when used in respect of any issuance of equity or subordinated notes, the aggregate cash proceeds received by the Borrower from such issuance (and any cash payments received in respect of promissory notes or other non-cash consideration delivered to the Borrower in respect of any such issuance), less (without duplication) the reasonable fees and expenses (including legal fees, consulting fees, accounting fees and brokers' and underwriters' commissions paid to third parties</w:t>
      </w:r>
    </w:p>
    <w:p>
      <w:pPr>
        <w:sectPr>
          <w:pgSz w:w="11900" w:h="16838" w:orient="portrait"/>
          <w:cols w:equalWidth="0" w:num="1">
            <w:col w:w="9939"/>
          </w:cols>
          <w:pgMar w:left="520" w:top="298"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21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372" w:lineRule="exact"/>
        <w:rPr>
          <w:sz w:val="20"/>
          <w:szCs w:val="20"/>
          <w:color w:val="auto"/>
        </w:rPr>
      </w:pPr>
    </w:p>
    <w:p>
      <w:pPr>
        <w:ind w:left="580" w:right="3059"/>
        <w:spacing w:after="0" w:line="239" w:lineRule="auto"/>
        <w:rPr>
          <w:sz w:val="20"/>
          <w:szCs w:val="20"/>
          <w:color w:val="auto"/>
        </w:rPr>
      </w:pPr>
      <w:r>
        <w:rPr>
          <w:rFonts w:ascii="Courier New" w:cs="Courier New" w:eastAsia="Courier New" w:hAnsi="Courier New"/>
          <w:sz w:val="16"/>
          <w:szCs w:val="16"/>
          <w:color w:val="auto"/>
        </w:rPr>
        <w:t>which are not Affiliates or Subsidiaries of the Borrower or to the Borrower) incurred in connection with such issuance.</w:t>
      </w:r>
    </w:p>
    <w:p>
      <w:pPr>
        <w:spacing w:after="0" w:line="189" w:lineRule="exact"/>
        <w:rPr>
          <w:sz w:val="20"/>
          <w:szCs w:val="20"/>
          <w:color w:val="auto"/>
        </w:rPr>
      </w:pPr>
    </w:p>
    <w:p>
      <w:pPr>
        <w:ind w:left="580" w:right="2879" w:firstLine="858"/>
        <w:spacing w:after="0"/>
        <w:rPr>
          <w:sz w:val="20"/>
          <w:szCs w:val="20"/>
          <w:color w:val="auto"/>
        </w:rPr>
      </w:pPr>
      <w:r>
        <w:rPr>
          <w:rFonts w:ascii="Courier New" w:cs="Courier New" w:eastAsia="Courier New" w:hAnsi="Courier New"/>
          <w:sz w:val="16"/>
          <w:szCs w:val="16"/>
          <w:color w:val="auto"/>
        </w:rPr>
        <w:t>"Note" shall mean (i) any Revolving Credit Note, (ii) the Swing Line Note or (iii) any Bid Note, as the context shall require; collectively, the "Notes".</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"Obligations"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the Notes and all other obligations and liabilities of the Borrower or any Subsidiary Borrower to the Administrative Agent or the Lenders, whether direct or indirect, absolute or contingent, due or to become due, now existing or hereafter incurred, which may arise under, out of, or in connection with, this Agreement, the Notes, the Scotts Guarantee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194" w:lineRule="exact"/>
        <w:rPr>
          <w:sz w:val="20"/>
          <w:szCs w:val="20"/>
          <w:color w:val="auto"/>
        </w:rPr>
      </w:pPr>
    </w:p>
    <w:p>
      <w:pPr>
        <w:ind w:left="580" w:right="2779" w:firstLine="858"/>
        <w:spacing w:after="0" w:line="242" w:lineRule="auto"/>
        <w:rPr>
          <w:sz w:val="20"/>
          <w:szCs w:val="20"/>
          <w:color w:val="auto"/>
        </w:rPr>
      </w:pPr>
      <w:r>
        <w:rPr>
          <w:rFonts w:ascii="Courier New" w:cs="Courier New" w:eastAsia="Courier New" w:hAnsi="Courier New"/>
          <w:sz w:val="16"/>
          <w:szCs w:val="16"/>
          <w:color w:val="auto"/>
        </w:rPr>
        <w:t>"Optional Currency" shall mean Australian dollars, Canadian dollars, German Deutschemarks, Dutch Gilder, Italian Lira, Spanish Peseta, British Pounds Sterling ("Sterling"), French Francs, Belgian Francs and other readily available and freely tradeable currencies in the London currency market that are approved by the Administrative Agent.</w:t>
      </w:r>
    </w:p>
    <w:p>
      <w:pPr>
        <w:spacing w:after="0" w:line="187"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"Optional Currency Equivalent" shall mean, on any Business Day with respect to any amount in Dollars, the amount of the relevant Optional Currency that could be purchased with such amount of Dollars using the foreign exchange rate for such Business Day specified in the definition of "Dollar Equivalent", as determined by the Administrative Agent.</w:t>
      </w:r>
    </w:p>
    <w:p>
      <w:pPr>
        <w:spacing w:after="0" w:line="187"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"Participants" shall mean one or more banks or other entities to whom one or more Lenders have sold, in the ordinary course of business and in accordance with applicable law, participating interests in any Loan, Note, Revolving Credit Commitment or Term Loan Commitment or any other interest hereunder owing to such Lender.</w:t>
      </w:r>
    </w:p>
    <w:p>
      <w:pPr>
        <w:spacing w:after="0" w:line="190" w:lineRule="exact"/>
        <w:rPr>
          <w:sz w:val="20"/>
          <w:szCs w:val="20"/>
          <w:color w:val="auto"/>
        </w:rPr>
      </w:pPr>
    </w:p>
    <w:p>
      <w:pPr>
        <w:ind w:left="580" w:right="2979" w:firstLine="858"/>
        <w:spacing w:after="0" w:line="271" w:lineRule="auto"/>
        <w:rPr>
          <w:sz w:val="20"/>
          <w:szCs w:val="20"/>
          <w:color w:val="auto"/>
        </w:rPr>
      </w:pPr>
      <w:r>
        <w:rPr>
          <w:rFonts w:ascii="Courier New" w:cs="Courier New" w:eastAsia="Courier New" w:hAnsi="Courier New"/>
          <w:sz w:val="15"/>
          <w:szCs w:val="15"/>
          <w:color w:val="auto"/>
        </w:rPr>
        <w:t>"PBGC" shall mean the Pension Benefit Guaranty Corporation established pursuant to Subtitle A of Title IV of ERISA.</w:t>
      </w:r>
    </w:p>
    <w:p>
      <w:pPr>
        <w:spacing w:after="0" w:line="166" w:lineRule="exact"/>
        <w:rPr>
          <w:sz w:val="20"/>
          <w:szCs w:val="20"/>
          <w:color w:val="auto"/>
        </w:rPr>
      </w:pPr>
    </w:p>
    <w:p>
      <w:pPr>
        <w:ind w:left="580" w:right="2779" w:firstLine="858"/>
        <w:spacing w:after="0" w:line="239" w:lineRule="auto"/>
        <w:rPr>
          <w:sz w:val="20"/>
          <w:szCs w:val="20"/>
          <w:color w:val="auto"/>
        </w:rPr>
      </w:pPr>
      <w:r>
        <w:rPr>
          <w:rFonts w:ascii="Courier New" w:cs="Courier New" w:eastAsia="Courier New" w:hAnsi="Courier New"/>
          <w:sz w:val="16"/>
          <w:szCs w:val="16"/>
          <w:color w:val="auto"/>
        </w:rPr>
        <w:t>"Permitted Foreign Debt" shall have the meaning specified in subsection 7.6(d).</w:t>
      </w:r>
    </w:p>
    <w:p>
      <w:pPr>
        <w:spacing w:after="0" w:line="189" w:lineRule="exact"/>
        <w:rPr>
          <w:sz w:val="20"/>
          <w:szCs w:val="20"/>
          <w:color w:val="auto"/>
        </w:rPr>
      </w:pPr>
    </w:p>
    <w:p>
      <w:pPr>
        <w:ind w:left="580" w:right="2599" w:firstLine="858"/>
        <w:spacing w:after="0" w:line="263" w:lineRule="auto"/>
        <w:rPr>
          <w:sz w:val="20"/>
          <w:szCs w:val="20"/>
          <w:color w:val="auto"/>
        </w:rPr>
      </w:pPr>
      <w:r>
        <w:rPr>
          <w:rFonts w:ascii="Courier New" w:cs="Courier New" w:eastAsia="Courier New" w:hAnsi="Courier New"/>
          <w:sz w:val="15"/>
          <w:szCs w:val="15"/>
          <w:color w:val="auto"/>
        </w:rPr>
        <w:t>"Person" shall mean an individual, a partnership, a corporation, a limited liability company, a business trust, a joint stock company, a trust, an unincorporated association, a joint venture, a Governmental Authority or any other entity of whatever nature.</w:t>
      </w:r>
    </w:p>
    <w:p>
      <w:pPr>
        <w:sectPr>
          <w:pgSz w:w="11900" w:h="16838" w:orient="portrait"/>
          <w:cols w:equalWidth="0" w:num="1">
            <w:col w:w="9939"/>
          </w:cols>
          <w:pgMar w:left="520" w:top="298"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22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17</w:t>
      </w:r>
    </w:p>
    <w:p>
      <w:pPr>
        <w:spacing w:after="0" w:line="372"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"Plan"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"Properties" shall have the meaning specified in subsection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4.15.</w:t>
      </w:r>
    </w:p>
    <w:p>
      <w:pPr>
        <w:spacing w:after="0" w:line="188" w:lineRule="exact"/>
        <w:rPr>
          <w:sz w:val="20"/>
          <w:szCs w:val="20"/>
          <w:color w:val="auto"/>
        </w:rPr>
      </w:pPr>
    </w:p>
    <w:p>
      <w:pPr>
        <w:ind w:left="580" w:right="2599" w:firstLine="858"/>
        <w:spacing w:after="0" w:line="260" w:lineRule="auto"/>
        <w:rPr>
          <w:sz w:val="20"/>
          <w:szCs w:val="20"/>
          <w:color w:val="auto"/>
        </w:rPr>
      </w:pPr>
      <w:r>
        <w:rPr>
          <w:rFonts w:ascii="Courier New" w:cs="Courier New" w:eastAsia="Courier New" w:hAnsi="Courier New"/>
          <w:sz w:val="15"/>
          <w:szCs w:val="15"/>
          <w:color w:val="auto"/>
        </w:rPr>
        <w:t>"Rating" shall mean the respective rating, actual or implied, of each of the Rating Agencies applicable to the long-term senior unsecured, or senior unsecured bank, non-credit enhanced debt of the Borrower, as announced by the Rating Agencies from time to time; provided, however, that if such a rating is not available from Moody's, the rating of Moody's hereunder shall be deemed to be the rating of Moody's immediately higher than the rating of Moody's applicable to the Subordinated Notes, as announced by Moody's from time to time.</w:t>
      </w:r>
    </w:p>
    <w:p>
      <w:pPr>
        <w:spacing w:after="0" w:line="17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"Rating Agencies" shall mean collectively, S&amp;P and Moody's.</w:t>
      </w:r>
    </w:p>
    <w:p>
      <w:pPr>
        <w:spacing w:after="0" w:line="188" w:lineRule="exact"/>
        <w:rPr>
          <w:sz w:val="20"/>
          <w:szCs w:val="20"/>
          <w:color w:val="auto"/>
        </w:rPr>
      </w:pPr>
    </w:p>
    <w:p>
      <w:pPr>
        <w:ind w:left="580" w:right="2679" w:firstLine="858"/>
        <w:spacing w:after="0" w:line="239" w:lineRule="auto"/>
        <w:rPr>
          <w:sz w:val="20"/>
          <w:szCs w:val="20"/>
          <w:color w:val="auto"/>
        </w:rPr>
      </w:pPr>
      <w:r>
        <w:rPr>
          <w:rFonts w:ascii="Courier New" w:cs="Courier New" w:eastAsia="Courier New" w:hAnsi="Courier New"/>
          <w:sz w:val="16"/>
          <w:szCs w:val="16"/>
          <w:color w:val="auto"/>
        </w:rPr>
        <w:t>"Rating Category" shall mean each of Level I, Level II, Level III, Level IV and Level V.</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"Reference Lender" shall mean Chase.</w:t>
      </w:r>
    </w:p>
    <w:p>
      <w:pPr>
        <w:spacing w:after="0" w:line="188"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"Refunded Swing Line Loans" shall have the meaning assigned to such term in subsection 2.3(b).</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"Register" shall have the meaning specified in subsection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10.6(d).</w:t>
      </w:r>
    </w:p>
    <w:p>
      <w:pPr>
        <w:spacing w:after="0" w:line="188" w:lineRule="exact"/>
        <w:rPr>
          <w:sz w:val="20"/>
          <w:szCs w:val="20"/>
          <w:color w:val="auto"/>
        </w:rPr>
      </w:pPr>
    </w:p>
    <w:p>
      <w:pPr>
        <w:ind w:left="580" w:right="3059" w:firstLine="858"/>
        <w:spacing w:after="0"/>
        <w:rPr>
          <w:sz w:val="20"/>
          <w:szCs w:val="20"/>
          <w:color w:val="auto"/>
        </w:rPr>
      </w:pPr>
      <w:r>
        <w:rPr>
          <w:rFonts w:ascii="Courier New" w:cs="Courier New" w:eastAsia="Courier New" w:hAnsi="Courier New"/>
          <w:sz w:val="16"/>
          <w:szCs w:val="16"/>
          <w:color w:val="auto"/>
        </w:rPr>
        <w:t>"Reimbursement Obligation" shall mean the Borrower's obligation to reimburse the Administrative Agent on account of the Letters of Credit as provided in Section 3.</w:t>
      </w:r>
    </w:p>
    <w:p>
      <w:pPr>
        <w:spacing w:after="0" w:line="190"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"Reorganization" shall mean, with respect to any Multi-employer Plan, the condition that such Plan is in reorganization within the meaning of such term as used in Section 4241 of ERISA.</w:t>
      </w:r>
    </w:p>
    <w:p>
      <w:pPr>
        <w:spacing w:after="0" w:line="190"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"Reportable Event" shall mean any of the events set forth in Section 4043(b) of ERISA or the regulations thereunder (with respect to which the PBGC has not, by regulation, waived the 30-day notice requirement).</w:t>
      </w:r>
    </w:p>
    <w:p>
      <w:pPr>
        <w:spacing w:after="0" w:line="189" w:lineRule="exact"/>
        <w:rPr>
          <w:sz w:val="20"/>
          <w:szCs w:val="20"/>
          <w:color w:val="auto"/>
        </w:rPr>
      </w:pPr>
    </w:p>
    <w:p>
      <w:pPr>
        <w:ind w:left="580" w:right="3159" w:firstLine="858"/>
        <w:spacing w:after="0" w:line="239" w:lineRule="auto"/>
        <w:rPr>
          <w:sz w:val="20"/>
          <w:szCs w:val="20"/>
          <w:color w:val="auto"/>
        </w:rPr>
      </w:pPr>
      <w:r>
        <w:rPr>
          <w:rFonts w:ascii="Courier New" w:cs="Courier New" w:eastAsia="Courier New" w:hAnsi="Courier New"/>
          <w:sz w:val="16"/>
          <w:szCs w:val="16"/>
          <w:color w:val="auto"/>
        </w:rPr>
        <w:t>"Required Lenders" shall mean, at any time, Lenders, the Commitment Percentages of which aggregate in excess of 50%.</w:t>
      </w:r>
    </w:p>
    <w:p>
      <w:pPr>
        <w:spacing w:after="0" w:line="189" w:lineRule="exact"/>
        <w:rPr>
          <w:sz w:val="20"/>
          <w:szCs w:val="20"/>
          <w:color w:val="auto"/>
        </w:rPr>
      </w:pPr>
    </w:p>
    <w:p>
      <w:pPr>
        <w:ind w:left="580" w:right="2679" w:firstLine="858"/>
        <w:spacing w:after="0" w:line="241" w:lineRule="auto"/>
        <w:rPr>
          <w:sz w:val="20"/>
          <w:szCs w:val="20"/>
          <w:color w:val="auto"/>
        </w:rPr>
      </w:pPr>
      <w:r>
        <w:rPr>
          <w:rFonts w:ascii="Courier New" w:cs="Courier New" w:eastAsia="Courier New" w:hAnsi="Courier New"/>
          <w:sz w:val="16"/>
          <w:szCs w:val="16"/>
          <w:color w:val="auto"/>
        </w:rPr>
        <w:t>"Requirement of Law" shall mean, as to any Person, the Certificate of Incorporation or Articles of Incorporation, as the case may be, and Code of Regulations and/or By-Laws or other organizational or governing documents of such Person, and any</w:t>
      </w:r>
    </w:p>
    <w:p>
      <w:pPr>
        <w:sectPr>
          <w:pgSz w:w="11900" w:h="16838" w:orient="portrait"/>
          <w:cols w:equalWidth="0" w:num="1">
            <w:col w:w="9939"/>
          </w:cols>
          <w:pgMar w:left="520" w:top="298"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18</w:t>
      </w:r>
    </w:p>
    <w:p>
      <w:pPr>
        <w:spacing w:after="0" w:line="372" w:lineRule="exact"/>
        <w:rPr>
          <w:sz w:val="20"/>
          <w:szCs w:val="20"/>
          <w:color w:val="auto"/>
        </w:rPr>
      </w:pPr>
    </w:p>
    <w:p>
      <w:pPr>
        <w:ind w:left="580" w:right="2599"/>
        <w:spacing w:after="0" w:line="241" w:lineRule="auto"/>
        <w:rPr>
          <w:sz w:val="20"/>
          <w:szCs w:val="20"/>
          <w:color w:val="auto"/>
        </w:rPr>
      </w:pPr>
      <w:r>
        <w:rPr>
          <w:rFonts w:ascii="Courier New" w:cs="Courier New" w:eastAsia="Courier New" w:hAnsi="Courier New"/>
          <w:sz w:val="16"/>
          <w:szCs w:val="16"/>
          <w:color w:val="auto"/>
        </w:rPr>
        <w:t>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9"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"Responsible Officer" shall mean, as to any Person, the Chairman, President or an Executive, Senior or other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187" w:lineRule="exact"/>
        <w:rPr>
          <w:sz w:val="20"/>
          <w:szCs w:val="20"/>
          <w:color w:val="auto"/>
        </w:rPr>
      </w:pPr>
    </w:p>
    <w:p>
      <w:pPr>
        <w:ind w:left="580" w:right="2879" w:firstLine="858"/>
        <w:spacing w:after="0" w:line="242" w:lineRule="auto"/>
        <w:rPr>
          <w:sz w:val="20"/>
          <w:szCs w:val="20"/>
          <w:color w:val="auto"/>
        </w:rPr>
      </w:pPr>
      <w:r>
        <w:rPr>
          <w:rFonts w:ascii="Courier New" w:cs="Courier New" w:eastAsia="Courier New" w:hAnsi="Courier New"/>
          <w:sz w:val="16"/>
          <w:szCs w:val="16"/>
          <w:color w:val="auto"/>
        </w:rPr>
        <w:t>"Revolving Credit Commitment" shall mean, as to any Lender, the amount set forth opposite its name on Schedule I.B. hereto under the heading "Revolving Credit Commitment", as such amount may be reduced from time to time in accordance with the provisions of subsection 2.8; collectively, as to all the Lenders, the "Revolving Credit Commitments".</w:t>
      </w:r>
    </w:p>
    <w:p>
      <w:pPr>
        <w:spacing w:after="0" w:line="187" w:lineRule="exact"/>
        <w:rPr>
          <w:sz w:val="20"/>
          <w:szCs w:val="20"/>
          <w:color w:val="auto"/>
        </w:rPr>
      </w:pPr>
    </w:p>
    <w:p>
      <w:pPr>
        <w:ind w:left="580" w:right="2979" w:firstLine="858"/>
        <w:spacing w:after="0" w:line="241" w:lineRule="auto"/>
        <w:rPr>
          <w:sz w:val="20"/>
          <w:szCs w:val="20"/>
          <w:color w:val="auto"/>
        </w:rPr>
      </w:pPr>
      <w:r>
        <w:rPr>
          <w:rFonts w:ascii="Courier New" w:cs="Courier New" w:eastAsia="Courier New" w:hAnsi="Courier New"/>
          <w:sz w:val="16"/>
          <w:szCs w:val="16"/>
          <w:color w:val="auto"/>
        </w:rPr>
        <w:t>"Revolving Credit Commitment Period" shall mean the period from and including the Effective Date to, but not including, the Termination Date or such earlier date as the Revolving Credit Commitments may terminate as provided herein.</w:t>
      </w:r>
    </w:p>
    <w:p>
      <w:pPr>
        <w:spacing w:after="0" w:line="189" w:lineRule="exact"/>
        <w:rPr>
          <w:sz w:val="20"/>
          <w:szCs w:val="20"/>
          <w:color w:val="auto"/>
        </w:rPr>
      </w:pPr>
    </w:p>
    <w:p>
      <w:pPr>
        <w:ind w:left="580" w:right="2779" w:firstLine="858"/>
        <w:spacing w:after="0" w:line="239" w:lineRule="auto"/>
        <w:rPr>
          <w:sz w:val="20"/>
          <w:szCs w:val="20"/>
          <w:color w:val="auto"/>
        </w:rPr>
      </w:pPr>
      <w:r>
        <w:rPr>
          <w:rFonts w:ascii="Courier New" w:cs="Courier New" w:eastAsia="Courier New" w:hAnsi="Courier New"/>
          <w:sz w:val="16"/>
          <w:szCs w:val="16"/>
          <w:color w:val="auto"/>
        </w:rPr>
        <w:t>"Revolving Credit Loan" shall mean any Loan made pursuant to subsection 2.1; collectively, the "Revolving Credit Loans".</w:t>
      </w:r>
    </w:p>
    <w:p>
      <w:pPr>
        <w:spacing w:after="0" w:line="189" w:lineRule="exact"/>
        <w:rPr>
          <w:sz w:val="20"/>
          <w:szCs w:val="20"/>
          <w:color w:val="auto"/>
        </w:rPr>
      </w:pPr>
    </w:p>
    <w:p>
      <w:pPr>
        <w:ind w:left="580" w:right="2979" w:firstLine="858"/>
        <w:spacing w:after="0" w:line="239" w:lineRule="auto"/>
        <w:rPr>
          <w:sz w:val="20"/>
          <w:szCs w:val="20"/>
          <w:color w:val="auto"/>
        </w:rPr>
      </w:pPr>
      <w:r>
        <w:rPr>
          <w:rFonts w:ascii="Courier New" w:cs="Courier New" w:eastAsia="Courier New" w:hAnsi="Courier New"/>
          <w:sz w:val="16"/>
          <w:szCs w:val="16"/>
          <w:color w:val="auto"/>
        </w:rPr>
        <w:t>"Revolving Credit Note" shall have the meaning assigned to such term in subsection 2.6(e).</w:t>
      </w:r>
    </w:p>
    <w:p>
      <w:pPr>
        <w:spacing w:after="0" w:line="186"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"S&amp;P" shall mean Standard &amp; Poor's Rating Group.</w:t>
      </w:r>
    </w:p>
    <w:p>
      <w:pPr>
        <w:spacing w:after="0" w:line="188"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"Scotts Guarantee" shall mean the Guarantee to be executed and delivered by Scotts, substantially in the form of Exhibit E, as the same may be amended, supplemented or otherwise modified from time to time.</w:t>
      </w:r>
    </w:p>
    <w:p>
      <w:pPr>
        <w:spacing w:after="0" w:line="189" w:lineRule="exact"/>
        <w:rPr>
          <w:sz w:val="20"/>
          <w:szCs w:val="20"/>
          <w:color w:val="auto"/>
        </w:rPr>
      </w:pPr>
    </w:p>
    <w:p>
      <w:pPr>
        <w:ind w:left="580" w:right="2779" w:firstLine="858"/>
        <w:spacing w:after="0" w:line="241" w:lineRule="auto"/>
        <w:rPr>
          <w:sz w:val="20"/>
          <w:szCs w:val="20"/>
          <w:color w:val="auto"/>
        </w:rPr>
      </w:pPr>
      <w:r>
        <w:rPr>
          <w:rFonts w:ascii="Courier New" w:cs="Courier New" w:eastAsia="Courier New" w:hAnsi="Courier New"/>
          <w:sz w:val="16"/>
          <w:szCs w:val="16"/>
          <w:color w:val="auto"/>
        </w:rPr>
        <w:t>"Screen" shall mean, with respect to any currency, the relevant Dow Jones Markets Page on which appears the LIBOR Base Rate for deposits in such currency; provided that, if there is no such Dow Jones Markets Page, the relevant Reuters Screen Page will be substituted.</w:t>
      </w:r>
    </w:p>
    <w:p>
      <w:pPr>
        <w:spacing w:after="0" w:line="190"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"Single Employer Plan" shall mean any Plan which is covered by Title IV of ERISA but which is not a Multi-employer Plan.</w:t>
      </w:r>
    </w:p>
    <w:p>
      <w:pPr>
        <w:spacing w:after="0" w:line="189" w:lineRule="exact"/>
        <w:rPr>
          <w:sz w:val="20"/>
          <w:szCs w:val="20"/>
          <w:color w:val="auto"/>
        </w:rPr>
      </w:pPr>
    </w:p>
    <w:p>
      <w:pPr>
        <w:ind w:left="580" w:right="2779" w:firstLine="858"/>
        <w:spacing w:after="0" w:line="239" w:lineRule="auto"/>
        <w:rPr>
          <w:sz w:val="20"/>
          <w:szCs w:val="20"/>
          <w:color w:val="auto"/>
        </w:rPr>
      </w:pPr>
      <w:r>
        <w:rPr>
          <w:rFonts w:ascii="Courier New" w:cs="Courier New" w:eastAsia="Courier New" w:hAnsi="Courier New"/>
          <w:sz w:val="16"/>
          <w:szCs w:val="16"/>
          <w:color w:val="auto"/>
        </w:rPr>
        <w:t>"Standby L/C" and "Standby L/Cs" shall each have the meaning specified in subsection 3.1(a).</w:t>
      </w:r>
    </w:p>
    <w:p>
      <w:pPr>
        <w:spacing w:after="0" w:line="189" w:lineRule="exact"/>
        <w:rPr>
          <w:sz w:val="20"/>
          <w:szCs w:val="20"/>
          <w:color w:val="auto"/>
        </w:rPr>
      </w:pPr>
    </w:p>
    <w:p>
      <w:pPr>
        <w:ind w:left="580" w:right="3359" w:firstLine="858"/>
        <w:spacing w:after="0"/>
        <w:rPr>
          <w:sz w:val="20"/>
          <w:szCs w:val="20"/>
          <w:color w:val="auto"/>
        </w:rPr>
      </w:pPr>
      <w:r>
        <w:rPr>
          <w:rFonts w:ascii="Courier New" w:cs="Courier New" w:eastAsia="Courier New" w:hAnsi="Courier New"/>
          <w:sz w:val="16"/>
          <w:szCs w:val="16"/>
          <w:color w:val="auto"/>
        </w:rPr>
        <w:t>"Subordinated Debt" shall mean the Indebtedness of the Borrower pursuant to the Subordinated Note Indenture and the Subordinated Notes.</w:t>
      </w:r>
    </w:p>
    <w:p>
      <w:pPr>
        <w:sectPr>
          <w:pgSz w:w="11900" w:h="16838" w:orient="portrait"/>
          <w:cols w:equalWidth="0" w:num="1">
            <w:col w:w="9939"/>
          </w:cols>
          <w:pgMar w:left="520" w:top="298"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24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19</w:t>
      </w:r>
    </w:p>
    <w:p>
      <w:pPr>
        <w:spacing w:after="0" w:line="372"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"Subordinated Note Indenture" shall mean the Indenture dated as of June 1, 1994 between the Borrower and Chemical Bank (now known as Chase) as Trustee, as supplemented by the First Supplemental Indenture dated as of July 12, 1994, the Second Supplemental Indenture dated as of September 20, 1994 and the Third Supplemental Indenture dated as of September 30, 1994, in each case as the same may be amended, supplemented, waived or otherwise modified from time to time.</w:t>
      </w:r>
    </w:p>
    <w:p>
      <w:pPr>
        <w:spacing w:after="0" w:line="188"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"Subordinated Notes" shall mean the subordinated notes of the Borrower issued in the aggregate principal amount of $100,000,000 pursuant to the Subordinated Note Indenture.</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"Subsidiary" shall mean, as to any Person, a corporation of which shares of stock having ordinary voting power (other than stock having such power only by reason of the happening of a contingency) to elect a majority of the board of directors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9" w:lineRule="exact"/>
        <w:rPr>
          <w:sz w:val="20"/>
          <w:szCs w:val="20"/>
          <w:color w:val="auto"/>
        </w:rPr>
      </w:pPr>
    </w:p>
    <w:p>
      <w:pPr>
        <w:ind w:left="580" w:right="2879" w:firstLine="858"/>
        <w:spacing w:after="0" w:line="242" w:lineRule="auto"/>
        <w:rPr>
          <w:sz w:val="20"/>
          <w:szCs w:val="20"/>
          <w:color w:val="auto"/>
        </w:rPr>
      </w:pPr>
      <w:r>
        <w:rPr>
          <w:rFonts w:ascii="Courier New" w:cs="Courier New" w:eastAsia="Courier New" w:hAnsi="Courier New"/>
          <w:sz w:val="16"/>
          <w:szCs w:val="16"/>
          <w:color w:val="auto"/>
        </w:rPr>
        <w:t>"Subsidiary Borrowers" shall mean O.M. Scott International Investments Limited, Miracle Garden Care Limited, Scotts Holdings Limited, Hyponex Corporation, Scotts' Miracle-Gro Products, Inc., Scotts-Sierra Horticultural Products Company, Republic Tool &amp; Manufacturing Corp. and all existing or future, domestic or foreign, Subsidiaries then designated by the Borrower pursuant to subsection 10.1(b).</w:t>
      </w:r>
    </w:p>
    <w:p>
      <w:pPr>
        <w:spacing w:after="0" w:line="188"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"Subsidiary Guarantors" shall mean (a) each Domestic Subsidiary of the Borrower (other than as scheduled on Schedule I.2) and (b) each Subsidiary acquired or organized subsequent to the Effective Date, except, in the case of any Foreign Subsidiary, to the extent a guarantee by such Foreign Subsidiary would, in the reasonable judgment of the Borrower, have adverse tax consequences for the Borrower or the applicable Subsidiary or would be deemed an unlawful act of such Foreign Subsidiary, or of any of its officers or directors, under the laws of the applicable foreign jurisdiction.</w:t>
      </w:r>
    </w:p>
    <w:p>
      <w:pPr>
        <w:spacing w:after="0" w:line="189" w:lineRule="exact"/>
        <w:rPr>
          <w:sz w:val="20"/>
          <w:szCs w:val="20"/>
          <w:color w:val="auto"/>
        </w:rPr>
      </w:pPr>
    </w:p>
    <w:p>
      <w:pPr>
        <w:ind w:left="580" w:right="2599" w:firstLine="858"/>
        <w:spacing w:after="0" w:line="241" w:lineRule="auto"/>
        <w:rPr>
          <w:sz w:val="20"/>
          <w:szCs w:val="20"/>
          <w:color w:val="auto"/>
        </w:rPr>
      </w:pPr>
      <w:r>
        <w:rPr>
          <w:rFonts w:ascii="Courier New" w:cs="Courier New" w:eastAsia="Courier New" w:hAnsi="Courier New"/>
          <w:sz w:val="16"/>
          <w:szCs w:val="16"/>
          <w:color w:val="auto"/>
        </w:rPr>
        <w:t>"Subsidiaries Guarantee" shall mean the Subsidiaries Guarantee dated as of the date hereof, substantially in the form of Exhibit F hereto, as the same may be amended, modified or supplemented from time to time.</w:t>
      </w:r>
    </w:p>
    <w:p>
      <w:pPr>
        <w:spacing w:after="0" w:line="189"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"Swing Line Commitment" shall mean the obligation of Chase, at any date, to make a Swing Line Loan pursuant to subsection 2.3(a) in the amount referred to therein.</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"Swing Line Lender" shall mean Chase.</w:t>
      </w:r>
    </w:p>
    <w:p>
      <w:pPr>
        <w:spacing w:after="0" w:line="188" w:lineRule="exact"/>
        <w:rPr>
          <w:sz w:val="20"/>
          <w:szCs w:val="20"/>
          <w:color w:val="auto"/>
        </w:rPr>
      </w:pPr>
    </w:p>
    <w:p>
      <w:pPr>
        <w:ind w:left="580" w:right="3159" w:firstLine="858"/>
        <w:spacing w:after="0" w:line="239" w:lineRule="auto"/>
        <w:rPr>
          <w:sz w:val="20"/>
          <w:szCs w:val="20"/>
          <w:color w:val="auto"/>
        </w:rPr>
      </w:pPr>
      <w:r>
        <w:rPr>
          <w:rFonts w:ascii="Courier New" w:cs="Courier New" w:eastAsia="Courier New" w:hAnsi="Courier New"/>
          <w:sz w:val="16"/>
          <w:szCs w:val="16"/>
          <w:color w:val="auto"/>
        </w:rPr>
        <w:t>"Swing Line Loan Participation Certificate" shall mean a certificate, substantially in the form of Exhibit G hereto.</w:t>
      </w:r>
    </w:p>
    <w:p>
      <w:pPr>
        <w:sectPr>
          <w:pgSz w:w="11900" w:h="16838" w:orient="portrait"/>
          <w:cols w:equalWidth="0" w:num="1">
            <w:col w:w="9939"/>
          </w:cols>
          <w:pgMar w:left="520" w:top="298"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25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20</w:t>
      </w:r>
    </w:p>
    <w:p>
      <w:pPr>
        <w:spacing w:after="0" w:line="372" w:lineRule="exact"/>
        <w:rPr>
          <w:sz w:val="20"/>
          <w:szCs w:val="20"/>
          <w:color w:val="auto"/>
        </w:rPr>
      </w:pPr>
    </w:p>
    <w:p>
      <w:pPr>
        <w:ind w:left="580" w:right="2979" w:firstLine="858"/>
        <w:spacing w:after="0" w:line="239" w:lineRule="auto"/>
        <w:rPr>
          <w:sz w:val="20"/>
          <w:szCs w:val="20"/>
          <w:color w:val="auto"/>
        </w:rPr>
      </w:pPr>
      <w:r>
        <w:rPr>
          <w:rFonts w:ascii="Courier New" w:cs="Courier New" w:eastAsia="Courier New" w:hAnsi="Courier New"/>
          <w:sz w:val="16"/>
          <w:szCs w:val="16"/>
          <w:color w:val="auto"/>
        </w:rPr>
        <w:t>"Swing Line Loans" shall have the meaning assigned to such term in subsection 2.3(a).</w:t>
      </w:r>
    </w:p>
    <w:p>
      <w:pPr>
        <w:spacing w:after="0" w:line="189"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"Swing Line Note" shall have the meaning assigned to such term in subsection 2.6(e).</w:t>
      </w:r>
    </w:p>
    <w:p>
      <w:pPr>
        <w:spacing w:after="0" w:line="189" w:lineRule="exact"/>
        <w:rPr>
          <w:sz w:val="20"/>
          <w:szCs w:val="20"/>
          <w:color w:val="auto"/>
        </w:rPr>
      </w:pPr>
    </w:p>
    <w:p>
      <w:pPr>
        <w:ind w:left="580" w:right="2599" w:firstLine="858"/>
        <w:spacing w:after="0" w:line="239" w:lineRule="auto"/>
        <w:rPr>
          <w:sz w:val="20"/>
          <w:szCs w:val="20"/>
          <w:color w:val="auto"/>
        </w:rPr>
      </w:pPr>
      <w:r>
        <w:rPr>
          <w:rFonts w:ascii="Courier New" w:cs="Courier New" w:eastAsia="Courier New" w:hAnsi="Courier New"/>
          <w:sz w:val="16"/>
          <w:szCs w:val="16"/>
          <w:color w:val="auto"/>
        </w:rPr>
        <w:t>"Termination Date" shall mean February 26, 2003 upon which the Revolving Credit Commitments shall terminate as provided herein.</w:t>
      </w:r>
    </w:p>
    <w:p>
      <w:pPr>
        <w:spacing w:after="0" w:line="189" w:lineRule="exact"/>
        <w:rPr>
          <w:sz w:val="20"/>
          <w:szCs w:val="20"/>
          <w:color w:val="auto"/>
        </w:rPr>
      </w:pPr>
    </w:p>
    <w:p>
      <w:pPr>
        <w:ind w:left="580" w:right="2599" w:firstLine="858"/>
        <w:spacing w:after="0"/>
        <w:rPr>
          <w:sz w:val="20"/>
          <w:szCs w:val="20"/>
          <w:color w:val="auto"/>
        </w:rPr>
      </w:pPr>
      <w:r>
        <w:rPr>
          <w:rFonts w:ascii="Courier New" w:cs="Courier New" w:eastAsia="Courier New" w:hAnsi="Courier New"/>
          <w:sz w:val="16"/>
          <w:szCs w:val="16"/>
          <w:color w:val="auto"/>
        </w:rPr>
        <w:t>"Total Capitalization" shall mean, in respect of any Person at a particular date, the sum at such date of the Total Indebtedness of such Person and the Consolidated Net Worth of such Person.</w:t>
      </w:r>
    </w:p>
    <w:p>
      <w:pPr>
        <w:spacing w:after="0" w:line="190" w:lineRule="exact"/>
        <w:rPr>
          <w:sz w:val="20"/>
          <w:szCs w:val="20"/>
          <w:color w:val="auto"/>
        </w:rPr>
      </w:pPr>
    </w:p>
    <w:p>
      <w:pPr>
        <w:ind w:left="580" w:right="2599" w:firstLine="858"/>
        <w:spacing w:after="0" w:line="242" w:lineRule="auto"/>
        <w:rPr>
          <w:sz w:val="20"/>
          <w:szCs w:val="20"/>
          <w:color w:val="auto"/>
        </w:rPr>
      </w:pPr>
      <w:r>
        <w:rPr>
          <w:rFonts w:ascii="Courier New" w:cs="Courier New" w:eastAsia="Courier New" w:hAnsi="Courier New"/>
          <w:sz w:val="16"/>
          <w:szCs w:val="16"/>
          <w:color w:val="auto"/>
        </w:rPr>
        <w:t>"Total Indebtedness" shall mean, in respect of any Person at a particular date, the sum at such date of (a) the aggregate outstanding principal amount of all Indebtedness for borrowed money of such Person and (b) all other items which would properly be included as indebtedness, determined in accordance with GAAP, on a consolidated balance sheet of such Person and its Subsidiaries.</w:t>
      </w:r>
    </w:p>
    <w:p>
      <w:pPr>
        <w:spacing w:after="0" w:line="187" w:lineRule="exact"/>
        <w:rPr>
          <w:sz w:val="20"/>
          <w:szCs w:val="20"/>
          <w:color w:val="auto"/>
        </w:rPr>
      </w:pPr>
    </w:p>
    <w:p>
      <w:pPr>
        <w:ind w:left="580" w:right="2879" w:firstLine="858"/>
        <w:spacing w:after="0" w:line="239" w:lineRule="auto"/>
        <w:rPr>
          <w:sz w:val="20"/>
          <w:szCs w:val="20"/>
          <w:color w:val="auto"/>
        </w:rPr>
      </w:pPr>
      <w:r>
        <w:rPr>
          <w:rFonts w:ascii="Courier New" w:cs="Courier New" w:eastAsia="Courier New" w:hAnsi="Courier New"/>
          <w:sz w:val="16"/>
          <w:szCs w:val="16"/>
          <w:color w:val="auto"/>
        </w:rPr>
        <w:t>"Trade L/C" shall have the meaning assigned to such term in subsection 3.1(a).</w:t>
      </w:r>
    </w:p>
    <w:p>
      <w:pPr>
        <w:spacing w:after="0" w:line="189" w:lineRule="exact"/>
        <w:rPr>
          <w:sz w:val="20"/>
          <w:szCs w:val="20"/>
          <w:color w:val="auto"/>
        </w:rPr>
      </w:pPr>
    </w:p>
    <w:p>
      <w:pPr>
        <w:ind w:left="580" w:right="2679" w:firstLine="858"/>
        <w:spacing w:after="0"/>
        <w:rPr>
          <w:sz w:val="20"/>
          <w:szCs w:val="20"/>
          <w:color w:val="auto"/>
        </w:rPr>
      </w:pPr>
      <w:r>
        <w:rPr>
          <w:rFonts w:ascii="Courier New" w:cs="Courier New" w:eastAsia="Courier New" w:hAnsi="Courier New"/>
          <w:sz w:val="16"/>
          <w:szCs w:val="16"/>
          <w:color w:val="auto"/>
        </w:rPr>
        <w:t>"Transfer Effective Date", with respect to any Assignment and Acceptance, shall have the meaning assigned to such term in such Assignment and Acceptance.</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"Type" as to any Loan, its nature as an ABR Loan or a LIBOR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Loan.</w:t>
      </w:r>
    </w:p>
    <w:p>
      <w:pPr>
        <w:spacing w:after="0" w:line="188" w:lineRule="exact"/>
        <w:rPr>
          <w:sz w:val="20"/>
          <w:szCs w:val="20"/>
          <w:color w:val="auto"/>
        </w:rPr>
      </w:pPr>
    </w:p>
    <w:p>
      <w:pPr>
        <w:ind w:left="580" w:right="2679" w:firstLine="858"/>
        <w:spacing w:after="0" w:line="241" w:lineRule="auto"/>
        <w:rPr>
          <w:sz w:val="20"/>
          <w:szCs w:val="20"/>
          <w:color w:val="auto"/>
        </w:rPr>
      </w:pPr>
      <w:r>
        <w:rPr>
          <w:rFonts w:ascii="Courier New" w:cs="Courier New" w:eastAsia="Courier New" w:hAnsi="Courier New"/>
          <w:sz w:val="16"/>
          <w:szCs w:val="16"/>
          <w:color w:val="auto"/>
        </w:rPr>
        <w:t>"Uniform Customs" shall mean the Uniform Customs and Practice for Documentary Credits (1993 Revision), International Chamber of Commerce Publication No. 500, as the same may be amended from time to time.</w:t>
      </w:r>
    </w:p>
    <w:p>
      <w:pPr>
        <w:spacing w:after="0" w:line="189" w:lineRule="exact"/>
        <w:rPr>
          <w:sz w:val="20"/>
          <w:szCs w:val="20"/>
          <w:color w:val="auto"/>
        </w:rPr>
      </w:pPr>
    </w:p>
    <w:p>
      <w:pPr>
        <w:ind w:left="580" w:right="2679" w:firstLine="858"/>
        <w:spacing w:after="0" w:line="241" w:lineRule="auto"/>
        <w:rPr>
          <w:sz w:val="20"/>
          <w:szCs w:val="20"/>
          <w:color w:val="auto"/>
        </w:rPr>
      </w:pPr>
      <w:r>
        <w:rPr>
          <w:rFonts w:ascii="Courier New" w:cs="Courier New" w:eastAsia="Courier New" w:hAnsi="Courier New"/>
          <w:sz w:val="16"/>
          <w:szCs w:val="16"/>
          <w:color w:val="auto"/>
        </w:rPr>
        <w:t>1.2 Other Definitional Provisions. (a) All terms defined in this Agreement shall have the defined meanings when used in the Notes, in any of the other Loan Documents or in any certificate or other document made or delivered pursuant hereto or thereto unless otherwise defined therein.</w:t>
      </w:r>
    </w:p>
    <w:p>
      <w:pPr>
        <w:spacing w:after="0" w:line="190" w:lineRule="exact"/>
        <w:rPr>
          <w:sz w:val="20"/>
          <w:szCs w:val="20"/>
          <w:color w:val="auto"/>
        </w:rPr>
      </w:pPr>
    </w:p>
    <w:p>
      <w:pPr>
        <w:ind w:left="580" w:right="2599" w:firstLine="855"/>
        <w:spacing w:after="0" w:line="241" w:lineRule="auto"/>
        <w:tabs>
          <w:tab w:leader="none" w:pos="18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in the Notes, in any of the other Loan Documents, or in any certificate or other document made or delivered pursuant hereto or thereto, accounting terms, to the extent not otherwise defined in subsection 1.1, shall have the respective meanings given to them under GAAP.</w:t>
      </w:r>
    </w:p>
    <w:p>
      <w:pPr>
        <w:spacing w:after="0" w:line="190" w:lineRule="exact"/>
        <w:rPr>
          <w:rFonts w:ascii="Courier New" w:cs="Courier New" w:eastAsia="Courier New" w:hAnsi="Courier New"/>
          <w:sz w:val="16"/>
          <w:szCs w:val="16"/>
          <w:color w:val="auto"/>
        </w:rPr>
      </w:pPr>
    </w:p>
    <w:p>
      <w:pPr>
        <w:ind w:left="580" w:right="2599" w:firstLine="855"/>
        <w:spacing w:after="0" w:line="241" w:lineRule="auto"/>
        <w:tabs>
          <w:tab w:leader="none" w:pos="18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ectPr>
          <w:pgSz w:w="11900" w:h="16838" w:orient="portrait"/>
          <w:cols w:equalWidth="0" w:num="1">
            <w:col w:w="9939"/>
          </w:cols>
          <w:pgMar w:left="520" w:top="298" w:right="1440" w:bottom="1440" w:gutter="0" w:footer="0" w:header="0"/>
        </w:sectPr>
      </w:pPr>
    </w:p>
    <w:bookmarkStart w:id="49" w:name="page50"/>
    <w:bookmarkEnd w:id="49"/>
    <w:p>
      <w:pPr>
        <w:ind w:left="282"/>
        <w:spacing w:after="0"/>
        <w:rPr>
          <w:sz w:val="20"/>
          <w:szCs w:val="20"/>
          <w:color w:val="auto"/>
        </w:rPr>
      </w:pPr>
      <w:r>
        <w:rPr>
          <w:rFonts w:ascii="Courier New" w:cs="Courier New" w:eastAsia="Courier New" w:hAnsi="Courier New"/>
          <w:sz w:val="16"/>
          <w:szCs w:val="16"/>
          <w:color w:val="auto"/>
        </w:rPr>
        <w:t>26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21</w:t>
      </w:r>
    </w:p>
    <w:p>
      <w:pPr>
        <w:spacing w:after="0" w:line="369"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SECTION 2. AMOUNT AND TERMS OF LOANS</w:t>
      </w:r>
    </w:p>
    <w:p>
      <w:pPr>
        <w:spacing w:after="0" w:line="188" w:lineRule="exact"/>
        <w:rPr>
          <w:sz w:val="20"/>
          <w:szCs w:val="20"/>
          <w:color w:val="auto"/>
        </w:rPr>
      </w:pPr>
    </w:p>
    <w:p>
      <w:pPr>
        <w:ind w:left="1722"/>
        <w:spacing w:after="0"/>
        <w:rPr>
          <w:sz w:val="20"/>
          <w:szCs w:val="20"/>
          <w:color w:val="auto"/>
        </w:rPr>
      </w:pPr>
      <w:r>
        <w:rPr>
          <w:rFonts w:ascii="Courier New" w:cs="Courier New" w:eastAsia="Courier New" w:hAnsi="Courier New"/>
          <w:sz w:val="15"/>
          <w:szCs w:val="15"/>
          <w:color w:val="auto"/>
        </w:rPr>
        <w:t>2.1 Revolving Credit Commitment. Subject to and upon the terms</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and conditions of this Agreement, each Lender severally (but not jointly) agrees</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to make Revolving Credit Loans to the Borrower and the Subsidiary Borrowers from</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time to time during the Revolving Credit Commitment Period in an aggregate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principal amount not to exceed the Available Commitment; provided that, after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giving effect to the making of such Revolving Credit Loans, the Aggregate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Outstanding Extensions of Credit will not exceed the Revolving Credit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Commitments and provided further that no Lender shall make any Revolving Credit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Loan in Optional Currencies if, after giving effect to the making of such</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Revolving Credit Loan, (i) the sum of the Dollar Equivalent of the then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outstanding Revolving Credit Loans in Optional Currencies other than Sterling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the then outstanding L/C Obligations in Optional Currencies other than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Sterling would exceed the Optional Currency Equivalent of $50,000,000 or (ii)</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sum of the outstanding Revolving Credit Loans in Optional Currencies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including Sterling and outstanding L/C Obligations in Optional Currencies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including Sterling would exceed the Optional Currency Equivalent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$250,000,000. During the Revolving Credit Commitment Period the Borrower and the</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Subsidiary Borrowers may use the Revolving Credit Commitments by borrowing,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prepaying the Revolving Credit Loans in whole or in part, and reborrowing, all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 accordance with the terms and conditions hereof. The Borrower and Domestic</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Subsidiary Borrowers may make ABR Loan and LIBOR Loan borrowings in Dollars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make LIBOR Loan borrowings in any Optional Currency under the Revolving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Credit Facility. Foreign Subsidiary Borrowers may make LIBOR Loan borrowings in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Dollars or in any Optional Currency under the Revolving Credit Facility.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Revolving Credit Loan which is made to the Borrower or any Subsidiary Borrower,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where the Borrower or such Subsidiary Borrower is a resident for taxation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purposes in the United Kingdom (i) shall be made by an Eligible U.K. Bank and</w:t>
      </w:r>
    </w:p>
    <w:p>
      <w:pPr>
        <w:spacing w:after="0" w:line="5" w:lineRule="exact"/>
        <w:rPr>
          <w:sz w:val="20"/>
          <w:szCs w:val="20"/>
          <w:color w:val="auto"/>
        </w:rPr>
      </w:pPr>
    </w:p>
    <w:p>
      <w:pPr>
        <w:ind w:left="2" w:right="2679" w:hanging="2"/>
        <w:spacing w:after="0" w:line="241" w:lineRule="auto"/>
        <w:tabs>
          <w:tab w:leader="none" w:pos="47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payable with respect thereto shall be beneficially owned by such Eligible U.K. Bank, unless such Lender is unable to comply. In such event, the Borrower or the relevant Subsidiary Borrower desiring to make a Revolving Credit Loan borrowing shall state in the notice requesting such advance that it is a resident of the United Kingdom for taxation purposes.</w:t>
      </w:r>
    </w:p>
    <w:p>
      <w:pPr>
        <w:spacing w:after="0" w:line="190" w:lineRule="exact"/>
        <w:rPr>
          <w:sz w:val="20"/>
          <w:szCs w:val="20"/>
          <w:color w:val="auto"/>
        </w:rPr>
      </w:pPr>
    </w:p>
    <w:p>
      <w:pPr>
        <w:ind w:left="2" w:right="2599" w:firstLine="1717"/>
        <w:spacing w:after="0" w:line="259" w:lineRule="auto"/>
        <w:rPr>
          <w:sz w:val="20"/>
          <w:szCs w:val="20"/>
          <w:color w:val="auto"/>
        </w:rPr>
      </w:pPr>
      <w:r>
        <w:rPr>
          <w:rFonts w:ascii="Courier New" w:cs="Courier New" w:eastAsia="Courier New" w:hAnsi="Courier New"/>
          <w:sz w:val="15"/>
          <w:szCs w:val="15"/>
          <w:color w:val="auto"/>
        </w:rPr>
        <w:t>2.2 Procedure for Revolving Credit Borrowing. (a) The Borrower and the Subsidiary Borrowers may borrow under the Revolving Credit Commitments during the Revolving Credit Commitment Period on any Business Day, subject to the limitation for Foreign Subsidiary Borrowers in subsection 2.1; provided that the Borrower or the relevant Subsidiary Borrower shall give the Administrative Agent irrevocable notice (1) (which notice must be received by the Administrative Agent prior to 11:00 A.M., New York City time) on the requested Borrowing Date, in the case of ABR Loans, (2) (which notice must be received by the Administrative Agent prior to 11:00 A.M., New York City time) three Business Days prior to the requested Borrowing Date, in the case of LIBOR Loans in Dollars and (3) (which notice must be received by 11:00 A.M. London time) two Business Days prior to the requested Borrowing Date, in the case of LIBOR Loans in Sterling and (4) (which notice must be received by the Administrative Agent prior to 11:00 A.M., London time) three Business Days prior to the requested Borrowing Date, in the case of LIBOR Loans in an Optional Currency other than</w:t>
      </w:r>
    </w:p>
    <w:p>
      <w:pPr>
        <w:sectPr>
          <w:pgSz w:w="11900" w:h="16838" w:orient="portrait"/>
          <w:cols w:equalWidth="0" w:num="1">
            <w:col w:w="10221"/>
          </w:cols>
          <w:pgMar w:left="238" w:top="298" w:right="1440" w:bottom="1440" w:gutter="0" w:footer="0" w:header="0"/>
        </w:sectPr>
      </w:pPr>
    </w:p>
    <w:bookmarkStart w:id="50" w:name="page51"/>
    <w:bookmarkEnd w:id="50"/>
    <w:p>
      <w:pPr>
        <w:ind w:left="282"/>
        <w:spacing w:after="0"/>
        <w:rPr>
          <w:sz w:val="20"/>
          <w:szCs w:val="20"/>
          <w:color w:val="auto"/>
        </w:rPr>
      </w:pPr>
      <w:r>
        <w:rPr>
          <w:rFonts w:ascii="Courier New" w:cs="Courier New" w:eastAsia="Courier New" w:hAnsi="Courier New"/>
          <w:sz w:val="16"/>
          <w:szCs w:val="16"/>
          <w:color w:val="auto"/>
        </w:rPr>
        <w:t>27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22</w:t>
      </w:r>
    </w:p>
    <w:p>
      <w:pPr>
        <w:spacing w:after="0" w:line="372"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Sterling, specifying (i) identity of the Borrower or Subsidiary Borrower borrowing and the amount and currency to be borrowed, (ii) the requested Borrowing Date, (iii) whether the borrowing is to be an ABR Loan (in the case of Revolving Credit Loans in Dollars) or a LIBOR Loan or a combination thereof, and</w:t>
      </w:r>
    </w:p>
    <w:p>
      <w:pPr>
        <w:ind w:left="2" w:right="2599" w:hanging="2"/>
        <w:spacing w:after="0" w:line="242" w:lineRule="auto"/>
        <w:tabs>
          <w:tab w:leader="none" w:pos="47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borrowing is to be entirely or partly a LIBOR Loan, the amount to be a LIBOR Loan and the length of the Interest Period for such LIBOR Loan. Each ABR borrowing by the Borrower or any Domestic Subsidiary Borrower pursuant to the Revolving Credit Commitments shall be in an aggregate principal amount equal to $1,000,000 or a whole multiple of $500,000 in excess thereof. Each LIBOR borrowing in Dollars by the Borrower or any Subsidiary Borrower pursuant to the Revolving Credit Commitments shall be in an aggregate principal amount equal to $1,000,000 or a whole multiple of $1,000,000 in excess thereof. Each LIBOR borrowing in an Optional Currency by the Borrower or any Subsidiary Borrower pursuant to the Revolving Credit Commitments shall be in an aggregate principal amount equal to $2,500,000 or a whole multiple of $1,000,000 in excess thereof in the Optional Currency Equivalent thereof.</w:t>
      </w:r>
    </w:p>
    <w:p>
      <w:pPr>
        <w:spacing w:after="0" w:line="191" w:lineRule="exact"/>
        <w:rPr>
          <w:rFonts w:ascii="Courier New" w:cs="Courier New" w:eastAsia="Courier New" w:hAnsi="Courier New"/>
          <w:sz w:val="16"/>
          <w:szCs w:val="16"/>
          <w:color w:val="auto"/>
        </w:rPr>
      </w:pPr>
    </w:p>
    <w:p>
      <w:pPr>
        <w:ind w:left="2" w:right="2599" w:firstLine="1715"/>
        <w:spacing w:after="0" w:line="242" w:lineRule="auto"/>
        <w:tabs>
          <w:tab w:leader="none" w:pos="21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any notice from the Borrower or a Subsidiary Borrower pursuant to this subsection 2.2, the Administrative Agent shall promptly notify each Lender thereof. Each Lender will make the amount of its pro rata share of each borrowing available to the Administrative Agent for the account of the Borrower or such Subsidiary Borrower at the office of the Administrative Agent specified in subsection 10.2 prior to 2:00 P.M., New York City time (or in the case of any payment in an Optional Currency at the place and time specified by the Administrative Agent from time to time), on the Borrowing Date requested by the Borrower or such Subsidiary Borrower in funds immediately available to the Administrative Agent. Such borrowing will then be made available to the Borrower or such Subsidiary Borrower by the Administrative Agent crediting the account of the Borrower or such Subsidiary Borrower on the books of such office with the aggregate of the amounts made available to the Administrative Agent by the Lenders and in like funds as received by the Administrative Agent.</w:t>
      </w:r>
    </w:p>
    <w:p>
      <w:pPr>
        <w:spacing w:after="0" w:line="193" w:lineRule="exact"/>
        <w:rPr>
          <w:sz w:val="20"/>
          <w:szCs w:val="20"/>
          <w:color w:val="auto"/>
        </w:rPr>
      </w:pPr>
    </w:p>
    <w:p>
      <w:pPr>
        <w:ind w:left="2" w:right="2599" w:firstLine="1717"/>
        <w:spacing w:after="0" w:line="242" w:lineRule="auto"/>
        <w:rPr>
          <w:sz w:val="20"/>
          <w:szCs w:val="20"/>
          <w:color w:val="auto"/>
        </w:rPr>
      </w:pPr>
      <w:r>
        <w:rPr>
          <w:rFonts w:ascii="Courier New" w:cs="Courier New" w:eastAsia="Courier New" w:hAnsi="Courier New"/>
          <w:sz w:val="16"/>
          <w:szCs w:val="16"/>
          <w:color w:val="auto"/>
        </w:rPr>
        <w:t>2.3 Swing Line Commitments. (a) Subject to the terms and conditions hereof, Chase agrees to make swing line loans (individually, a "Swing Line Loan"; collectively, the "Swing Line Loans") to the Borrower and any Subsidiary Borrower from time to time prior to the Termination Date in an aggregate principal amount not to exceed $20,000,000 at any one time outstanding, provided that, after giving effect to the making of such Swing Line Loans, the Aggregate Outstanding Extensions of Credit will not exceed the Revolving Credit Commitments. Amounts borrowed by the Borrower or any Subsidiary Borrower under this subsection 2.3 may be repaid and, during the Revolving Credit Commitment Period, reborrowed. All Swing Line Loans shall be made in Dollars as ABR Loans. The Borrower shall give Chase irrevocable notice (which notice must be received by Chase prior to 1:00 P.M., New York City time) on the requested borrowing date specifying the amount of each requested Swing Line Loan, which shall be in an aggregate minimum amount of $250,000 or a whole multiple thereof. The proceeds of each Swing Line Loan will be made available by Chase to the Borrower or the relevant Subsidiary Borrower by crediting the account of the Borrower or the relevant Subsidiary Borrower, as applicable, designated to Chase with such proceeds on the requested Borrowing Date.</w:t>
      </w:r>
    </w:p>
    <w:p>
      <w:pPr>
        <w:sectPr>
          <w:pgSz w:w="11900" w:h="16838" w:orient="portrait"/>
          <w:cols w:equalWidth="0" w:num="1">
            <w:col w:w="10221"/>
          </w:cols>
          <w:pgMar w:left="238" w:top="298"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28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23</w:t>
      </w:r>
    </w:p>
    <w:p>
      <w:pPr>
        <w:spacing w:after="0" w:line="372" w:lineRule="exact"/>
        <w:rPr>
          <w:sz w:val="20"/>
          <w:szCs w:val="20"/>
          <w:color w:val="auto"/>
        </w:rPr>
      </w:pPr>
    </w:p>
    <w:p>
      <w:pPr>
        <w:ind w:right="2679" w:firstLine="1715"/>
        <w:spacing w:after="0" w:line="242" w:lineRule="auto"/>
        <w:tabs>
          <w:tab w:leader="none" w:pos="20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Chase, at any time and in its sole and absolute discretion, may, on behalf of the Borrower or any Subsidiary Borrower (which hereby irrevocably directs Chase to act on its behalf), request each Lender, including Chase, to make a Revolving Credit Loan in an amount equal to such Lender's Commitment Percentage of the amount of the Swing Line Loans (the "Refunded Swing Line Loans") outstanding on the date such notice is given. Unless any of the events described in paragraph (f) of Section 8 shall have occurred (in which event the procedures of paragraph (c) of this subsection 2.3 shall apply), each Lender shall make the proceeds of its Revolving Credit Loan available to Chase for the account of Chase at the office of Chase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192" w:lineRule="exact"/>
        <w:rPr>
          <w:rFonts w:ascii="Courier New" w:cs="Courier New" w:eastAsia="Courier New" w:hAnsi="Courier New"/>
          <w:sz w:val="16"/>
          <w:szCs w:val="16"/>
          <w:color w:val="auto"/>
        </w:rPr>
      </w:pPr>
    </w:p>
    <w:p>
      <w:pPr>
        <w:ind w:right="2599" w:firstLine="1715"/>
        <w:spacing w:after="0" w:line="242" w:lineRule="auto"/>
        <w:tabs>
          <w:tab w:leader="none" w:pos="20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making of a Revolving Credit Loan pursuant to paragraph (b) of subsection 2.3, one of the events described in paragraph (f) of Section 8 shall have occurred, each Lender hereby agrees to and will, on the date such Revolving Credit Loan was to have been made, purchase an undivided participating interest in the Refunded Swing Line Loan in an amount equal to its Commitment Percentage of such Refunded Swing Line Loan. Each Lender will immediately transfer to Chase, in immediately available funds, the amount of its participation and, upon receipt thereof, Chase will deliver to such Lender a Swing Line Loan Participation Certificate dated the date of receipt of such funds and in such amount.</w:t>
      </w:r>
    </w:p>
    <w:p>
      <w:pPr>
        <w:spacing w:after="0" w:line="189" w:lineRule="exact"/>
        <w:rPr>
          <w:rFonts w:ascii="Courier New" w:cs="Courier New" w:eastAsia="Courier New" w:hAnsi="Courier New"/>
          <w:sz w:val="16"/>
          <w:szCs w:val="16"/>
          <w:color w:val="auto"/>
        </w:rPr>
      </w:pPr>
    </w:p>
    <w:p>
      <w:pPr>
        <w:ind w:right="2599" w:firstLine="1715"/>
        <w:spacing w:after="0" w:line="242" w:lineRule="auto"/>
        <w:tabs>
          <w:tab w:leader="none" w:pos="20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Chase has received from any Lender such Lender's participating interest in a Refunded Swing Line Loan and Chase receives any payment on account thereof, Chase will distribute to such Lender its participating interest in such amount (appropriately adjusted, in the case of interest payments, to reflect the period of time during which such Lender's participating interest was outstanding and funded) in like funds as received; provided, however, that in the event that such payment received by Chase is required to be returned, such Lender will return to Chase any portion thereof previously distributed by Chase to it in like funds as such payment is required to be returned by Chase.</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2.4 Participation. Each Lender's obligation to purchase participating interests pursuant to paragraph (c) of subsection 2.3 shall be absolute and unconditional and shall not be affected by any circumstances, including, without limitation, (a) any set-off, counterclaim, recoupment, defense or other right which such Lender may have against Chase, the Borrower, any Subsidiary Borrower or any other Person for any reason whatsoever; (b) the occurrence or continuance of an Event of Default; (c) any adverse change in the condition (financial or otherwise) of the Borrower or any Subsidiary; (d) any breach of this Agreement by the Borrower, any Subsidiary Borrower or any other Lender; or (e) any other circumstance, happening or event whatsoever, whether or not similar to any of the foregoing. Notwithstanding the foregoing, no Lender shall have any obligation to purchase participating interests pursuant to paragraph (c) of subsection 2.3 or to make any Refunded Swing Line Loans in respect of any Swing Line Loan which was made at any time following receipt by the Administrative Agent of a notice from any Lender specifying that (x) a Default or Event of Default has occurred and is continuing and (y) explicitly stating that such Lender will not purchase such participating interests or make Refunded Swing Line Loans with respect to Swing Line Loans made after the date of receipt of</w:t>
      </w:r>
    </w:p>
    <w:p>
      <w:pPr>
        <w:sectPr>
          <w:pgSz w:w="11900" w:h="16838" w:orient="portrait"/>
          <w:cols w:equalWidth="0" w:num="1">
            <w:col w:w="10219"/>
          </w:cols>
          <w:pgMar w:left="240" w:top="298" w:right="1440" w:bottom="1440" w:gutter="0" w:footer="0" w:header="0"/>
        </w:sectPr>
      </w:pPr>
    </w:p>
    <w:bookmarkStart w:id="52" w:name="page53"/>
    <w:bookmarkEnd w:id="52"/>
    <w:p>
      <w:pPr>
        <w:ind w:left="282"/>
        <w:spacing w:after="0"/>
        <w:rPr>
          <w:sz w:val="20"/>
          <w:szCs w:val="20"/>
          <w:color w:val="auto"/>
        </w:rPr>
      </w:pPr>
      <w:r>
        <w:rPr>
          <w:rFonts w:ascii="Courier New" w:cs="Courier New" w:eastAsia="Courier New" w:hAnsi="Courier New"/>
          <w:sz w:val="16"/>
          <w:szCs w:val="16"/>
          <w:color w:val="auto"/>
        </w:rPr>
        <w:t>29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24</w:t>
      </w:r>
    </w:p>
    <w:p>
      <w:pPr>
        <w:spacing w:after="0" w:line="372"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such notice, except to the extent that the Administrative Agent believes, reasonably and in good faith, that the facts and circumstances giving rise to such notice were no longer continuing at the time that such Swing Line Loan was made or at the time that such reimbursement is sought.</w:t>
      </w:r>
    </w:p>
    <w:p>
      <w:pPr>
        <w:spacing w:after="0" w:line="189" w:lineRule="exact"/>
        <w:rPr>
          <w:sz w:val="20"/>
          <w:szCs w:val="20"/>
          <w:color w:val="auto"/>
        </w:rPr>
      </w:pPr>
    </w:p>
    <w:p>
      <w:pPr>
        <w:ind w:left="2" w:right="2599" w:firstLine="1717"/>
        <w:spacing w:after="0" w:line="259" w:lineRule="auto"/>
        <w:rPr>
          <w:sz w:val="20"/>
          <w:szCs w:val="20"/>
          <w:color w:val="auto"/>
        </w:rPr>
      </w:pPr>
      <w:r>
        <w:rPr>
          <w:rFonts w:ascii="Courier New" w:cs="Courier New" w:eastAsia="Courier New" w:hAnsi="Courier New"/>
          <w:sz w:val="15"/>
          <w:szCs w:val="15"/>
          <w:color w:val="auto"/>
        </w:rPr>
        <w:t>2.5 Bid Loans. (a) The Borrower or any Subsidiary Borrower may request one or more Lenders to make offers to make Bid Loans in Dollars or any Optional Currency from time to time on any Business Day during the period from the Closing Date until the date seven days prior to the Termination Date in the manner set forth in this subsection 2.5, provided that, after giving effect to the making of such Bid Loans, the Aggregate Outstanding Extensions of Credit will not exceed the aggregate amount of the Revolving Credit Commitments at such time and provided further, in the case of Bid Loans in Optional Currencies, (i) the Aggregate Outstanding Extensions of Credit in Optional Currencies excluding Sterling will not exceed the Optional Currency Equivalent of $50,000,000 and</w:t>
      </w:r>
    </w:p>
    <w:p>
      <w:pPr>
        <w:ind w:left="2" w:right="3159" w:hanging="2"/>
        <w:spacing w:after="0" w:line="262" w:lineRule="auto"/>
        <w:tabs>
          <w:tab w:leader="none" w:pos="47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Outstanding Extensions of Credit in Optional Currencies including Sterling will not exceed the Optional Currency Equivalent of $250,000,000. Each Lender may, but shall have no obligation to, make such offers, and the Borrower or any Subsidiary Borrower may, but shall have no obligation to, accept any such offers in the manner set forth herein.</w:t>
      </w:r>
    </w:p>
    <w:p>
      <w:pPr>
        <w:spacing w:after="0" w:line="172" w:lineRule="exact"/>
        <w:rPr>
          <w:rFonts w:ascii="Courier New" w:cs="Courier New" w:eastAsia="Courier New" w:hAnsi="Courier New"/>
          <w:sz w:val="15"/>
          <w:szCs w:val="15"/>
          <w:color w:val="auto"/>
        </w:rPr>
      </w:pPr>
    </w:p>
    <w:p>
      <w:pPr>
        <w:ind w:left="2" w:right="2599" w:firstLine="1715"/>
        <w:spacing w:after="0" w:line="242" w:lineRule="auto"/>
        <w:tabs>
          <w:tab w:leader="none" w:pos="210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or any Subsidiary Borrower may request Bid Loans by delivering a Bid Loan Request to the Administrative Agent, (1) in the case of Bid Loan Requests in Dollars, not later than 10:00 A.M. (New York City time) four Business Days prior to the proposed Borrowing Date (in the case of a LIBOR Bid Loan Request), and not later than 3:00 P.M. (New York City time) one Business Day prior to the proposed Borrowing Date (in the case of a Fixed Rate Bid Loan Request), (2) in the case of LIBOR Bid Loan Requests in Optional Currencies, not later than 11:00 A.M. (London time) three Business Days prior to the proposed Borrowing Date (in the case of such Bid Loan Request other than for Bid Loans in Sterling) and (3) not later than 11:00 A.M. (London time) two Business Days prior to the proposed Borrowing Date (in the case of a Bid Loan Request in Sterling). Each Bid Loan Request shall solicit Bid Quotes for Bid Loans in a minimum aggregate principal amount of $5,000,000, or the Optional Currency Equivalent thereof, or an integral multiple of $1,000,000, or the Optional Currency Equivalent thereof, in excess thereof and for not more than four alternative maturity dates for such Bid Loans, none of which shall be earlier than seven days from the respective requested Borrowing Date or later than the earlier of (A) the date (1) 180 days from the respective requested Borrowing Date in the case of a Fixed Rate Bid Loan Request and (2) 6 months from the respective requested Borrowing Date in the case of a LIBOR Bid Loan Request and (B) the Termination Date. Bid Loan Requests may be submitted no more frequently than once during any period of three successive Business Days. The Administrative Agent shall promptly notify each Lender by facsimile transmission of the contents of each Bid Loan Request received by it.</w:t>
      </w:r>
    </w:p>
    <w:p>
      <w:pPr>
        <w:spacing w:after="0" w:line="199" w:lineRule="exact"/>
        <w:rPr>
          <w:sz w:val="20"/>
          <w:szCs w:val="20"/>
          <w:color w:val="auto"/>
        </w:rPr>
      </w:pPr>
    </w:p>
    <w:p>
      <w:pPr>
        <w:ind w:left="2" w:right="2679" w:firstLine="1715"/>
        <w:spacing w:after="0" w:line="261" w:lineRule="auto"/>
        <w:tabs>
          <w:tab w:leader="none" w:pos="219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Bid Loan Request, upon receipt of notice from the Administrative Agent of the contents of such Bid Loan Request, any Lender that elects, in its sole discretion, to do so, may irrevocably offer to make one or more Bid Loans at the LIBOR Rate plus or minus a margin for each such Bid Loan determined by such Lender in its sole discretion. Any such irrevocable offer shall be made by delivering a Bid Quote to the Administrative Agent, (1) in the case of a LIBOR Bid Loan Request in Dollars, before 9:30 A.M.</w:t>
      </w:r>
    </w:p>
    <w:p>
      <w:pPr>
        <w:sectPr>
          <w:pgSz w:w="11900" w:h="16838" w:orient="portrait"/>
          <w:cols w:equalWidth="0" w:num="1">
            <w:col w:w="10221"/>
          </w:cols>
          <w:pgMar w:left="238" w:top="298"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30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25</w:t>
      </w:r>
    </w:p>
    <w:p>
      <w:pPr>
        <w:spacing w:after="0" w:line="372"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(New York City time) three Business Days before the proposed Borrowing Date, (2) in the case of a LIBOR Bid Loan Request in Optional Currencies (other than for Bid Loan Requests in Sterling), before 2:00 P.M. (London time) three Business Days before the proposed Borrowing Date or (3) in the case of a Bid Loan Request in Sterling, before 2:00 P.M. (London time) two Business Days before the proposed Borrowing Date, setting forth the maximum amount of Bid Loans for each maturity date which such Lender would be willing to make (which amount may, subject to subsection 2.1, exceed such Lender's Revolving Credit Commitment) and the margin above or below the LIBOR Rate at which such Lender is willing to make each such Bid Loan; (1) in the case of a LIBOR Bid Loan Request in Dollars, the Administrative Agent shall advise the Borrower or the relevant Subsidiary Borrower before 10:00 A.M. (New York City time) three Business Days before the proposed Borrowing Date, (2) in the case of a LIBOR Bid Loan Request in Optional Currencies (other than for Bid Loan Requests in Sterling), the Administrative Agent shall advise the Borrower or the relevant Subsidiary Borrower before 2:30 P.M. (London time) three Business Days before the proposed Borrowing Date or (3) in the case of a LIBOR Bid Loan Request in Sterling, the Administrative Agent shall advise the Borrower or the relevant Subsidiary Borrower before 2:30 P.M. (London time) two Business Days prior to the proposed Borrowing Date, of the contents of each such Bid Quote received by it. If the Administrative Agent in its capacity as a Lender shall, in its sole discretion, elect to make any such offer, it shall advise the Borrower or the relevant Subsidiary Borrower of the contents of its Bid Quote (1) in the case of LIBOR Bid Loan Requests in Dollars, before 9:45 A.M. (New York City time) three Business Days before the proposed Borrowing Date, (2) in the case of LIBOR Bid Loan Requests in Optional Currencies (other than for Bid Loan Requests in Sterling), before 1:45 P.M. (London time) three Business Days before the proposed Borrowing Date, or (3) in the case of LIBOR Bid Loan Requests in Sterling, before 1:45 P.M. (London time) two Business Days before the proposed Borrowing Date.</w:t>
      </w:r>
    </w:p>
    <w:p>
      <w:pPr>
        <w:spacing w:after="0" w:line="368" w:lineRule="exact"/>
        <w:rPr>
          <w:sz w:val="20"/>
          <w:szCs w:val="20"/>
          <w:color w:val="auto"/>
        </w:rPr>
      </w:pPr>
    </w:p>
    <w:p>
      <w:pPr>
        <w:ind w:right="2599" w:firstLine="1905"/>
        <w:spacing w:after="0" w:line="242" w:lineRule="auto"/>
        <w:tabs>
          <w:tab w:leader="none" w:pos="2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Fixed Rate Bid Loan Request, upon receipt of notice from the Administrative Agent of the contents of such Bid Loan Request, any Lender that elects, in its sole discretion, to do so, may irrevocably offer to make one or more Bid Loans at a rate or rates of interest for each such Bid Loan determined by such Lender in its sole discretion. Any such irrevocable offer shall be made by delivering a Bid Quote to the Administrative Agent, before 9:30 A.M. (New York City time) on the proposed Borrowing Date, setting forth the maximum amount of Bid Loans for each maturity date which such Lender would be willing to make (which amount may, subject to subsection 2.1, exceed such Lender's Revolving Credit Commitment) and the rate or rates of interest therefor; the Administrative Agent shall advise the Borrower or the relevant Subsidiary Borrower before 10:00 A.M. (New York City time) on the proposed Borrowing Date of the contents of each such Bid Quote received by it. If the Administrative Agent in its capacity as a Lender shall, in its sole discretion, elect to make any such offer, it shall advise the Borrower or the relevant Subsidiary Borrower of the contents of its Bid Quote before 9:15 A.M. (New York City time) on the proposed Borrowing Date.</w:t>
      </w:r>
    </w:p>
    <w:p>
      <w:pPr>
        <w:spacing w:after="0" w:line="194" w:lineRule="exact"/>
        <w:rPr>
          <w:rFonts w:ascii="Courier New" w:cs="Courier New" w:eastAsia="Courier New" w:hAnsi="Courier New"/>
          <w:sz w:val="16"/>
          <w:szCs w:val="16"/>
          <w:color w:val="auto"/>
        </w:rPr>
      </w:pPr>
    </w:p>
    <w:p>
      <w:pPr>
        <w:ind w:right="2779" w:firstLine="2001"/>
        <w:spacing w:after="0" w:line="241" w:lineRule="auto"/>
        <w:tabs>
          <w:tab w:leader="none" w:pos="2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Borrower shall (1) in the case of a LIBOR Bid Loan Request in Dollars, before 10:30 A.M. (New York City time) three Business Days before the proposed Borrowing Date, (2) in the case of LIBOR Bid Loan Request in Optional Currency (other than for Bid Loan Requests in Sterling), before 3:00 P.M. (London</w:t>
      </w:r>
    </w:p>
    <w:p>
      <w:pPr>
        <w:sectPr>
          <w:pgSz w:w="11900" w:h="16838" w:orient="portrait"/>
          <w:cols w:equalWidth="0" w:num="1">
            <w:col w:w="10219"/>
          </w:cols>
          <w:pgMar w:left="240" w:top="298"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31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26</w:t>
      </w:r>
    </w:p>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time) three Business Days before the proposed Borrowing Date, (3) in the case of LIBOR Bid Loan Requests in Sterling, before 3:00 P.M. (London time) two Business Days before the proposed Borrowing Date and (4) before 10:30 A.M. (New York City time) on the proposed Borrowing Date in the case of a Fixed Rate Bid Loan Request either, in its absolute discretion:</w:t>
      </w:r>
    </w:p>
    <w:p>
      <w:pPr>
        <w:spacing w:after="0" w:line="190" w:lineRule="exact"/>
        <w:rPr>
          <w:sz w:val="20"/>
          <w:szCs w:val="20"/>
          <w:color w:val="auto"/>
        </w:rPr>
      </w:pPr>
    </w:p>
    <w:p>
      <w:pPr>
        <w:ind w:left="860" w:right="2679" w:firstLine="855"/>
        <w:spacing w:after="0" w:line="239" w:lineRule="auto"/>
        <w:tabs>
          <w:tab w:leader="none" w:pos="21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 such Bid Loan Request by giving the Administrative Agent telephone notice to that effect, or</w:t>
      </w:r>
    </w:p>
    <w:p>
      <w:pPr>
        <w:spacing w:after="0" w:line="189"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one or more of the offers made by any Lender or Lenders pursuant to clause (ii) or clause (iii) above, as the case may be, by giving telephone notice (immediately confirmed by execution and facsimile transmission of a Bid Loan Confirmation) to the Administrative Agent of the amount of Bid Loans to be made by each Lender (which amount shall be equal to or less than the maximum amount requested to be made, but in each event an amount equal to $5,000,000 or an integral multiple of $1,000,000 in excess thereof or the Optional Currency equivalent in the case of LIBOR Bid Loans in Optional Currency, notified to the Borrower or the relevant Subsidiary Borrower by the Administrative Agent on behalf of such Lender for such Bid Loans pursuant to clause (ii) or clause (iii) above, as the case may be), provided that the Borrower or the relevant Subsidiary Borrower may not accept offers for Bid Loans in an aggregate principal amount in excess of the maximum principal amount requested in the related Bid Loan Request.</w:t>
      </w:r>
    </w:p>
    <w:p>
      <w:pPr>
        <w:spacing w:after="0" w:line="194" w:lineRule="exact"/>
        <w:rPr>
          <w:sz w:val="20"/>
          <w:szCs w:val="20"/>
          <w:color w:val="auto"/>
        </w:rPr>
      </w:pPr>
    </w:p>
    <w:p>
      <w:pPr>
        <w:ind w:right="2679" w:firstLine="1715"/>
        <w:spacing w:after="0" w:line="241" w:lineRule="auto"/>
        <w:tabs>
          <w:tab w:leader="none" w:pos="209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or the relevant Subsidiary Borrower notifies the Administrative Agent that a Bid Loan Request is cancelled pursuant to clause (iv)(A) above, the Administrative Agent shall give prompt telephone notice thereof to the Lenders, and the Bid Loans requested thereby shall not be made.</w:t>
      </w:r>
    </w:p>
    <w:p>
      <w:pPr>
        <w:spacing w:after="0" w:line="190" w:lineRule="exact"/>
        <w:rPr>
          <w:rFonts w:ascii="Courier New" w:cs="Courier New" w:eastAsia="Courier New" w:hAnsi="Courier New"/>
          <w:sz w:val="16"/>
          <w:szCs w:val="16"/>
          <w:color w:val="auto"/>
        </w:rPr>
      </w:pPr>
    </w:p>
    <w:p>
      <w:pPr>
        <w:ind w:right="2599" w:firstLine="1715"/>
        <w:spacing w:after="0" w:line="242" w:lineRule="auto"/>
        <w:tabs>
          <w:tab w:leader="none" w:pos="219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or a Subsidiary Borrower accepts one or more of the offers made by any Lender or Lenders pursuant to clause (iv)(B) above, the Administrative Agent shall as promptly as practicable following receipt of the Borrower's or relevant Subsidiary Borrower's acceptance, three Business Days before the proposed Borrowing Date in the case of a LIBOR Bid Loan Request and on the proposed Borrowing Date in the case of a Fixed Rate Bid Loan Request, notify each Lender which has made such an offer of (A) the aggregate amount of such Bid Loans to be made on such Borrowing Date for each maturity date and (B) the acceptance or rejection of any offers to make such Bid Loans made by such Lender. Each Lender which is to make a Bid Loan shall, (1) in the case of a Bid Loan in Dollars, before 12:00 Noon (New York City time) and (2) in the case of a Bid Loan in an Optional Currency, before 12:00 Noon (London time), on the Borrowing Date specified in the Bid Loan Request applicable thereto, make available to the Administrative Agent at its office set forth in subsection 10.2 the amount of such Lender's Bid Loans, in immediately available funds. The Administrative Agent will make such funds available to the Borrower or the relevant Subsidiary Borrower as soon as practicable on such date at the Administrative Agent's aforesaid address.</w:t>
      </w:r>
    </w:p>
    <w:p>
      <w:pPr>
        <w:spacing w:after="0" w:line="195" w:lineRule="exact"/>
        <w:rPr>
          <w:sz w:val="20"/>
          <w:szCs w:val="20"/>
          <w:color w:val="auto"/>
        </w:rPr>
      </w:pPr>
    </w:p>
    <w:p>
      <w:pPr>
        <w:ind w:right="2679" w:firstLine="1715"/>
        <w:spacing w:after="0"/>
        <w:tabs>
          <w:tab w:leader="none" w:pos="209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limits and on the conditions set forth in this subsection 2.5, the Borrower or any Subsidiary Borrower may from time to time borrow under this subsection 2.5,</w:t>
      </w:r>
    </w:p>
    <w:p>
      <w:pPr>
        <w:sectPr>
          <w:pgSz w:w="11900" w:h="16838" w:orient="portrait"/>
          <w:cols w:equalWidth="0" w:num="1">
            <w:col w:w="10219"/>
          </w:cols>
          <w:pgMar w:left="240" w:top="298" w:right="1440" w:bottom="1440" w:gutter="0" w:footer="0" w:header="0"/>
        </w:sectPr>
      </w:pPr>
    </w:p>
    <w:bookmarkStart w:id="55" w:name="page56"/>
    <w:bookmarkEnd w:id="55"/>
    <w:p>
      <w:pPr>
        <w:ind w:left="282"/>
        <w:spacing w:after="0"/>
        <w:rPr>
          <w:sz w:val="20"/>
          <w:szCs w:val="20"/>
          <w:color w:val="auto"/>
        </w:rPr>
      </w:pPr>
      <w:r>
        <w:rPr>
          <w:rFonts w:ascii="Courier New" w:cs="Courier New" w:eastAsia="Courier New" w:hAnsi="Courier New"/>
          <w:sz w:val="16"/>
          <w:szCs w:val="16"/>
          <w:color w:val="auto"/>
        </w:rPr>
        <w:t>32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27</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repay pursuant to paragraph (d) below, and reborrow under this subsection 2.5.</w:t>
      </w:r>
    </w:p>
    <w:p>
      <w:pPr>
        <w:spacing w:after="0" w:line="188" w:lineRule="exact"/>
        <w:rPr>
          <w:sz w:val="20"/>
          <w:szCs w:val="20"/>
          <w:color w:val="auto"/>
        </w:rPr>
      </w:pPr>
    </w:p>
    <w:p>
      <w:pPr>
        <w:ind w:left="2" w:right="2599" w:firstLine="1715"/>
        <w:spacing w:after="0" w:line="242" w:lineRule="auto"/>
        <w:tabs>
          <w:tab w:leader="none" w:pos="21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the relevant Subsidiary Borrower shall repay to the Administrative Agent for the account of each Lender which has made a Bid Loan on the maturity date of each Bid Loan (such maturity date being that specified by the Borrower or the relevant Subsidiary Borrower for repayment of such Bid Loan in the related Bid Loan Request) or such earlier date on which the Bid Loans become due and payable pursuant to Section 8 the then unpaid principal amount of such Bid Loan. The Borrower and each Subsidiary Borrower shall not have the right to prepay any principal amount of any Bid Loan without the prior written consent of the applicable Lender then making such Bid Loan.</w:t>
      </w:r>
    </w:p>
    <w:p>
      <w:pPr>
        <w:spacing w:after="0" w:line="189" w:lineRule="exact"/>
        <w:rPr>
          <w:rFonts w:ascii="Courier New" w:cs="Courier New" w:eastAsia="Courier New" w:hAnsi="Courier New"/>
          <w:sz w:val="16"/>
          <w:szCs w:val="16"/>
          <w:color w:val="auto"/>
        </w:rPr>
      </w:pPr>
    </w:p>
    <w:p>
      <w:pPr>
        <w:ind w:left="2" w:right="2599" w:firstLine="1715"/>
        <w:spacing w:after="0" w:line="242" w:lineRule="auto"/>
        <w:tabs>
          <w:tab w:leader="none" w:pos="21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the relevant Subsidiary Borrower shall pay interest on the unpaid principal amount of each Bid Loan from the date of such Bid Loan to the stated maturity date thereof, at the rate of interest for such Bid Loan determined pursuant to paragraph (b) above (calculated on the basis of a 360 day year for actual days elapsed), payable on the Interest Payment Date specified by the Borrower or the relevant Subsidiary Borrower for such Bid Loan in the related Bid Loan Request.</w:t>
      </w:r>
    </w:p>
    <w:p>
      <w:pPr>
        <w:spacing w:after="0" w:line="188" w:lineRule="exact"/>
        <w:rPr>
          <w:sz w:val="20"/>
          <w:szCs w:val="20"/>
          <w:color w:val="auto"/>
        </w:rPr>
      </w:pPr>
    </w:p>
    <w:p>
      <w:pPr>
        <w:ind w:left="2" w:right="2679" w:firstLine="1717"/>
        <w:spacing w:after="0" w:line="259" w:lineRule="auto"/>
        <w:rPr>
          <w:sz w:val="20"/>
          <w:szCs w:val="20"/>
          <w:color w:val="auto"/>
        </w:rPr>
      </w:pPr>
      <w:r>
        <w:rPr>
          <w:rFonts w:ascii="Courier New" w:cs="Courier New" w:eastAsia="Courier New" w:hAnsi="Courier New"/>
          <w:sz w:val="15"/>
          <w:szCs w:val="15"/>
          <w:color w:val="auto"/>
        </w:rPr>
        <w:t>2.6 Repayment of Loans; Evidence of Debt. (a) The Borrower hereby unconditionally promises to pay to the Administrative Agent for the account of each Lender (i) the then unpaid principal amount of each Revolving Credit Loan of such Lender on the Termination Date (or such earlier date on which the Revolving Credit Loans become due and payable pursuant to Section 8),</w:t>
      </w:r>
    </w:p>
    <w:p>
      <w:pPr>
        <w:ind w:left="2" w:right="2599" w:hanging="2"/>
        <w:spacing w:after="0" w:line="242" w:lineRule="auto"/>
        <w:tabs>
          <w:tab w:leader="none" w:pos="4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unpaid principal amount of the Swing Line Loans of the Swing Line Lender on the Termination Date (or such earlier date on which the Swing Line Loans become due and payable pursuant to Section 8) and (iii) the then unpaid principal amount of the Bid Loans pursuant to subsection 2.5(d). Each of the Subsidiary Borrowers hereby unconditionally promises to pay to the Agent for the account of such Lender the then unpaid principal amount of each Revolving Credit Loan, Bid Loan and Swing Line Loan of such Lender to such Subsidiary Borrower on the Termination Date (or such earlier date on which the Revolving Credit Loans become due and payable pursuant to Section 8). Each of the Borrower and the Subsidiary Borrowers hereby further agrees to pay interest on the unpaid principal amount of the Loans from time to time outstanding to the Borrower or such Subsidiary Borrower, as applicable, from the date hereof until payment in full thereof at the rates per annum, and on the dates, set forth in subsection 2.12.</w:t>
      </w:r>
    </w:p>
    <w:p>
      <w:pPr>
        <w:spacing w:after="0" w:line="192" w:lineRule="exact"/>
        <w:rPr>
          <w:rFonts w:ascii="Courier New" w:cs="Courier New" w:eastAsia="Courier New" w:hAnsi="Courier New"/>
          <w:sz w:val="16"/>
          <w:szCs w:val="16"/>
          <w:color w:val="auto"/>
        </w:rPr>
      </w:pPr>
    </w:p>
    <w:p>
      <w:pPr>
        <w:ind w:left="2" w:right="2599" w:firstLine="1715"/>
        <w:spacing w:after="0" w:line="241" w:lineRule="auto"/>
        <w:tabs>
          <w:tab w:leader="none" w:pos="21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indebtedness of the Borrower and the Subsidiary Borrowers to such Lender resulting from each Loan of such Lender from time to time, including the amounts of principal and interest payable and paid to such Lender from time to time under this Agreement.</w:t>
      </w:r>
    </w:p>
    <w:p>
      <w:pPr>
        <w:spacing w:after="0" w:line="190" w:lineRule="exact"/>
        <w:rPr>
          <w:rFonts w:ascii="Courier New" w:cs="Courier New" w:eastAsia="Courier New" w:hAnsi="Courier New"/>
          <w:sz w:val="16"/>
          <w:szCs w:val="16"/>
          <w:color w:val="auto"/>
        </w:rPr>
      </w:pPr>
    </w:p>
    <w:p>
      <w:pPr>
        <w:ind w:left="2" w:right="2879" w:firstLine="1715"/>
        <w:spacing w:after="0" w:line="242" w:lineRule="auto"/>
        <w:tabs>
          <w:tab w:leader="none" w:pos="21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maintain the Register pursuant to subsection 10.6(d), and a subaccount therein for each Lender, in which shall be recorded (i) the amount of each Loan made hereunder, the Type thereof and each Interest Period applicable thereto, (ii) the amount of any principal or interest due and payable or to become due and payable from the Borrower or a Subsidiary Borrower to each Lender hereunder and (iii) both the amount of any</w:t>
      </w:r>
    </w:p>
    <w:p>
      <w:pPr>
        <w:sectPr>
          <w:pgSz w:w="11900" w:h="16838" w:orient="portrait"/>
          <w:cols w:equalWidth="0" w:num="1">
            <w:col w:w="10221"/>
          </w:cols>
          <w:pgMar w:left="238" w:top="298" w:right="1440" w:bottom="1440" w:gutter="0" w:footer="0" w:header="0"/>
        </w:sectPr>
      </w:pPr>
    </w:p>
    <w:bookmarkStart w:id="56" w:name="page57"/>
    <w:bookmarkEnd w:id="56"/>
    <w:p>
      <w:pPr>
        <w:ind w:left="282"/>
        <w:spacing w:after="0"/>
        <w:rPr>
          <w:sz w:val="20"/>
          <w:szCs w:val="20"/>
          <w:color w:val="auto"/>
        </w:rPr>
      </w:pPr>
      <w:r>
        <w:rPr>
          <w:rFonts w:ascii="Courier New" w:cs="Courier New" w:eastAsia="Courier New" w:hAnsi="Courier New"/>
          <w:sz w:val="16"/>
          <w:szCs w:val="16"/>
          <w:color w:val="auto"/>
        </w:rPr>
        <w:t>33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28</w:t>
      </w:r>
    </w:p>
    <w:p>
      <w:pPr>
        <w:spacing w:after="0" w:line="372" w:lineRule="exact"/>
        <w:rPr>
          <w:sz w:val="20"/>
          <w:szCs w:val="20"/>
          <w:color w:val="auto"/>
        </w:rPr>
      </w:pPr>
    </w:p>
    <w:p>
      <w:pPr>
        <w:ind w:left="2" w:right="2979"/>
        <w:spacing w:after="0" w:line="239" w:lineRule="auto"/>
        <w:rPr>
          <w:sz w:val="20"/>
          <w:szCs w:val="20"/>
          <w:color w:val="auto"/>
        </w:rPr>
      </w:pPr>
      <w:r>
        <w:rPr>
          <w:rFonts w:ascii="Courier New" w:cs="Courier New" w:eastAsia="Courier New" w:hAnsi="Courier New"/>
          <w:sz w:val="16"/>
          <w:szCs w:val="16"/>
          <w:color w:val="auto"/>
        </w:rPr>
        <w:t>sum received by the Administrative Agent hereunder from the Borrower or such Subsidiary Borrower and each Lender's share thereof.</w:t>
      </w:r>
    </w:p>
    <w:p>
      <w:pPr>
        <w:spacing w:after="0" w:line="189" w:lineRule="exact"/>
        <w:rPr>
          <w:sz w:val="20"/>
          <w:szCs w:val="20"/>
          <w:color w:val="auto"/>
        </w:rPr>
      </w:pPr>
    </w:p>
    <w:p>
      <w:pPr>
        <w:ind w:left="2" w:right="2599" w:firstLine="1715"/>
        <w:spacing w:after="0" w:line="242" w:lineRule="auto"/>
        <w:tabs>
          <w:tab w:leader="none" w:pos="21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Register and the accounts of each Lender maintained pursuant to subsection 2.6(b) shall, to the extent permitted by applicable law, be prima facie evidence of the existence and amounts of the obligations of the Borrower and each Subsidiary Borrower therein recorded; provided, however, that the failure of any Lender or the Administrative Agent to maintain the Register or any such account, or any error therein, shall not in any manner affect the obligation of the Borrower or such Subsidiary Borrower to repay (with applicable interest) the Loans made to such Borrower or such Subsidiary Borrower by such Lender in accordance with the terms of this Agreement.</w:t>
      </w:r>
    </w:p>
    <w:p>
      <w:pPr>
        <w:spacing w:after="0" w:line="189" w:lineRule="exact"/>
        <w:rPr>
          <w:rFonts w:ascii="Courier New" w:cs="Courier New" w:eastAsia="Courier New" w:hAnsi="Courier New"/>
          <w:sz w:val="16"/>
          <w:szCs w:val="16"/>
          <w:color w:val="auto"/>
        </w:rPr>
      </w:pPr>
    </w:p>
    <w:p>
      <w:pPr>
        <w:ind w:left="2" w:right="2599" w:firstLine="1715"/>
        <w:spacing w:after="0" w:line="242" w:lineRule="auto"/>
        <w:tabs>
          <w:tab w:leader="none" w:pos="21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Borrower and the Subsidiary Borrowers agree that, upon the request to the Administrative Agent by any Lender, the Borrower or any Subsidiary Borrower will execute and deliver to such Lender (i) a promissory note of the Borrower or any Subsidiary Borrower evidencing the Revolving Credit Loans of such Lender, substantially in the form of Exhibit H, with appropriate insertions as to date and principal amount (a "Revolving Credit Note"), (ii) in the case of the Swing Line Lender, a promissory note of the Borrower or the relevant Subsidiary Borrower evidencing the Swing Line Loans of the Swing Line Lender, substantially in the form of Exhibit I, with appropriate insertions as to date and principal amount (the "Swing Line Note") and/or (iii) in the case of Bid Loans, a promissory note of the Borrower or the relevant Subsidiary Borrower evidencing the Bid Loans of such Lender, substantially in the form of Exhibit J, with appropriate insertions as to date, type and principal amount (the "Bid Note").</w:t>
      </w:r>
    </w:p>
    <w:p>
      <w:pPr>
        <w:spacing w:after="0" w:line="192" w:lineRule="exact"/>
        <w:rPr>
          <w:sz w:val="20"/>
          <w:szCs w:val="20"/>
          <w:color w:val="auto"/>
        </w:rPr>
      </w:pPr>
    </w:p>
    <w:p>
      <w:pPr>
        <w:ind w:left="2" w:right="2679" w:firstLine="1717"/>
        <w:spacing w:after="0" w:line="259" w:lineRule="auto"/>
        <w:rPr>
          <w:sz w:val="20"/>
          <w:szCs w:val="20"/>
          <w:color w:val="auto"/>
        </w:rPr>
      </w:pPr>
      <w:r>
        <w:rPr>
          <w:rFonts w:ascii="Courier New" w:cs="Courier New" w:eastAsia="Courier New" w:hAnsi="Courier New"/>
          <w:sz w:val="15"/>
          <w:szCs w:val="15"/>
          <w:color w:val="auto"/>
        </w:rPr>
        <w:t>2.7 Facility Fee. The Borrower agrees to pay to the Administrative Agent, for the account of each Lender, a facility fee in Dollars for the period from and including the Effective Date to the Termination Date, calculated as an amount equal to the product of (a) the Facility Fee Rate and</w:t>
      </w:r>
    </w:p>
    <w:p>
      <w:pPr>
        <w:ind w:left="2" w:right="2599" w:hanging="2"/>
        <w:spacing w:after="0" w:line="242" w:lineRule="auto"/>
        <w:tabs>
          <w:tab w:leader="none" w:pos="38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daily amount of the Revolving Credit Commitment of such Lender (regardless of usage) during the period for which such Facility Fee is calculated, payable quarterly in arrears on the last day of each March, June, September and December and on the Termination Date. Such payments shall commence on March 31, 1998, and such first payments shall be for the period from the Effective Date through March 31, 1998. The Borrower also agrees to pay to the Administrative Agent the fees described in the Engagement Letter.</w:t>
      </w:r>
    </w:p>
    <w:p>
      <w:pPr>
        <w:spacing w:after="0" w:line="185"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2.8 Termination or Reduction of Revolving Credit Commitments.</w:t>
      </w:r>
    </w:p>
    <w:p>
      <w:pPr>
        <w:spacing w:after="0" w:line="5" w:lineRule="exact"/>
        <w:rPr>
          <w:sz w:val="20"/>
          <w:szCs w:val="20"/>
          <w:color w:val="auto"/>
        </w:rPr>
      </w:pPr>
    </w:p>
    <w:p>
      <w:pPr>
        <w:ind w:left="2" w:right="2599" w:hanging="2"/>
        <w:spacing w:after="0" w:line="242" w:lineRule="auto"/>
        <w:tabs>
          <w:tab w:leader="none" w:pos="3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The Borrower shall have the right, upon not less than five Business Days' written notice to the Administrative Agent to terminate the Revolving Credit Commitments or, from time to time, reduce the amount of the Revolving Credit Commitments, provided that (i) any such reduction shall be accompanied by prepayment of the Loans made hereunder, together with accrued interest on the amount so prepaid to the date of such prepayment, to the extent, if any, that the amount of the Aggregate Outstanding Extensions of Credit exceeds the amount of the Revolving Credit Commitments as then reduced, (ii) any such termination of the Revolving Credit Commitments shall be accompanied by (A) prepayment in full of the Loans then outstanding hereunder, (B) cash collateralization of all L/C Obligations then outstanding in accordance with the provisions</w:t>
      </w:r>
    </w:p>
    <w:p>
      <w:pPr>
        <w:sectPr>
          <w:pgSz w:w="11900" w:h="16838" w:orient="portrait"/>
          <w:cols w:equalWidth="0" w:num="1">
            <w:col w:w="10221"/>
          </w:cols>
          <w:pgMar w:left="238" w:top="298"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34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29</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of subsection 2.10, and (C) payment of accrued interest thereon to the date of such prepayment and the payment of any unpaid fees then accrued hereunder (including, without limitation, in respect of any Letters of Credit) and (iii) any termination of the Revolving Credit Commitments while LIBOR Loans are outstanding under the Revolving Credit Commitments and any reduction of the aggregate amount of the Revolving Credit Commitments that reduces the amount of the Revolving Credit Commitments below the principal amount of the LIBOR Loans then outstanding under the Revolving Credit Commitments may be made only on the last day of the respective Interest Periods for such LIBOR Loans. Upon receipt of such notice, the Administrative Agent shall promptly notify each Lender thereof. Any such reduction shall be in an amount of $1,000,000 or a whole multiple of $1,000,000 in excess thereof and shall reduce permanently the amount of the Revolving Credit Commitments then in effect.</w:t>
      </w:r>
    </w:p>
    <w:p>
      <w:pPr>
        <w:spacing w:after="0" w:line="192" w:lineRule="exact"/>
        <w:rPr>
          <w:sz w:val="20"/>
          <w:szCs w:val="20"/>
          <w:color w:val="auto"/>
        </w:rPr>
      </w:pPr>
    </w:p>
    <w:p>
      <w:pPr>
        <w:ind w:right="2599" w:firstLine="1715"/>
        <w:spacing w:after="0" w:line="241" w:lineRule="auto"/>
        <w:tabs>
          <w:tab w:leader="none" w:pos="209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The Revolving Credit Commitments shall automatically terminate on the Termination Date and all Loans shall be repaid and to the extent any Letter of Credit remains outstanding after the Termination Date, the Borrower shall cash collateralize such L/C Obligations (and the fees thereon) in accordance with the provisions of subsection 2.10.</w:t>
      </w:r>
    </w:p>
    <w:p>
      <w:pPr>
        <w:spacing w:after="0" w:line="190"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2.9 Prepayments. (a) Optional. The Borrower or any Subsidiary Borrower may, (i) at any time and from time to time prepay the ABR Loans made to it hereunder, and (ii) on the last day of the Interest Period with respect thereto, prepay any LIBOR Loans made to it hereunder, in each case in whole or in part, without premium or penalty, upon at least four Business Days' irrevocable notice to the Administrative Agent in the case of LIBOR Loans and two Business Days' irrevocable notice to the Administrative Agent in the case of ABR Loans, specifying the date and amount of prepayment and whether the prepayment is of LIBOR Loans, ABR Loans or a combination thereof, and, if a combination thereof, the amount of prepayment allocable to each. If such notice is given, the Borrower or the relevant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$1,000,000 or a whole multiple of $500,000 in excess thereof (or in the case of a LIBOR borrowing in an Optional Currency, the Dollar Equivalent thereof), provided that unless a LIBOR Loan is prepaid in full, no prepayment shall be made in respect of LIBOR Loans if, after giving effect to such prepayment, the aggregate principal amount of LIBOR Loans in Dollars outstanding with respect to which a common Interest Period has been selected shall be less than $1,000,000 or, in the case of LIBOR Loans in Optional Currency, after giving effect to such prepayment, the aggregate principal amount of LIBOR Loans in Optional Currency outstanding with respect to which a common Interest Period has been selected shall be less than $2,500,000 or the Optional Currency Equivalent thereof. The Borrower and the Subsidiary Borrowers shall not have the right to prepay any principal amount of any Bid Loan without the prior written consent of the applicable Lender then making such Bid Loan.</w:t>
      </w:r>
    </w:p>
    <w:p>
      <w:pPr>
        <w:spacing w:after="0" w:line="368" w:lineRule="exact"/>
        <w:rPr>
          <w:sz w:val="20"/>
          <w:szCs w:val="20"/>
          <w:color w:val="auto"/>
        </w:rPr>
      </w:pPr>
    </w:p>
    <w:p>
      <w:pPr>
        <w:ind w:right="2599" w:firstLine="1715"/>
        <w:spacing w:after="0" w:line="241" w:lineRule="auto"/>
        <w:tabs>
          <w:tab w:leader="none" w:pos="209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The Borrower, without notice or demand, shall immediately prepay the Loans, or cause the Loans to be prepaid by the Subsidiary Borrowers, to the extent, if any, that the Aggregate Outstanding Extensions of Credit exceed the Revolving Credit Commitments then in effect, together with accrued interest to the date of such prepayment on the</w:t>
      </w:r>
    </w:p>
    <w:p>
      <w:pPr>
        <w:sectPr>
          <w:pgSz w:w="11900" w:h="16838" w:orient="portrait"/>
          <w:cols w:equalWidth="0" w:num="1">
            <w:col w:w="10219"/>
          </w:cols>
          <w:pgMar w:left="240" w:top="298"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35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30</w:t>
      </w:r>
    </w:p>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amount so prepaid, provided that if the Aggregate Outstanding Extensions of Credit exceed the Revolving Credit Commitments solely as a result of a change in the aggregate Dollar Equivalent of the Revolving Credit Loans in Optional Currencies, no prepayment shall be made unless such prepayment is required pursuant to subsection 2.22.</w:t>
      </w:r>
    </w:p>
    <w:p>
      <w:pPr>
        <w:spacing w:after="0" w:line="190"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2.10 Cash Collateralization of Letters of Credit. To the extent that at any time and from time to time, the L/C Obligations exceed the amount of the L/C Commitments or the Revolving Credit Commitments (whether pursuant to subsections 2.8, 2.9 or otherwise), the Borrower shall cash collateralize (in a manner reasonably satisfactory to the Administrative Agent) such portion of the L/C Obligations (and the fees thereon through the stated expiration date of the Letters of Credit giving rise to such L/C Obligations) which is in excess of the L/C Commitments or Revolving Credit Commitments, as applicable.</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2.11 Conversion Options. (a) The Borrower or any Subsidiary Borrower may elect from time to time to convert LIBOR Loans in Dollars to ABR Loans, and may elect from time to time to convert ABR Loans to LIBOR Loans in Dollars or an Optional Currency, by giving the Administrative Agent at least three Business Days' prior irrevocable written notice of such election to convert (which date shall be a Business Day and in the case of any conversion of any LIBOR Loans to ABR Loans, the last day of an Interest Period therefor), the amount and type of conversion and, in the case of any conversion of ABR Loans to LIBOR Loans, the Interest Period selected with respect thereto; provided, however, that (i) the Foreign Subsidiary Borrowers may not elect to convert LIBOR Loans in Dollars to ABR Loans, (ii) ABR Loans may not be converted to LIBOR Loans when any Default or Event of Default has occurred and is continuing and (iii) Swing Line Loans may not, at any time, be converted to LIBOR Loans. All or any part of outstanding LIBOR Loans or ABR Loans may be converted as provided herein, provided that partial conversions of LIBOR Loans to ABR Loans shall be in an aggregate principal amount of $2,500,000 or a whole multiple thereof and partial conversions of ABR Loans to LIBOR Loans with respect to which a common Interest Period has been selected shall be in an aggregate principal amount of $5,000,000 or a whole multiple of $2,500,000 in excess thereof, and provided, further, that in the case of a partial conversion of LIBOR Loans to ABR Loans, after giving effect to such conversion, the aggregate principal amount of the LIBOR Loans outstanding with respect to which a common Interest Period has been selected shall be not less than $5,000,000.</w:t>
      </w:r>
    </w:p>
    <w:p>
      <w:pPr>
        <w:spacing w:after="0" w:line="198" w:lineRule="exact"/>
        <w:rPr>
          <w:sz w:val="20"/>
          <w:szCs w:val="20"/>
          <w:color w:val="auto"/>
        </w:rPr>
      </w:pPr>
    </w:p>
    <w:p>
      <w:pPr>
        <w:ind w:right="2599" w:firstLine="1715"/>
        <w:spacing w:after="0" w:line="242" w:lineRule="auto"/>
        <w:tabs>
          <w:tab w:leader="none" w:pos="20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LIBOR Loans may be continued as such upon the expiration of an Interest Period by compliance by the Borrower or the Subsidiary Borrowers with the notice provisions contained in the definition of Interest Period, provided that no LIBOR Loan in Dollars may be continued as such when any Default or Event of Default has occurred and is continuing, but shall be automatically converted to an ABR Loan on the last day of the last Interest Period for which a LIBOR Rate was determined by the Administrative Agent on or prior to the Administrative Agent's obtaining knowledge of such Default or Event of Default.</w:t>
      </w:r>
    </w:p>
    <w:p>
      <w:pPr>
        <w:spacing w:after="0" w:line="189" w:lineRule="exact"/>
        <w:rPr>
          <w:rFonts w:ascii="Courier New" w:cs="Courier New" w:eastAsia="Courier New" w:hAnsi="Courier New"/>
          <w:sz w:val="16"/>
          <w:szCs w:val="16"/>
          <w:color w:val="auto"/>
        </w:rPr>
      </w:pPr>
    </w:p>
    <w:p>
      <w:pPr>
        <w:ind w:right="2779" w:firstLine="1715"/>
        <w:spacing w:after="0" w:line="241" w:lineRule="auto"/>
        <w:tabs>
          <w:tab w:leader="none" w:pos="209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conversion or continuation of any Loans shall be made pursuant to this subsection 2.11 if, after giving effect to such conversion or continuation, (i) the sum of the Dollar Equivalent of the then outstanding Revolving Credit Loans in Optional Currencies other than Sterling and the then outstanding L/C Obligations in Optional Currencies other than</w:t>
      </w:r>
    </w:p>
    <w:p>
      <w:pPr>
        <w:sectPr>
          <w:pgSz w:w="11900" w:h="16838" w:orient="portrait"/>
          <w:cols w:equalWidth="0" w:num="1">
            <w:col w:w="10219"/>
          </w:cols>
          <w:pgMar w:left="240" w:top="298"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36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31</w:t>
      </w:r>
    </w:p>
    <w:p>
      <w:pPr>
        <w:spacing w:after="0" w:line="372"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Sterling would exceed the Optional Currency Equivalent of $50,000,000 or (ii) the sum of the outstanding Revolving Credit Loans in Optional Currencies including Sterling and outstanding L/C Obligations in Optional Currencies including Sterling would exceed the Optional Currency Equivalent of $250,000,000.</w:t>
      </w:r>
    </w:p>
    <w:p>
      <w:pPr>
        <w:spacing w:after="0" w:line="190"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2.12 Interest Rate and Payment Dates. (a) Each LIBOR Loan shall bear interest for each day during each Interest Period with respect thereto at a rate per annum equal to the LIBOR Rate determined for such Interest Period plus the Applicable Margin.</w:t>
      </w:r>
    </w:p>
    <w:p>
      <w:pPr>
        <w:spacing w:after="0" w:line="189" w:lineRule="exact"/>
        <w:rPr>
          <w:sz w:val="20"/>
          <w:szCs w:val="20"/>
          <w:color w:val="auto"/>
        </w:rPr>
      </w:pPr>
    </w:p>
    <w:p>
      <w:pPr>
        <w:ind w:right="2679" w:firstLine="1715"/>
        <w:spacing w:after="0"/>
        <w:tabs>
          <w:tab w:leader="none" w:pos="20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ABR Loan shall bear interest for the period from and including the date thereof until maturity at a rate per annum equal to the ABR plus the Applicable Margin.</w:t>
      </w:r>
    </w:p>
    <w:p>
      <w:pPr>
        <w:spacing w:after="0" w:line="189" w:lineRule="exact"/>
        <w:rPr>
          <w:rFonts w:ascii="Courier New" w:cs="Courier New" w:eastAsia="Courier New" w:hAnsi="Courier New"/>
          <w:sz w:val="16"/>
          <w:szCs w:val="16"/>
          <w:color w:val="auto"/>
        </w:rPr>
      </w:pPr>
    </w:p>
    <w:p>
      <w:pPr>
        <w:ind w:right="2599" w:firstLine="1715"/>
        <w:spacing w:after="0" w:line="242" w:lineRule="auto"/>
        <w:tabs>
          <w:tab w:leader="none" w:pos="20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 portion of (i) the principal amount of any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in the case of amounts in Dollars, if higher, the rate described in paragraph (b) of this subsection 2.12 plus 2%, or in each case from the date of such non-payment until such amount is paid in full (as well after as before judgment). The Administrative Agent may choose any Interest Period from time to time (including one Interest Period of shorter than one month) with respect to any overdue amount bearing interest based upon paragraph (a) of this subsection.</w:t>
      </w:r>
    </w:p>
    <w:p>
      <w:pPr>
        <w:spacing w:after="0" w:line="188" w:lineRule="exact"/>
        <w:rPr>
          <w:rFonts w:ascii="Courier New" w:cs="Courier New" w:eastAsia="Courier New" w:hAnsi="Courier New"/>
          <w:sz w:val="16"/>
          <w:szCs w:val="16"/>
          <w:color w:val="auto"/>
        </w:rPr>
      </w:pPr>
    </w:p>
    <w:p>
      <w:pPr>
        <w:ind w:left="2100" w:hanging="385"/>
        <w:spacing w:after="0"/>
        <w:tabs>
          <w:tab w:leader="none" w:pos="21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Bid Loan shall bear interest as provided in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2.5.</w:t>
      </w:r>
    </w:p>
    <w:p>
      <w:pPr>
        <w:spacing w:after="0" w:line="188" w:lineRule="exact"/>
        <w:rPr>
          <w:rFonts w:ascii="Courier New" w:cs="Courier New" w:eastAsia="Courier New" w:hAnsi="Courier New"/>
          <w:sz w:val="16"/>
          <w:szCs w:val="16"/>
          <w:color w:val="auto"/>
        </w:rPr>
      </w:pPr>
    </w:p>
    <w:p>
      <w:pPr>
        <w:ind w:right="2679" w:firstLine="1715"/>
        <w:spacing w:after="0"/>
        <w:tabs>
          <w:tab w:leader="none" w:pos="209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except that interest payable pursuant to subsection 2.12(c) shall be payable upon demand.</w:t>
      </w:r>
    </w:p>
    <w:p>
      <w:pPr>
        <w:spacing w:after="0" w:line="190"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2.13 Computation of Interest and Fees. (a) Facility fees and interest in respect of the ABR Loans shall be calculated on the basis of a 365 (or 366, as the case may be) day year for the actual days elapsed. Interest in respect of the letter of credit commissions shall be calculated on the basis of a 360 day year for the actual days elapsed. The Administrative Agent shall as soon as practicable notify the Borrower, the Subsidiary Borrowers and the Lenders of each determination of a LIBOR Rate. Any change in the interest rate on a Loan resulting from a change in the ABR shall become effective as of the opening of business on the day on which such change in the ABR shall become effective.</w:t>
      </w:r>
    </w:p>
    <w:p>
      <w:pPr>
        <w:spacing w:after="0" w:line="190" w:lineRule="exact"/>
        <w:rPr>
          <w:sz w:val="20"/>
          <w:szCs w:val="20"/>
          <w:color w:val="auto"/>
        </w:rPr>
      </w:pPr>
    </w:p>
    <w:p>
      <w:pPr>
        <w:ind w:right="3159" w:firstLine="1715"/>
        <w:spacing w:after="0" w:line="241" w:lineRule="auto"/>
        <w:tabs>
          <w:tab w:leader="none" w:pos="209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pursuant to any provision of this Agreement shall be conclusive and binding on the Borrower and the Subsidiary Borrowers absent manifest error.</w:t>
      </w:r>
    </w:p>
    <w:p>
      <w:pPr>
        <w:spacing w:after="0" w:line="189" w:lineRule="exact"/>
        <w:rPr>
          <w:rFonts w:ascii="Courier New" w:cs="Courier New" w:eastAsia="Courier New" w:hAnsi="Courier New"/>
          <w:sz w:val="16"/>
          <w:szCs w:val="16"/>
          <w:color w:val="auto"/>
        </w:rPr>
      </w:pPr>
    </w:p>
    <w:p>
      <w:pPr>
        <w:ind w:right="2779" w:firstLine="1715"/>
        <w:spacing w:after="0" w:line="241" w:lineRule="auto"/>
        <w:tabs>
          <w:tab w:leader="none" w:pos="209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(other than interest based on the Prime Rate) shall be calculated on the basis of a 360-day year for the actual days elapsed (subject, in the case of any LIBOR Loan in an Optional Currency, to any market convention for a different basis); and commitment fees and</w:t>
      </w:r>
    </w:p>
    <w:p>
      <w:pPr>
        <w:sectPr>
          <w:pgSz w:w="11900" w:h="16838" w:orient="portrait"/>
          <w:cols w:equalWidth="0" w:num="1">
            <w:col w:w="10219"/>
          </w:cols>
          <w:pgMar w:left="240" w:top="29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37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32</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interest based on the Prime Rate shall be calculated on the basis of a 365-(366-, as the case may be) day year for the actual days elapsed. The Administrative Agent shall as soon as practicable notify the Borrower and the affected Lenders of each determination of a LIBOR Rate. Any change in the interest rate on a Loan resulting from a change in the ABR, the LIBOR Reserve Requirements, the MLA Costs, the C/D Assessment Rate or the C/D Reserve Percentage shall become effective as of the opening of business on the day on which such change becomes effective. The Administrative Agent shall as soon as practicable notify the Borrower and the affected Lenders of the effective date and the amount of such change in interest rate.</w:t>
      </w:r>
    </w:p>
    <w:p>
      <w:pPr>
        <w:spacing w:after="0" w:line="190" w:lineRule="exact"/>
        <w:rPr>
          <w:sz w:val="20"/>
          <w:szCs w:val="20"/>
          <w:color w:val="auto"/>
        </w:rPr>
      </w:pPr>
    </w:p>
    <w:p>
      <w:pPr>
        <w:ind w:right="2599" w:firstLine="1715"/>
        <w:spacing w:after="0" w:line="242" w:lineRule="auto"/>
        <w:tabs>
          <w:tab w:leader="none" w:pos="209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pursuant to any provision of this Agreement shall be conclusive and binding on each of the Borrower, the Subsidiary Borrowers and the Lenders in the absence of manifest error. The Administrative Agent shall, at the request of the Borrower or a Subsidiary Borrower or any Lender, deliver to the Borrower or a Subsidiary Borrower or such Lender a statement showing in reasonable detail the calculations used by the Administrative Agent in determining any interest rate pursuant to subsection 2.12, excluding any LIBOR Base rate which is based upon the British Bankers Assoc. Interest Settlement Rates Page and any ABR which is based upon the Prime Rate.</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2.14 Inability to Determine Interest Rate. In the event that the Reference Lender shall have reasonably determined (which determination shall be conclusive and binding upon the Borrower and the Subsidiary Borrowers absent manifest error) that by reason of circumstances affecting the interbank eurocurrency market, adequate and reasonable means do not exist for ascertaining the LIBOR Rate applicable pursuant to subsection 2.12(a) for any Interest Period with respect to (a) a proposed Loan that has been requested be made as a LIBOR Loan or LIBOR Bid Loan, (b) a LIBOR Loan that will result from the requested conversion of an ABR Loan into a LIBOR Loan or (c) the continuation of LIBOR Loans beyond the expiration of the then current Interest Period with respect thereto, the Administrative Agent shall forthwith give telecopy or telephonic notice of such determination, confirmed in writing, to the Borrower and the Lenders at least one Business Day prior to, as the case may be, the requested Borrowing Date for such LIBOR Loan, the conversion date of such ABR Loan or the last day of such Interest Period. If such notice is given (i) any requested LIBOR Loan in Dollars shall be made as an ABR Loan and any requested LIBOR Bid Loan shall be made as a Fixed Rate Bid Loan based upon the ABR, (ii) any ABR Loan that was to have been converted to a LIBOR Loan shall be continued as an ABR Loan, (iii) any outstanding LIBOR Loan in Dollars shall be converted, on the last day of the then current Interest Period with respect thereto, to an ABR Loan in any Optional Currency. Until such notice has been withdrawn by the Administrative Agent, no further LIBOR Loans in Dollars shall be made nor shall the Borrower have the right to convert an ABR Loan to a LIBOR Loan. Such notice shall be withdrawn by the Administrative Agent when the Administrative Agent shall reasonably determine that adequate and reasonable means exist for ascertaining the LIBOR Rate.</w:t>
      </w:r>
    </w:p>
    <w:p>
      <w:pPr>
        <w:spacing w:after="0" w:line="200"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2.15 Pro Rata Treatment and Payments. (a) Each borrowing from the Lenders hereunder, each payment on account of any facility fee hereunder and any reduction of the Revolving Credit Commitments of the Lenders shall be made pro rata according to the respective Commitment Percentages of the Lenders. Each payment (including each prepayment) on account</w:t>
      </w:r>
    </w:p>
    <w:p>
      <w:pPr>
        <w:sectPr>
          <w:pgSz w:w="11900" w:h="16838" w:orient="portrait"/>
          <w:cols w:equalWidth="0" w:num="1">
            <w:col w:w="10219"/>
          </w:cols>
          <w:pgMar w:left="240" w:top="298"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38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33</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of principal of and interest on the Loans shall be made pro rata according to the respective outstanding principal amounts of such Loans then held by the Lenders. All payments (including prepayments) to be made by the Borrower or any Subsidiary Borrower hereunder, whether on account of principal, interest, fees or otherwise, shall be made without set off or counterclaim and shall be made prior to 12:00 Noon, New York City time, on the due date thereof to the Administrative Agent, for the account of the Lenders, at the Administrative Agent's office specified in subsection 10.2, in Dollars and in immediately available funds (or in the case of any payment in an Optional Currency, in the relevant Optional Currency and at the place and time specified by the Administrative Agent from time to time). The Administrative Agent shall distribute such payments to the Lenders promptly upon receipt in like funds as received. If any payment hereunder (other than payments on the LIBOR Loans) becomes due and payable on a day other than a Business Day, such payment shall be extended to the next succeeding Business Day and such extension of time shall in such case be included in the computation of the amount payable hereunder. If any payment on a LIBOR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197" w:lineRule="exact"/>
        <w:rPr>
          <w:sz w:val="20"/>
          <w:szCs w:val="20"/>
          <w:color w:val="auto"/>
        </w:rPr>
      </w:pPr>
    </w:p>
    <w:p>
      <w:pPr>
        <w:ind w:right="2599" w:firstLine="1715"/>
        <w:spacing w:after="0" w:line="259" w:lineRule="auto"/>
        <w:tabs>
          <w:tab w:leader="none" w:pos="209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been notified in writing by any Lender prior to a Borrowing Date that such Lender will not make the amount that would constitute its Commitment Percentage of the borrowing on such date available to the Administrative Agent, the Administrative Agent may assume that such Lender has made such amount available to the Administrative Agent on such Borrowing Date, and the Administrative Agent may, in reliance upon such assumption, make available to the Borrower or the relevant Subsidiary Borrower a corresponding amount. If such amount is made available to the Administrative Agent on a date after such Borrowing Date, such Lender shall pay to the Administrative Agent on demand an amount equal to the product of (i) the daily average Federal funds rate (or, in the case of any borrowing in an Optional Currency, the customary rate as selected by the Administrative Agent for the settlement of obligations between banks) during such period as quoted by the Administrative Agent, times (ii) the amount of such Lender's Commitment Percentage of such borrowing, times (iii) a fraction the numerator of which is the number of days that elapse from and including such Borrowing Date to the date on which such Lender's Commitment Percentage of such borrowing shall have become immediately available to the Administrative Agent and the denominator of which is 360 (the "Effective Interbank Rate"). A certificate of the Administrative Agent submitted to any Lender with respect to any amounts owing under this subsection shall be conclusive in the absence of manifest error. If such amount is so made available, such payment to the Administrative Agent shall constitute such Lender's Loan on such Borrowing Date for all purposes of this Agreement. If such amount is not so made available to the Administrative Agent, then the Administrative Agent shall notify the Borrower or the relevant Subsidiary Borrower of such failure and on the fourth Business Day following such Borrowing Date, the Borrower or such Subsidiary Borrower shall pay to the Administrative Agent such ratable portion, together with interest thereon for each day that the Borrower or such Subsidiary Borrower had the use of such ratable portion, at the Effective Interbank Rate. Nothing contained in this subsection 2.15(b) shall relieve any Lender which has failed to make available its ratable portion of any borrowing hereunder from its obligation to do so in</w:t>
      </w:r>
    </w:p>
    <w:p>
      <w:pPr>
        <w:sectPr>
          <w:pgSz w:w="11900" w:h="16838" w:orient="portrait"/>
          <w:cols w:equalWidth="0" w:num="1">
            <w:col w:w="10219"/>
          </w:cols>
          <w:pgMar w:left="24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39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34</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the terms hereof.</w:t>
      </w:r>
    </w:p>
    <w:p>
      <w:pPr>
        <w:spacing w:after="0" w:line="188" w:lineRule="exact"/>
        <w:rPr>
          <w:sz w:val="20"/>
          <w:szCs w:val="20"/>
          <w:color w:val="auto"/>
        </w:rPr>
      </w:pPr>
    </w:p>
    <w:p>
      <w:pPr>
        <w:jc w:val="both"/>
        <w:ind w:right="2779" w:firstLine="1715"/>
        <w:spacing w:after="0" w:line="241" w:lineRule="auto"/>
        <w:tabs>
          <w:tab w:leader="none" w:pos="209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Lender to make the Loan to be made by it on any Borrowing Date shall not relieve any other Lender of its obligation, if any, hereunder to make its Loan on such Borrowing Date, but no Lender shall be responsible for the failure of any other Lender to make the Loan to be made by such other Lender on such Borrowing Date.</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2.16 Illegality. Notwithstanding any other provisions herein, if any introduction of or change in any law, regulation, treaty or directive or in the interpretation or application thereof occurring after the date hereof shall make it unlawful for any Lender to make or maintain LIBOR Loans or LIBOR Bid Loans as contemplated by this Agreement, (a) such Lender shall forthwith give telecopy or telephonic notice of such circumstances, confirmed in writing, to the Borrower or the relevant subsidiary Borrower (which notice shall be withdrawn by such Lender when such Lender shall reasonably determine that it shall no longer be illegal for such Lender to make or maintain LIBOR Loans or LIBOR Bid Loans or to convert ABR Loans to LIBOR Loans), (b) the commitment of such Lender hereunder to make LIBOR Loans or to convert ABR Loans to LIBOR Loans shall forthwith be cancelled and (c) such Lender's Loans then outstanding as LIBOR Loans or LIBOR Bid Loans, if any, shall be, in the case of Loans in Dollars, converted automatically to ABR Loans based upon the ABR on the respective last days of the then current Interest Periods with respect to such Loans or within such earlier period as may be required by law and in the case of Loans in any Optional Currency, shall be prepaid on the respective last days of the then current Interest Periods with respect to such Loans or within such earlier period as may be required by law. The Borrower and each Subsidiary Borrower hereby agrees promptly to pay the Administrative Agent for the account of each Lender, upon demand by the Administrative Agent, any additional amounts necessary to compensate the Lenders for any costs incurred by the Lenders in making any conversion in accordance with this subsection 2.16, including, but not limited to, any interest or fees payable by the Lenders to lenders of funds obtained by them in order to make or maintain their LIBOR Loans or LIBOR Bid Loans hereunder (the Administrative Agent's notice of such costs, as certified to the Borrower or such Subsidiary Borrower, to be conclusive, absent manifest error).</w:t>
      </w:r>
    </w:p>
    <w:p>
      <w:pPr>
        <w:spacing w:after="0" w:line="202"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2.17 Requirements of Law. (a) In the event that any introduction of or change in any law, regulation, treaty or directive or in the interpretation or application thereof occurring after the date hereof or compliance by any Lender with any request or directive (whether or not having the force of law) from any central bank or other governmental authority, agency or instrumentality:</w:t>
      </w:r>
    </w:p>
    <w:p>
      <w:pPr>
        <w:spacing w:after="0" w:line="187" w:lineRule="exact"/>
        <w:rPr>
          <w:sz w:val="20"/>
          <w:szCs w:val="20"/>
          <w:color w:val="auto"/>
        </w:rPr>
      </w:pPr>
    </w:p>
    <w:p>
      <w:pPr>
        <w:ind w:left="860" w:right="2679" w:firstLine="1522"/>
        <w:spacing w:after="0" w:line="260" w:lineRule="auto"/>
        <w:tabs>
          <w:tab w:leader="none" w:pos="276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such Lender to any tax of any kind, whatsoever with respect to this Agreement, any Note, any Letter of Credit, any Application, any Loan or any LIBOR Loans made by it or its obligation to make LIBOR Loans, or change the basis of taxation of payments to such Lender of principal, facility fee, interest or any other amount payable hereunder (other than withholding tax imposed by the United States of America and other than any other tax of any kind whatsoever that is measured with respect to the overall net income of such Lender or of a lending office of such Lender, and that is imposed by the United States of America, or by the jurisdiction in which such</w:t>
      </w:r>
    </w:p>
    <w:p>
      <w:pPr>
        <w:sectPr>
          <w:pgSz w:w="11900" w:h="16838" w:orient="portrait"/>
          <w:cols w:equalWidth="0" w:num="1">
            <w:col w:w="10219"/>
          </w:cols>
          <w:pgMar w:left="240" w:top="298"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40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35</w:t>
      </w:r>
    </w:p>
    <w:p>
      <w:pPr>
        <w:spacing w:after="0" w:line="372" w:lineRule="exact"/>
        <w:rPr>
          <w:sz w:val="20"/>
          <w:szCs w:val="20"/>
          <w:color w:val="auto"/>
        </w:rPr>
      </w:pPr>
    </w:p>
    <w:p>
      <w:pPr>
        <w:ind w:left="860" w:right="2599"/>
        <w:spacing w:after="0" w:line="242" w:lineRule="auto"/>
        <w:rPr>
          <w:sz w:val="20"/>
          <w:szCs w:val="20"/>
          <w:color w:val="auto"/>
        </w:rPr>
      </w:pPr>
      <w:r>
        <w:rPr>
          <w:rFonts w:ascii="Courier New" w:cs="Courier New" w:eastAsia="Courier New" w:hAnsi="Courier New"/>
          <w:sz w:val="16"/>
          <w:szCs w:val="16"/>
          <w:color w:val="auto"/>
        </w:rPr>
        <w:t>Lender is organized or has its principal office (or any political subdivision or taxing authority thereof or therein), or by the jurisdiction in which such Lender is managed and controlled (or any political subdivision or taxing authority thereof or therein) or by the jurisdiction in which such Lender has its LIBOR lending office (or any political subdivision or taxing authority thereof or therein)), or</w:t>
      </w:r>
    </w:p>
    <w:p>
      <w:pPr>
        <w:spacing w:after="0" w:line="187" w:lineRule="exact"/>
        <w:rPr>
          <w:sz w:val="20"/>
          <w:szCs w:val="20"/>
          <w:color w:val="auto"/>
        </w:rPr>
      </w:pPr>
    </w:p>
    <w:p>
      <w:pPr>
        <w:ind w:left="860" w:right="2679" w:firstLine="855"/>
        <w:spacing w:after="0" w:line="261" w:lineRule="auto"/>
        <w:tabs>
          <w:tab w:leader="none" w:pos="219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LIBOR Rate hereunder or the interest rate applicable to any Bid Loan hereunder, or</w:t>
      </w:r>
    </w:p>
    <w:p>
      <w:pPr>
        <w:spacing w:after="0" w:line="173" w:lineRule="exact"/>
        <w:rPr>
          <w:rFonts w:ascii="Courier New" w:cs="Courier New" w:eastAsia="Courier New" w:hAnsi="Courier New"/>
          <w:sz w:val="15"/>
          <w:szCs w:val="15"/>
          <w:color w:val="auto"/>
        </w:rPr>
      </w:pPr>
    </w:p>
    <w:p>
      <w:pPr>
        <w:ind w:left="860" w:right="2779" w:firstLine="855"/>
        <w:spacing w:after="0" w:line="239" w:lineRule="auto"/>
        <w:tabs>
          <w:tab w:leader="none" w:pos="229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Lender or the eurocurrency market any other condition;</w:t>
      </w:r>
    </w:p>
    <w:p>
      <w:pPr>
        <w:spacing w:after="0" w:line="189"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and the result of any of the foregoing is to increase the cost to such Lender (which increase in cost shall be the result of such Lender's reasonable allocation of the aggregate of such cost increases resulting from such events), of making, renewing or maintaining LIBOR Loans or Bid Loans or issuing or participating in Letters of Credit or to reduce any amount receivable thereunder then, in any such case, the Borrower or the relevant Subsidiary Borrower shall, upon notice to it from such Lender (with a copy to the Administrative Agent) certifying that (x) one of the events described in this subsection 2.17(a) has occurred and the nature of such event, (y) the increased cost or reduced amount resulting from such event and (z) the additional amounts demanded by such Lender and a reasonably detailed explanation of the calculation thereof, promptly pay to the Administrative Agent for the account of the applicable Lender, upon demand by the Administrative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provided that, in any such case, the Borrower or the relevant Subsidiary Borrower (if otherwise not prohibited hereunder) may elect to convert the LIBOR Loans in Dollars made hereunder to ABR Loans by giving such Lender and the Administrative Agent at least one Business Day's prior irrevocable notice of such election in which case the Borrower or relevant Subsidiary Borrower shall promptly pay the Administrative Agent for the account of the applicable Lender, upon demand by the Administrative Agent, without duplication, any loss or expense incurred by such Lender in liquidating or re-employing the deposits from which the funds were obtained by such Lender for the purpose of making and/or maintaining such LIBOR Loans, together with any amount due under this subsection 2.17(a) in respect of the period prior to such conversion. If such Lender becomes entitled to claim any additional amounts pursuant to this subsection, it shall promptly notify the Borrower or the relevant Subsidiary Borrower of the event by reason of which it has become so entitled.</w:t>
      </w:r>
    </w:p>
    <w:p>
      <w:pPr>
        <w:spacing w:after="0" w:line="368" w:lineRule="exact"/>
        <w:rPr>
          <w:sz w:val="20"/>
          <w:szCs w:val="20"/>
          <w:color w:val="auto"/>
        </w:rPr>
      </w:pPr>
    </w:p>
    <w:p>
      <w:pPr>
        <w:ind w:right="2879" w:firstLine="1715"/>
        <w:spacing w:after="0" w:line="241" w:lineRule="auto"/>
        <w:tabs>
          <w:tab w:leader="none" w:pos="209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Lender shall have determined that any change in any Requirement of Law regarding capital adequacy or in the interpretation or application thereof or compliance by such Lender or any corporation controlling such Lender with any request or</w:t>
      </w:r>
    </w:p>
    <w:p>
      <w:pPr>
        <w:sectPr>
          <w:pgSz w:w="11900" w:h="16838" w:orient="portrait"/>
          <w:cols w:equalWidth="0" w:num="1">
            <w:col w:w="10219"/>
          </w:cols>
          <w:pgMar w:left="240" w:top="298"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41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36</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 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Administrative Agent) of a written request therefor certifying that (x) one of the events described in this subsection 2.17(b) has occurred and the nature of such event, (y) the increased cost or reduced amount resulting from such event and (z) the additional amounts demanded by such Lender and a reasonably detailed explanation of the calculation thereof, the Borrower shall pay to such Lender such additional amount or amounts as will compensate such Lender for such reduction.</w:t>
      </w:r>
    </w:p>
    <w:p>
      <w:pPr>
        <w:spacing w:after="0" w:line="194" w:lineRule="exact"/>
        <w:rPr>
          <w:sz w:val="20"/>
          <w:szCs w:val="20"/>
          <w:color w:val="auto"/>
        </w:rPr>
      </w:pPr>
    </w:p>
    <w:p>
      <w:pPr>
        <w:ind w:right="2599" w:firstLine="1715"/>
        <w:spacing w:after="0"/>
        <w:tabs>
          <w:tab w:leader="none" w:pos="209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paragraphs (a) and (b) above submitted by any Lender to the Borrower or a Subsidiary Borrower shall be conclusive absent manifest error.</w:t>
      </w:r>
    </w:p>
    <w:p>
      <w:pPr>
        <w:spacing w:after="0" w:line="190"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2.18 Indemnity. The Borrower and each Subsidiary Borrower agrees to indemnify each Lender and to hold each Lender harmless from any loss or expense which such Lender may sustain or incur as a consequence of (a) default by the Borrower or such Subsidiary Borrower in payment of the principal amount of or interest on any LIBOR Loans or Bid Loan, including, but not limited to, any such loss or expense arising from interest or fees payable by such Lender to lenders of funds obtained by them in order to maintain their LIBOR Loans hereunder, (b) default by the Borrower or such Subsidiary Borrower in making a LIBOR Loan or conversion after the Borrower or such Subsidiary Borrower has given a notice in accordance with subsection 2.2 or 2.11, (c) default by the Borrower in making a borrowing or conversion after the Borrower has given (or is deemed to have given) a notice in accordance with subsection 2.5 (so long as the Borrower shall have accepted a Bid Loan offered in connection with any such notice), (d) default by the Borrower or such Subsidiary Borrower in making any prepayment of a LIBOR Loan after the Borrower or such Subsidiary Borrower has given a notice in accordance with subsection 2.8, and (e) the making of any payment or conversion of LIBOR Loans, LIBOR Bid Loans or Fixed Rate Bid Loans on a day which is not the last day of the applicable Interest Period with respect thereto, including, but not limited to, any such loss or expense arising from interest or fees payable by the Lenders to lenders of funds obtained by them in order to maintain their LIBOR Loans hereunder. This covenant shall survive termination of this Agreement and payment of the outstanding Notes. The obligations of indemnity of each of the respective Subsidiary Borrowers hereunder are limited only to the loss and expense described herein arising from or as a result of any act or omission by such Subsidiary Borrower, and are not, and shall not be deemed to be, the joint and several obligations of each such Subsidiary Borrower as to any loss or expense arising from or as a result of any act or omission by the Borrower or the other Subsidiary Borrower.</w:t>
      </w:r>
    </w:p>
    <w:p>
      <w:pPr>
        <w:spacing w:after="0" w:line="368" w:lineRule="exact"/>
        <w:rPr>
          <w:sz w:val="20"/>
          <w:szCs w:val="20"/>
          <w:color w:val="auto"/>
        </w:rPr>
      </w:pPr>
    </w:p>
    <w:p>
      <w:pPr>
        <w:ind w:right="2779" w:firstLine="1717"/>
        <w:spacing w:after="0"/>
        <w:rPr>
          <w:sz w:val="20"/>
          <w:szCs w:val="20"/>
          <w:color w:val="auto"/>
        </w:rPr>
      </w:pPr>
      <w:r>
        <w:rPr>
          <w:rFonts w:ascii="Courier New" w:cs="Courier New" w:eastAsia="Courier New" w:hAnsi="Courier New"/>
          <w:sz w:val="16"/>
          <w:szCs w:val="16"/>
          <w:color w:val="auto"/>
        </w:rPr>
        <w:t>2.19 Taxes. (a) Except as provided below in this subsection, all payments made by the Borrower or any Subsidiary Borrower under this Agreement and any Notes shall be made</w:t>
      </w:r>
    </w:p>
    <w:p>
      <w:pPr>
        <w:sectPr>
          <w:pgSz w:w="11900" w:h="16838" w:orient="portrait"/>
          <w:cols w:equalWidth="0" w:num="1">
            <w:col w:w="10219"/>
          </w:cols>
          <w:pgMar w:left="240" w:top="298"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42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37</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taxes measured by or imposed upon the overall net income of any Lender or its applicable lending office, or any branch or affiliate thereof, and all franchise taxes, branch taxes, taxes on doing business or taxes measured by or imposed upon the overall capital or net worth of any Lender or its applicable lending office, or any branch or affiliate thereof, in each case imposed: (i) by the jurisdiction under the laws of which such Lender, applicable lending office, branch or affiliate is organized or is located, or in which its principal executive office is located, or any nation within which such jurisdiction is located or any political subdivision thereof; or (ii) by reason of any connection between the jurisdiction imposing such tax and such Lender, applicable lending office, branch or affiliate other than a connection arising solely from such Lender having executed, delivered or performed its obligations under, or received payment under or enforced, this Agreement or any Notes. If any such non-excluded taxes, levies, imposts, duties, charges, fees, deductions or withholdings ("Non-Excluded Taxes") are required to be withheld from any amounts payable to the Administrative Agent or any Lender hereunder or under any Notes,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and any Notes, provided, however, that the Borrower and/or such Subsidiary Borrower shall be entitled to deduct and withhold any Non-Excluded Taxes and shall not be required to increase any such amounts payable to any Lender that is not organized under the laws of the United States of America or a state thereof, as the case may be, or the jurisdiction in which the applicable Foreign Subsidiary Borrower is incorporated or organized if such Lender fails to comply with the requirements of paragraph (b) of this subsection. Whenever any Non-Excluded Taxes are payable by the Borrower or any Subsidiary Borrower, as promptly as possible thereafter the applicable Borrower or Subsidiary Borrower shall send to the Administrative Agent for its own account or for the account of such Lender, as the case may be, a certified copy of an original official receipt received by such Borrower or such Subsidiary Borrower showing payment thereof. If the Borrower or any Subsidiary Borrower fails to pay any Non-Excluded Taxes when due to the appropriate taxing authority or fails to remit to the Administrative Agent the required receipts or other required documentary evidence, such Borrower or Subsidiary Borrower shall indemnify the Administrative Agent and the Lenders for any incremental taxes, interest or penalties that may become payable by the Administrative Agent or any Lender as a result of any such failure. The agreements in this subsection shall survive the termination of this Agreement and the payment of the Loans and all other amounts payable hereunder.</w:t>
      </w:r>
    </w:p>
    <w:p>
      <w:pPr>
        <w:spacing w:after="0" w:line="212" w:lineRule="exact"/>
        <w:rPr>
          <w:sz w:val="20"/>
          <w:szCs w:val="20"/>
          <w:color w:val="auto"/>
        </w:rPr>
      </w:pPr>
    </w:p>
    <w:p>
      <w:pPr>
        <w:ind w:right="2599" w:firstLine="1715"/>
        <w:spacing w:after="0" w:line="239" w:lineRule="auto"/>
        <w:tabs>
          <w:tab w:leader="none" w:pos="209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Each Lender that is not incorporated under the laws of the United States of America or a state thereof shall:</w:t>
      </w:r>
    </w:p>
    <w:p>
      <w:pPr>
        <w:spacing w:after="0" w:line="189" w:lineRule="exact"/>
        <w:rPr>
          <w:sz w:val="20"/>
          <w:szCs w:val="20"/>
          <w:color w:val="auto"/>
        </w:rPr>
      </w:pPr>
    </w:p>
    <w:p>
      <w:pPr>
        <w:ind w:left="860" w:right="2779" w:firstLine="855"/>
        <w:spacing w:after="0" w:line="262" w:lineRule="auto"/>
        <w:tabs>
          <w:tab w:leader="none" w:pos="21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on or before the date of any payment by the Borrower or any Subsidiary Borrower under this Agreement or any Notes to such Lender, deliver to the Borrower or the relevant Subsidiary Borrower, and the Administrative Agent (A) two duly completed copies of United States Internal Revenue Service Form 1001 or 4224, or successor</w:t>
      </w:r>
    </w:p>
    <w:p>
      <w:pPr>
        <w:sectPr>
          <w:pgSz w:w="11900" w:h="16838" w:orient="portrait"/>
          <w:cols w:equalWidth="0" w:num="1">
            <w:col w:w="10219"/>
          </w:cols>
          <w:pgMar w:left="240" w:top="298"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43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38</w:t>
      </w:r>
    </w:p>
    <w:p>
      <w:pPr>
        <w:spacing w:after="0" w:line="372" w:lineRule="exact"/>
        <w:rPr>
          <w:sz w:val="20"/>
          <w:szCs w:val="20"/>
          <w:color w:val="auto"/>
        </w:rPr>
      </w:pPr>
    </w:p>
    <w:p>
      <w:pPr>
        <w:ind w:left="860" w:right="2599"/>
        <w:spacing w:after="0" w:line="242" w:lineRule="auto"/>
        <w:rPr>
          <w:sz w:val="20"/>
          <w:szCs w:val="20"/>
          <w:color w:val="auto"/>
        </w:rPr>
      </w:pPr>
      <w:r>
        <w:rPr>
          <w:rFonts w:ascii="Courier New" w:cs="Courier New" w:eastAsia="Courier New" w:hAnsi="Courier New"/>
          <w:sz w:val="16"/>
          <w:szCs w:val="16"/>
          <w:color w:val="auto"/>
        </w:rPr>
        <w:t>applicable form, as the case may be, certifying that it is entitled to receive payments under this Agreement and any Notes without deduction or withholding of any United States federal income taxes and (B) an Internal Revenue Service Form W-8 or W-9, or successor applicable form, as the case may be, certifying that it is entitled to an exemption from United States backup withholding tax;</w:t>
      </w:r>
    </w:p>
    <w:p>
      <w:pPr>
        <w:spacing w:after="0" w:line="187" w:lineRule="exact"/>
        <w:rPr>
          <w:sz w:val="20"/>
          <w:szCs w:val="20"/>
          <w:color w:val="auto"/>
        </w:rPr>
      </w:pPr>
    </w:p>
    <w:p>
      <w:pPr>
        <w:ind w:left="860" w:right="2679" w:firstLine="855"/>
        <w:spacing w:after="0" w:line="242" w:lineRule="auto"/>
        <w:tabs>
          <w:tab w:leader="none" w:pos="219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Borrower or the relevant Subsidiary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or such subsidiary Borrower subsidiary Borrower; and</w:t>
      </w:r>
    </w:p>
    <w:p>
      <w:pPr>
        <w:spacing w:after="0" w:line="187" w:lineRule="exact"/>
        <w:rPr>
          <w:rFonts w:ascii="Courier New" w:cs="Courier New" w:eastAsia="Courier New" w:hAnsi="Courier New"/>
          <w:sz w:val="16"/>
          <w:szCs w:val="16"/>
          <w:color w:val="auto"/>
        </w:rPr>
      </w:pPr>
    </w:p>
    <w:p>
      <w:pPr>
        <w:ind w:left="860" w:right="2779" w:firstLine="855"/>
        <w:spacing w:after="0"/>
        <w:tabs>
          <w:tab w:leader="none" w:pos="229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such extensions of time for filing and complete such forms or certifications as may reasonably be requested by the Borrower, Subsidiary Borrower or the Administrative Agent; or</w:t>
      </w:r>
    </w:p>
    <w:p>
      <w:pPr>
        <w:spacing w:after="0" w:line="190" w:lineRule="exact"/>
        <w:rPr>
          <w:sz w:val="20"/>
          <w:szCs w:val="20"/>
          <w:color w:val="auto"/>
        </w:rPr>
      </w:pPr>
    </w:p>
    <w:p>
      <w:pPr>
        <w:ind w:left="860" w:right="2599" w:firstLine="855"/>
        <w:spacing w:after="0" w:line="259" w:lineRule="auto"/>
        <w:tabs>
          <w:tab w:leader="none" w:pos="210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Lender that is not a "bank" within the meaning of Section 881(c)(3)(A) of the Code, (i) represent to the Borrower (for the benefit of each of the Borrower, the Subsidiary Borrowers and the Administrative Agent) that it is not a bank within the meaning of Section 881(c)(3)(A) of the Code, (ii) agree to furnish to the Borrower on or before the date of any payment by the Borrower or any Subsidiary Borrower, with a copy to the Administrative Agent, (A) a certificate substantially in the form of Exhibit K (any such certificate a "U.S. Tax Compliance Certificate") and (B) two accurate and complete original signed copies of Internal Revenue Service Form W-8, or successor applicable form certifying to such Lender's legal entitlement at the date of such certificate to an exemption from U.S. withholding tax under the provisions of Section 881(c) of the Code with respect to payments to be made under this Agreement and any Notes (and to deliver to the Borrower and the Administrative Agent two further copies of such form on or before the date it expires or becomes obsolete and after the occurrence of any event requiring a change in the most recently provided form and, if necessary, obtain any extensions of time reasonably requested by the Borrower or the Administrative Agent for filing and completing such forms), and (iii) agree, to the extent legally entitled to do so, upon reasonable request by the Borrower, to provide to the Borrower (for the benefit of each of the Borrower, the Subsidiary Borrowers and the Administrative Agent) such other forms as may be reasonably required in order to establish the legal entitlement of such Lender to an exemption from withholding with respect to payments under this Agreement and any Notes, provided that in determining the reasonableness of a request under this clause</w:t>
      </w:r>
    </w:p>
    <w:p>
      <w:pPr>
        <w:spacing w:after="0" w:line="184" w:lineRule="exact"/>
        <w:rPr>
          <w:rFonts w:ascii="Courier New" w:cs="Courier New" w:eastAsia="Courier New" w:hAnsi="Courier New"/>
          <w:sz w:val="15"/>
          <w:szCs w:val="15"/>
          <w:color w:val="auto"/>
        </w:rPr>
      </w:pPr>
    </w:p>
    <w:p>
      <w:pPr>
        <w:ind w:left="860" w:right="2599" w:hanging="4"/>
        <w:spacing w:after="0"/>
        <w:tabs>
          <w:tab w:leader="none" w:pos="143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Lender shall be entitled to consider the cost (to the extent unreimbursed by the Borrower) which would be imposed on such Lender of complying with such request; and</w:t>
      </w:r>
    </w:p>
    <w:p>
      <w:pPr>
        <w:spacing w:after="0" w:line="190" w:lineRule="exact"/>
        <w:rPr>
          <w:sz w:val="20"/>
          <w:szCs w:val="20"/>
          <w:color w:val="auto"/>
        </w:rPr>
      </w:pPr>
    </w:p>
    <w:p>
      <w:pPr>
        <w:ind w:right="2599" w:firstLine="856"/>
        <w:spacing w:after="0" w:line="241" w:lineRule="auto"/>
        <w:tabs>
          <w:tab w:leader="none" w:pos="12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that is not incorporated or organized under the laws of the jurisdiction under which a Foreign Subsidiary Borrower is incorporated or organized shall, upon request by such Foreign Subsidiary Borrower, deliver to such Foreign Subsidiary Borrower or the applicable governmental or taxing authority, as the case may be, any form or certificate required in order</w:t>
      </w:r>
    </w:p>
    <w:p>
      <w:pPr>
        <w:sectPr>
          <w:pgSz w:w="11900" w:h="16838" w:orient="portrait"/>
          <w:cols w:equalWidth="0" w:num="1">
            <w:col w:w="10219"/>
          </w:cols>
          <w:pgMar w:left="240" w:top="298" w:right="1440" w:bottom="1440" w:gutter="0" w:footer="0" w:header="0"/>
        </w:sectPr>
      </w:pPr>
    </w:p>
    <w:bookmarkStart w:id="67" w:name="page68"/>
    <w:bookmarkEnd w:id="67"/>
    <w:p>
      <w:pPr>
        <w:ind w:left="282"/>
        <w:spacing w:after="0"/>
        <w:rPr>
          <w:sz w:val="20"/>
          <w:szCs w:val="20"/>
          <w:color w:val="auto"/>
        </w:rPr>
      </w:pPr>
      <w:r>
        <w:rPr>
          <w:rFonts w:ascii="Courier New" w:cs="Courier New" w:eastAsia="Courier New" w:hAnsi="Courier New"/>
          <w:sz w:val="16"/>
          <w:szCs w:val="16"/>
          <w:color w:val="auto"/>
        </w:rPr>
        <w:t>44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39</w:t>
      </w:r>
    </w:p>
    <w:p>
      <w:pPr>
        <w:spacing w:after="0" w:line="372"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that any payment by such Foreign Subsidiary Borrower under this Agreement or any Notes to such Lender may be made free and clear of, and without deduction or withholding for or on account of any Tax (or to allow any such deduction or withholding to be at a reduced rate) imposed on such payment under the laws of the jurisdiction under which such Foreign Subsidiary Borrower is incorporated or organized, provided that such Lender is legally entitled to complete, execute and deliver such form or certificate and such completion, execution or submission would not materially prejudice the legal position of such Lender; unless in any such case any change in treaty, law or regulation has occurred after the date such Person becomes a Lender hereunder which renders all such forms inapplicable or which would prevent such Lender from duly completing and delivering any such form with respect to it and such Lender so advises the Borrower and the Administrative Agent. Each Person that shall become a Lender or a Participant pursuant to subsection 10.6 shall, upon the effectiveness of the related transfer, be required to provide all of the forms, certifications and statements required pursuant to this subsection, provided that in the case of a Participant the obligations of such Participant pursuant to this paragraph (b) shall be determined as if such Participant were a Lender except that such Participant shall furnish all such required forms, certifications and statements to the Lender from which the related participation shall have been purchased.</w:t>
      </w:r>
    </w:p>
    <w:p>
      <w:pPr>
        <w:spacing w:after="0" w:line="184" w:lineRule="exact"/>
        <w:rPr>
          <w:sz w:val="20"/>
          <w:szCs w:val="20"/>
          <w:color w:val="auto"/>
        </w:rPr>
      </w:pPr>
    </w:p>
    <w:p>
      <w:pPr>
        <w:ind w:left="2" w:right="2679" w:firstLine="1717"/>
        <w:spacing w:after="0" w:line="242" w:lineRule="auto"/>
        <w:rPr>
          <w:sz w:val="20"/>
          <w:szCs w:val="20"/>
          <w:color w:val="auto"/>
        </w:rPr>
      </w:pPr>
      <w:r>
        <w:rPr>
          <w:rFonts w:ascii="Courier New" w:cs="Courier New" w:eastAsia="Courier New" w:hAnsi="Courier New"/>
          <w:sz w:val="16"/>
          <w:szCs w:val="16"/>
          <w:color w:val="auto"/>
        </w:rPr>
        <w:t>2.20 European Monetary Union. The Borrower and the Subsidiary Borrowers agree, at the request of the Required Lenders, at the time of or at any time following the implementation of European monetary union, to enter into an agreement amending this Agreement in such manner as the Required Lenders shall specify in order to reflect the implementation of such monetary union to place the parties hereto in the position they would have been in had such monetary union not been implemented.</w:t>
      </w:r>
    </w:p>
    <w:p>
      <w:pPr>
        <w:spacing w:after="0" w:line="188" w:lineRule="exact"/>
        <w:rPr>
          <w:sz w:val="20"/>
          <w:szCs w:val="20"/>
          <w:color w:val="auto"/>
        </w:rPr>
      </w:pPr>
    </w:p>
    <w:p>
      <w:pPr>
        <w:ind w:left="2" w:right="2599" w:firstLine="1717"/>
        <w:spacing w:after="0" w:line="242" w:lineRule="auto"/>
        <w:rPr>
          <w:sz w:val="20"/>
          <w:szCs w:val="20"/>
          <w:color w:val="auto"/>
        </w:rPr>
      </w:pPr>
      <w:r>
        <w:rPr>
          <w:rFonts w:ascii="Courier New" w:cs="Courier New" w:eastAsia="Courier New" w:hAnsi="Courier New"/>
          <w:sz w:val="16"/>
          <w:szCs w:val="16"/>
          <w:color w:val="auto"/>
        </w:rPr>
        <w:t>2.21 Use of Proceeds. The proceeds of the Loans shall be used by the Borrower and the Subsidiary Borrowers (i) for the repayment in full of the revolving credit loans and term loans under the Existing Credit Agreement and the payment in full of any and all other amounts owing to the Existing Lenders under the Existing Credit Agreement, (ii) for the issuance of Letters of Credit, (iii) for working capital and other general corporate purposes of the Borrower and its Subsidiaries, (iv) for acquisitions in accordance with the terms and provisions of subsection 7.3(c).</w:t>
      </w:r>
    </w:p>
    <w:p>
      <w:pPr>
        <w:spacing w:after="0" w:line="189" w:lineRule="exact"/>
        <w:rPr>
          <w:sz w:val="20"/>
          <w:szCs w:val="20"/>
          <w:color w:val="auto"/>
        </w:rPr>
      </w:pPr>
    </w:p>
    <w:p>
      <w:pPr>
        <w:ind w:left="2" w:right="2599" w:firstLine="1717"/>
        <w:spacing w:after="0" w:line="259" w:lineRule="auto"/>
        <w:rPr>
          <w:sz w:val="20"/>
          <w:szCs w:val="20"/>
          <w:color w:val="auto"/>
        </w:rPr>
      </w:pPr>
      <w:r>
        <w:rPr>
          <w:rFonts w:ascii="Courier New" w:cs="Courier New" w:eastAsia="Courier New" w:hAnsi="Courier New"/>
          <w:sz w:val="15"/>
          <w:szCs w:val="15"/>
          <w:color w:val="auto"/>
        </w:rPr>
        <w:t>2.22 Controls on Prepayment if Aggregate Outstanding Extensions of Credit Exceeds Aggregate Revolving Credit Commitments. (a) The Borrower will implement and maintain internal controls to monitor the borrowings and repayments of Loans by both the Borrower and the Subsidiary Borrowers and the issuance of and drawings under Letters of Credit, with the object of preventing any request for an Extension of Credit that would result in (i) the aggregate outstanding Extensions of Credit with respect to all of the Lenders being in excess of the aggregate Revolving Credit Commitments then in effect,</w:t>
      </w:r>
    </w:p>
    <w:p>
      <w:pPr>
        <w:ind w:left="2" w:right="2599" w:hanging="2"/>
        <w:spacing w:after="0" w:line="242" w:lineRule="auto"/>
        <w:tabs>
          <w:tab w:leader="none" w:pos="47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Dollar Equivalent of the then outstanding Revolving Credit Loans in Optional Currencies other than Sterling with respect to all the Lenders being in excess of the Optional Currency Equivalent of $50,000,000 or (iii) the sum of the outstanding Revolving Credit Loans in Optional Currencies including Sterling with respect to all the Lenders being in excess of the Optional Currency Equivalent of $250,000,000 and of promptly identifying and remedying any circumstance where, by reason of</w:t>
      </w:r>
    </w:p>
    <w:p>
      <w:pPr>
        <w:sectPr>
          <w:pgSz w:w="11900" w:h="16838" w:orient="portrait"/>
          <w:cols w:equalWidth="0" w:num="1">
            <w:col w:w="10221"/>
          </w:cols>
          <w:pgMar w:left="238" w:top="298" w:right="1440" w:bottom="1440" w:gutter="0" w:footer="0" w:header="0"/>
        </w:sectPr>
      </w:pPr>
    </w:p>
    <w:bookmarkStart w:id="68" w:name="page69"/>
    <w:bookmarkEnd w:id="68"/>
    <w:p>
      <w:pPr>
        <w:ind w:left="282"/>
        <w:spacing w:after="0"/>
        <w:rPr>
          <w:sz w:val="20"/>
          <w:szCs w:val="20"/>
          <w:color w:val="auto"/>
        </w:rPr>
      </w:pPr>
      <w:r>
        <w:rPr>
          <w:rFonts w:ascii="Courier New" w:cs="Courier New" w:eastAsia="Courier New" w:hAnsi="Courier New"/>
          <w:sz w:val="16"/>
          <w:szCs w:val="16"/>
          <w:color w:val="auto"/>
        </w:rPr>
        <w:t>45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changes in exchange rates, (x) the aggregate outstanding Extensions of Credit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(made in Dollars or any Optional Currency) with respect to all of the Lenders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exceeds the aggregate Revolving Credit Commitments then in effect, (y) the sum</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of the Dollar Equivalent of the then outstanding Revolving Credit Loans in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Optional Currencies other than Sterling with respect to all the Lenders exceeds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Optional Currency Equivalent of $50,000,000 or (z) the sum of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outstanding Revolving Credit Loans in Optional Currencies including Sterling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respect to all the Lenders exceeds the Optional Currency Equivalent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$250,000,000. In the event that at any time the Borrower determines that (i) the</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aggregate outstanding Extensions of Credit (made in Dollars or any Optional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Currency) with respect to all of the Lenders exceeds the aggregate Revolving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Credit Commitments then in effect, (ii) the sum of the Dollar Equivalent of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then outstanding Revolving Credit Loans in Optional Currencies other than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Sterling with respect to all the Lenders exceeds the Optional Currency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Equivalent of $50,000,000 or (iii) the sum of the outstanding Revolving Credit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Loans in Optional Currencies including Sterling with respect to all the Lenders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exceeds the Optional Currency Equivalent of $250,000,000, in each case, by more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than 5%, the Borrower will promptly notify the Administrative Agent.</w:t>
      </w:r>
    </w:p>
    <w:p>
      <w:pPr>
        <w:spacing w:after="0" w:line="188" w:lineRule="exact"/>
        <w:rPr>
          <w:sz w:val="20"/>
          <w:szCs w:val="20"/>
          <w:color w:val="auto"/>
        </w:rPr>
      </w:pPr>
    </w:p>
    <w:p>
      <w:pPr>
        <w:ind w:left="2" w:right="2599" w:firstLine="1715"/>
        <w:spacing w:after="0" w:line="242" w:lineRule="auto"/>
        <w:tabs>
          <w:tab w:leader="none" w:pos="210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calculate the aggregate outstanding Revolving Credit (including any portion made in any Optional Currency) with respect to all of the Lenders from time to time, and in any event not less frequently than once during each calendar quarter. In making such calculations, the Administrative Agent will rely on the information most recently received by it from the Swing Line Lender in respect of outstanding Swing Line Loans and from the Issuing Lender in respect of outstanding L/C Obligations.</w:t>
      </w:r>
    </w:p>
    <w:p>
      <w:pPr>
        <w:spacing w:after="0" w:line="188" w:lineRule="exact"/>
        <w:rPr>
          <w:rFonts w:ascii="Courier New" w:cs="Courier New" w:eastAsia="Courier New" w:hAnsi="Courier New"/>
          <w:sz w:val="16"/>
          <w:szCs w:val="16"/>
          <w:color w:val="auto"/>
        </w:rPr>
      </w:pPr>
    </w:p>
    <w:p>
      <w:pPr>
        <w:ind w:left="2" w:right="2679" w:firstLine="1715"/>
        <w:spacing w:after="0" w:line="259" w:lineRule="auto"/>
        <w:tabs>
          <w:tab w:leader="none" w:pos="210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 any date the Administrative Agent calculates that (i) the aggregate outstanding Extensions of Credit (made in Dollars or any Optional Currency) with respect to all of the Lenders (including the Swing Line Lender) exceeds the aggregate Revolving Credit Commitments then in effect, (ii) the sum of the Dollar Equivalent of the then outstanding Revolving Credit Loans in Optional Currencies other than Sterling with respect to all the Lenders exceeds the Optional Currency Equivalent of $50,000,000 or</w:t>
      </w:r>
    </w:p>
    <w:p>
      <w:pPr>
        <w:ind w:left="2" w:right="2599" w:hanging="2"/>
        <w:spacing w:after="0" w:line="242" w:lineRule="auto"/>
        <w:tabs>
          <w:tab w:leader="none" w:pos="57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the outstanding Revolving Credit Loans in Optional Currencies including Sterling with respect to all the Lenders exceeds the Optional Currency Equivalent of $250,000,000, in each case, by more than 5%, the Administrative Agent will give notice to such effect to the Borrower and the Lenders. Within five Business Days of receipt of any such notice, the Borrower will, as soon as practicable but in any event within five Business Days of receipt of such notice, first, make such repayments or prepayments of Loans (together with interest accrued to the date of such repayment or prepayment), second, pay any Reimbursement Obligations then outstanding and, third, cash collateralize any outstanding L/C Obligations on terms reasonably satisfactory to the Administrative Agent as shall be necessary to cause (x) the aggregate outstanding Extensions of Credit (made in Dollars or any Optional Currency) with respect to all of the Lenders (including the Swing Line Lender) to no longer exceed the aggregate Revolving Credit Commitments then in effect, (y) the sum of the Dollar Equivalent of the then outstanding Revolving Credit Loans in Optional Currencies other than Sterling with respect to all the Lenders to no longer exceed the Optional Currency Equivalent of $50,000,000 and/or (z) the sum of the outstanding Revolving Credit Loans in Optional Currencies including Sterling with respect to all the Lenders to no longer exceed the Optional Currency Equivalent of $250,000,000. If any such repayment or</w:t>
      </w:r>
    </w:p>
    <w:p>
      <w:pPr>
        <w:sectPr>
          <w:pgSz w:w="11900" w:h="16838" w:orient="portrait"/>
          <w:cols w:equalWidth="0" w:num="1">
            <w:col w:w="10221"/>
          </w:cols>
          <w:pgMar w:left="238" w:top="298"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46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41</w:t>
      </w:r>
    </w:p>
    <w:p>
      <w:pPr>
        <w:spacing w:after="0" w:line="372"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prepayment of a LIBOR Loan pursuant to this subsection occurs on a day which is not the last day of the then current Interest Period with respect thereto, the Borrower shall pay to the Lenders such amounts, if any, as may be required pursuant to subsection 2.18.</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2.23 Lending Installations. Subject to subsection 2.1, each Lender may book its Loans at any Lending Installation selected by such Lender and may change its Lending Installation from time to time. All terms of this Agreement shall apply to any such Lending Installation and the Loans and Notes issued hereunder shall be deemed held by each Lender for the benefit of such Lending Installation. Each Lender may, by written notice to the Agent and the Borrower in accordance with subsection 10.2, designate replacement or additional Lending Installations through which Loans will be made by it and for whose account Loan payments are to be made.</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SECTION 3. LETTER OF CREDIT FACILITIES</w:t>
      </w:r>
    </w:p>
    <w:p>
      <w:pPr>
        <w:spacing w:after="0" w:line="18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3.1 L/C Commitment. (a) Subject to the terms and conditions hereof, the Issuing Lender, in reliance on the agreements of the other Lenders set forth in subsection 3.4(a), agrees to issue letters of credit ("Letters of Credit") for the account of the Borrower or any Subsidiary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 Commitment or (ii) the Aggregate Outstanding Extensions of Credit would exceed the Revolving Credit Commitments. Each Letter of Credit shall (i) be denominated in Dollars or any Optional Currency; provided (A) the sum of the Dollar Equivalent of the then outstanding Revolving Credit Loans in Optional Currencies other than Sterling and the then outstanding L/C Obligations in Optional Currencies other than Sterling would exceed the Optional Currency Equivalent of $50,000,000 and (B) the sum of the outstanding Revolving Credit Loans in Optional Currencies including Sterling and outstanding L/C Obligations in Optional Currencies including Sterling would exceed the Optional Currency Equivalent of $250,000,000, (ii) be either (x) a standby letter of credit (a "Standby L/C") issued to support obligations of the Borrower or any Subsidiary Borrower, contingent or otherwise, with an expiry date occurring not later than one year after such standby L/C was issued (which expiry date may be subject to one or more automatic extensions of one year or less unless 60-day notice, or such other notice as is satisfactory to the Borrower and the Issuing Lender, is given that any such extension shall not be effective) or (y) a documentary letter of credit in respect of the purchase of goods or services by the Borrower and its Subsidiaries in the ordinary course of business with an expiry date occurring not later than one year after such documentary letter of credit was issued and, in the case of any such documentary letter of credit which is to be accepted by the Issuing Lender pending payment at a date after presentation of sight drafts, with a payment date no more than one year after such drafts were presented for acceptance (a "Trade L/C") and (iii) expire no later than five days before the Termination Date.</w:t>
      </w:r>
    </w:p>
    <w:p>
      <w:pPr>
        <w:spacing w:after="0" w:line="204" w:lineRule="exact"/>
        <w:rPr>
          <w:sz w:val="20"/>
          <w:szCs w:val="20"/>
          <w:color w:val="auto"/>
        </w:rPr>
      </w:pPr>
    </w:p>
    <w:p>
      <w:pPr>
        <w:ind w:right="2679" w:firstLine="1715"/>
        <w:spacing w:after="0"/>
        <w:tabs>
          <w:tab w:leader="none" w:pos="209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Letter of Credit shall be subject to the Uniform Customs and, to the extent not inconsistent therewith, the laws of the State of New York.</w:t>
      </w:r>
    </w:p>
    <w:p>
      <w:pPr>
        <w:sectPr>
          <w:pgSz w:w="11900" w:h="16838" w:orient="portrait"/>
          <w:cols w:equalWidth="0" w:num="1">
            <w:col w:w="10219"/>
          </w:cols>
          <w:pgMar w:left="240" w:top="298"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47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42</w:t>
      </w:r>
    </w:p>
    <w:p>
      <w:pPr>
        <w:spacing w:after="0" w:line="372" w:lineRule="exact"/>
        <w:rPr>
          <w:sz w:val="20"/>
          <w:szCs w:val="20"/>
          <w:color w:val="auto"/>
        </w:rPr>
      </w:pPr>
    </w:p>
    <w:p>
      <w:pPr>
        <w:ind w:right="2679" w:firstLine="1715"/>
        <w:spacing w:after="0" w:line="241" w:lineRule="auto"/>
        <w:tabs>
          <w:tab w:leader="none" w:pos="209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Issuing Lender shall at no time be obligated to issue any Letter of Credit hereunder if such issuance would conflict with, or cause the Issuing Lender or any L/C Participant to exceed any limits imposed by, any applicable Requirement of Law.</w:t>
      </w:r>
    </w:p>
    <w:p>
      <w:pPr>
        <w:spacing w:after="0" w:line="189" w:lineRule="exact"/>
        <w:rPr>
          <w:rFonts w:ascii="Courier New" w:cs="Courier New" w:eastAsia="Courier New" w:hAnsi="Courier New"/>
          <w:sz w:val="16"/>
          <w:szCs w:val="16"/>
          <w:color w:val="auto"/>
        </w:rPr>
      </w:pPr>
    </w:p>
    <w:p>
      <w:pPr>
        <w:ind w:right="2599" w:firstLine="1715"/>
        <w:spacing w:after="0" w:line="265" w:lineRule="auto"/>
        <w:tabs>
          <w:tab w:leader="none" w:pos="209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each Letter of Credit outstanding under the Existing Credit Agreement on the date hereof shall be deemed to be issued and outstanding under this Agreement.</w:t>
      </w:r>
    </w:p>
    <w:p>
      <w:pPr>
        <w:spacing w:after="0" w:line="171"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3.2 Procedure for Issuance of Letters of Credit. The Borrower or any Subsidiary Borrower may from time to time request that the Issuing Lender issue a Letter of Credit by delivering to the Issuing Lender (with a copy to the Administrative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four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or any relevant Subsidiary Borrower. The Issuing Lender shall furnish a copy of such Letter of Credit to the Borrower, to the Administrative Agent and to any relevant Subsidiary Borrower promptly following the issuance thereof.</w:t>
      </w:r>
    </w:p>
    <w:p>
      <w:pPr>
        <w:spacing w:after="0" w:line="196"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3.3 Fees, Commissions and Other Charges. (a) The Borrower or the relevant Subsidiary Borrower shall pay to the Administrative Agent, for the ratable account of the Issuing Lender and the L/C Participants, a letter of credit commission in Dollars with respect to each Trade L/C issued by the Issuing Lender (i) in an amount equal to the Dollar Equivalent of 1/4 of 1% of the face amount of each such Letter of Credit which is payable upon presentation of sight drafts (plus such Issuance Fees as have been agreed upon by the Borrower and the Issuing Bank) and (ii) in an amount equal to the product of, on the date on which such commission is calculated, (A) the rate equal to the Applicable Margin in respect of LIBOR Rate Loans and (B) the Dollar Equivalent of the aggregate amount available to be drawn under each Letter of Credit in respect of which a draft is to be accepted by the Issuing Lender pending payment thereon at a later date (plus an additional 1/4 of 1% per annum which shall be payable for the account of the Issuing Lender). Such letter of credit commissions shall be payable in arrears on the last day of each March, June, September and December and shall be nonrefundable.</w:t>
      </w:r>
    </w:p>
    <w:p>
      <w:pPr>
        <w:spacing w:after="0" w:line="194" w:lineRule="exact"/>
        <w:rPr>
          <w:sz w:val="20"/>
          <w:szCs w:val="20"/>
          <w:color w:val="auto"/>
        </w:rPr>
      </w:pPr>
    </w:p>
    <w:p>
      <w:pPr>
        <w:ind w:right="2599" w:firstLine="1715"/>
        <w:spacing w:after="0" w:line="242" w:lineRule="auto"/>
        <w:tabs>
          <w:tab w:leader="none" w:pos="209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the relevant Subsidiary Borrower shall pay to the Administrative Agent, for the ratable account of the Issuing Lender and the L/C Participants, a letter of credit commission in Dollars with respect to each Standby L/C issued by the Issuing Lender, computed for the period from the date of such payment to the date upon which the next such payment is due hereunder in an amount equal to the product of (i) the rate equal to the Applicable Margin in respect of LIBOR Rate Loans in effect on the date on which such commission is calculated and (ii) the Dollar Equivalent of the aggregate amount available to be</w:t>
      </w:r>
    </w:p>
    <w:p>
      <w:pPr>
        <w:sectPr>
          <w:pgSz w:w="11900" w:h="16838" w:orient="portrait"/>
          <w:cols w:equalWidth="0" w:num="1">
            <w:col w:w="10219"/>
          </w:cols>
          <w:pgMar w:left="240" w:top="298"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48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43</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drawn under such Standby L/C on the date on which such commission is calculated. The Borrower or the relevant Subsidiary Borrower shall also pay to the Administrative Agent, for the account of the Issuing Lender, such Issuance Fees as have been agreed upon by the Borrower or the relevant Subsidiary Borrower and the Issuing Bank. Such letter of credit commissions shall be payable in arrears on the last day of each March, June, September and December and shall be nonrefundable.</w:t>
      </w:r>
    </w:p>
    <w:p>
      <w:pPr>
        <w:spacing w:after="0" w:line="188" w:lineRule="exact"/>
        <w:rPr>
          <w:sz w:val="20"/>
          <w:szCs w:val="20"/>
          <w:color w:val="auto"/>
        </w:rPr>
      </w:pPr>
    </w:p>
    <w:p>
      <w:pPr>
        <w:ind w:right="2679" w:firstLine="1715"/>
        <w:spacing w:after="0" w:line="241" w:lineRule="auto"/>
        <w:tabs>
          <w:tab w:leader="none" w:pos="209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fees and commissions, the Borrower or the relevant Subsidiary Borrower shall pay or reimburse the Issuing Lender for such normal and customary costs and expenses as are incurred or charged by the Issuing Lender in issuing, effecting payment under, amending or otherwise administering any Letter of Credit issued by it.</w:t>
      </w:r>
    </w:p>
    <w:p>
      <w:pPr>
        <w:spacing w:after="0" w:line="190" w:lineRule="exact"/>
        <w:rPr>
          <w:rFonts w:ascii="Courier New" w:cs="Courier New" w:eastAsia="Courier New" w:hAnsi="Courier New"/>
          <w:sz w:val="16"/>
          <w:szCs w:val="16"/>
          <w:color w:val="auto"/>
        </w:rPr>
      </w:pPr>
    </w:p>
    <w:p>
      <w:pPr>
        <w:ind w:right="2779" w:firstLine="1715"/>
        <w:spacing w:after="0" w:line="241" w:lineRule="auto"/>
        <w:tabs>
          <w:tab w:leader="none" w:pos="209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promptly following its receipt thereof, distribute to the Issuing Lender and the L/C Participants all fees and commissions received by the Administrative Agent for their respective accounts pursuant to this subsection 3.3.</w:t>
      </w:r>
    </w:p>
    <w:p>
      <w:pPr>
        <w:spacing w:after="0" w:line="189"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3.4 L/C Participation. (a) The Issuing Lender irrevocably agrees to grant and hereby grants to each L/C Participant, and, to induce the Issuing Lender to issue Letters of Credit hereunder, each L/C Participant irrevocably agrees to accept and purchase and hereby accepts and purchases from the Issuing Lender, on the terms and conditions hereinafter stated, for such L/C Participant's own account and risk an undivided interest equal to such L/C Participant's Commitment Percentage in the Issuing Lender's obligations and rights under each Letter of Credit issued hereunder and the amount of each draft paid by the Issuing Lender thereunder. Each L/C Participant unconditionally and irrevocably agrees with the Issuing Lender that, if a draft is paid under any Letter of Credit for which the Issuing Lender is not reimbursed in full by the Borrower or the relevant Subsidiary Borrower in accordance with the terms of this Agreement, such L/C Participant shall pay to the Issuing Lender upon demand at the Issuing Lender's address for notices specified herein an amount equal to such L/C Participant's Commitment Percentage of the amount of such draft, or any part thereof, which is not so reimbursed.</w:t>
      </w:r>
    </w:p>
    <w:p>
      <w:pPr>
        <w:spacing w:after="0" w:line="367" w:lineRule="exact"/>
        <w:rPr>
          <w:sz w:val="20"/>
          <w:szCs w:val="20"/>
          <w:color w:val="auto"/>
        </w:rPr>
      </w:pPr>
    </w:p>
    <w:p>
      <w:pPr>
        <w:ind w:right="2599" w:firstLine="1715"/>
        <w:spacing w:after="0" w:line="242" w:lineRule="auto"/>
        <w:tabs>
          <w:tab w:leader="none" w:pos="209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amount required to be paid by any L/C Participant to the Issuing Lender pursuant to subsection 3.4(a) in respect of any unreimbursed portion of any payment made by the Issuing Lender under any Letter of Credit is not paid to the Issuing Lender within three Business Days after the date such payment is due, such L/C Participant shall pay to the Issuing Lender on demand an amount equal to the product of (i) such amount, times (ii) the daily average Federal funds rate, as quoted by the Issuing Lender, during the period from and including the date such payment is required to the date on which such payment is immediately available to the Issuing Lender, times (iii) a fraction the numerator of which is the number of days that elapse during such period and the denominator of which is 360. If any such amount required to be paid by any L/C Participant pursuant to subsection 3.4(a) is not in fact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hereunder. A certificate of the Issuing Lender submitted to any L/C Participant with</w:t>
      </w:r>
    </w:p>
    <w:p>
      <w:pPr>
        <w:sectPr>
          <w:pgSz w:w="11900" w:h="16838" w:orient="portrait"/>
          <w:cols w:equalWidth="0" w:num="1">
            <w:col w:w="10219"/>
          </w:cols>
          <w:pgMar w:left="240" w:top="298"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49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44</w:t>
      </w:r>
    </w:p>
    <w:p>
      <w:pPr>
        <w:spacing w:after="0" w:line="372"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respect to any amounts owing under this subsection shall be conclusive in the absence of manifest error.</w:t>
      </w:r>
    </w:p>
    <w:p>
      <w:pPr>
        <w:spacing w:after="0" w:line="189" w:lineRule="exact"/>
        <w:rPr>
          <w:sz w:val="20"/>
          <w:szCs w:val="20"/>
          <w:color w:val="auto"/>
        </w:rPr>
      </w:pPr>
    </w:p>
    <w:p>
      <w:pPr>
        <w:ind w:right="2599" w:firstLine="1715"/>
        <w:spacing w:after="0" w:line="242" w:lineRule="auto"/>
        <w:tabs>
          <w:tab w:leader="none" w:pos="209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at any time after the Issuing Lender has made payment under any Letter of Credit and has received from any L/C Participant its pro rata share of such payment in accordance with subsection 3.4(a), the Issuing Lender receives any payment related to such Letter of Credit (whether directly from the Borrower, the relevant Subsidiary Borrower or otherwise), or any payment of interest on account thereof, the Issuing Lender will distribute to such L/C Participant its pro rata share thereof; provided, however,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191"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3.5 Reimbursement Obligation of the Borrower. The Borrower or the relevant Subsidiary Borrower agrees to reimburse the Issuing Lender on each date on which the Issuing Lender notifies the Borrower or the relevant Subsidiary Borrower of the date and amount of a draft presented under any Letter of Credit and paid by the Issuing Lender for the amount of (a) such draft so paid and (b) any taxes, fees, charges or other costs or expenses incurred by the Issuing Lender in connection with such payment; provided that upon the acceleration of such reimbursement obligations in accordance with Section 8, the Borrower or the relevant Subsidiary Borrower agrees to reimburse the Issuing Lender for the amount equal to the then maximum liability (whether direct or contingent) of the Issuing Lender and the L/C Participants under each Letter of Credit. Each such payment shall be made to the Issuing Lender, at its address for notices specified herein in the currency in which such Letter of Credit is denominated (except that, in the case of any Letter of Credit denominated in any Optional Currency, in the event that such payment is not made to the Issuing Lender within three Business Days of the date of receipt by the Borrower or any relevant Subsidiary Borrower of such notice, upon notice by the Issuing Lender to the Borrower or the relevant Subsidiary Borrower, such payment shall be made in Dollars, in an amount equal to the Dollar Equivalent of the amount of such payment converted on the date of such notice into Dollars at the spot rate of exchange on such date) and in immediately available funds, on the date on which the Borrower or any relevant Subsidiary Borrower (on behalf of itself or such Subsidiary Borrower, as the case may be) receives such notice, if received prior to 11:00 A.M., New York City time, on a Business Day and otherwise on the next succeeding Business Day. Any conversion by the Issuing Lender of any payment to be made by the Borrower or any Subsidiary Borrower in respect of any Letter of Credit denominated in any Optional Currency into Dollars in accordance with this subsection 3.5 shall be conclusive and binding upon such Borrower or such relevant Subsidiary Borrower and the Lenders in the absence of manifest error; provided that upon the request of any Lender, the Issuing Lender shall provide to such Lender a certificate including reasonably detailed information as to the calculation of such conversion.</w:t>
      </w:r>
    </w:p>
    <w:p>
      <w:pPr>
        <w:spacing w:after="0" w:line="200" w:lineRule="exact"/>
        <w:rPr>
          <w:sz w:val="20"/>
          <w:szCs w:val="20"/>
          <w:color w:val="auto"/>
        </w:rPr>
      </w:pPr>
    </w:p>
    <w:p>
      <w:pPr>
        <w:spacing w:after="0" w:line="351"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3.6 Obligations Absolute. The Borrower's and any relevant Subsidiary Borrower's obligations under this Section 3 shall be absolute and unconditional under any and all circumstances and irrespective of any set-off, counterclaim or defense to payment which the Borrower or any relevant Subsidiary Borrower may have or have had against the Issuing Lender</w:t>
      </w:r>
    </w:p>
    <w:p>
      <w:pPr>
        <w:sectPr>
          <w:pgSz w:w="11900" w:h="16838" w:orient="portrait"/>
          <w:cols w:equalWidth="0" w:num="1">
            <w:col w:w="10219"/>
          </w:cols>
          <w:pgMar w:left="240" w:top="298"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50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45</w:t>
      </w:r>
    </w:p>
    <w:p>
      <w:pPr>
        <w:spacing w:after="0" w:line="372"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or any beneficiary of a Letter of Credit. The Borrower also agrees with the Issuing Lender that the Issuing Lender shall not be responsible for, and the Borrower's or such relevant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any relevant Subsidiary Borrower and any beneficiary of any Letter of Credit or any other party to which such Letter of Credit may be transferred or any claims whatsoever of the Borrower or relevant Subsidiary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and any relevant Subsidiary Borrower agrees that any action taken or omitted by the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or any relevant Subsidiary Borrower and shall not result in any liability of the Issuing Lender to the Borrower or any relevant Subsidiary Borrower.</w:t>
      </w:r>
    </w:p>
    <w:p>
      <w:pPr>
        <w:spacing w:after="0" w:line="36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3.7 Increased Costs. If the adoption of or any change in any law or regulation or in the interpretation thereof by any court 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Administrative Agent) certifying that (x) one of the events hereinabove described has occurred and the nature of such event, (y) the increased cost or reduced amount resulting from such event and (z) the additional amounts demanded by the Issuing Lender or such Lender, as the case may be, and a reasonably detailed explanation of the calculation thereof, the Borrower shall immediately pay to such Issuing Lender or such Lender, as the case may be, from time to time as specified by the Administrative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 (ii) above, submitted by the Issuing Lender or such Lender to the Borrower, shall be conclusive, absent manifest error.</w:t>
      </w:r>
    </w:p>
    <w:p>
      <w:pPr>
        <w:spacing w:after="0" w:line="201"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3.8 Letter of Credit Payments. If any draft in Dollars or any Optional Currency shall be presented for payment under any Letter of Credit, the Issuing Lender shall promptly notify the Borrower and the Administrative Agent of the date and amount of the Dollars or the</w:t>
      </w:r>
    </w:p>
    <w:p>
      <w:pPr>
        <w:sectPr>
          <w:pgSz w:w="11900" w:h="16838" w:orient="portrait"/>
          <w:cols w:equalWidth="0" w:num="1">
            <w:col w:w="10219"/>
          </w:cols>
          <w:pgMar w:left="240" w:top="298" w:right="1440" w:bottom="1440" w:gutter="0" w:footer="0" w:header="0"/>
        </w:sectPr>
      </w:pPr>
    </w:p>
    <w:bookmarkStart w:id="74" w:name="page75"/>
    <w:bookmarkEnd w:id="74"/>
    <w:p>
      <w:pPr>
        <w:ind w:left="282"/>
        <w:spacing w:after="0"/>
        <w:rPr>
          <w:sz w:val="20"/>
          <w:szCs w:val="20"/>
          <w:color w:val="auto"/>
        </w:rPr>
      </w:pPr>
      <w:r>
        <w:rPr>
          <w:rFonts w:ascii="Courier New" w:cs="Courier New" w:eastAsia="Courier New" w:hAnsi="Courier New"/>
          <w:sz w:val="16"/>
          <w:szCs w:val="16"/>
          <w:color w:val="auto"/>
        </w:rPr>
        <w:t>51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46</w:t>
      </w:r>
    </w:p>
    <w:p>
      <w:pPr>
        <w:spacing w:after="0" w:line="372"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Optional Currency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spacing w:after="0" w:line="187" w:lineRule="exact"/>
        <w:rPr>
          <w:sz w:val="20"/>
          <w:szCs w:val="20"/>
          <w:color w:val="auto"/>
        </w:rPr>
      </w:pPr>
    </w:p>
    <w:p>
      <w:pPr>
        <w:ind w:left="2" w:right="2679" w:firstLine="1717"/>
        <w:spacing w:after="0"/>
        <w:rPr>
          <w:sz w:val="20"/>
          <w:szCs w:val="20"/>
          <w:color w:val="auto"/>
        </w:rPr>
      </w:pPr>
      <w:r>
        <w:rPr>
          <w:rFonts w:ascii="Courier New" w:cs="Courier New" w:eastAsia="Courier New" w:hAnsi="Courier New"/>
          <w:sz w:val="16"/>
          <w:szCs w:val="16"/>
          <w:color w:val="auto"/>
        </w:rPr>
        <w:t>3.9 Application. To the extent that any provision of any Application related to any Letter of Credit is inconsistent with the provisions of this Agreement, the provisions of this Agreement shall apply.</w:t>
      </w:r>
    </w:p>
    <w:p>
      <w:pPr>
        <w:spacing w:after="0" w:line="190" w:lineRule="exact"/>
        <w:rPr>
          <w:sz w:val="20"/>
          <w:szCs w:val="20"/>
          <w:color w:val="auto"/>
        </w:rPr>
      </w:pPr>
    </w:p>
    <w:p>
      <w:pPr>
        <w:ind w:left="2" w:right="2779" w:firstLine="1717"/>
        <w:spacing w:after="0"/>
        <w:rPr>
          <w:sz w:val="20"/>
          <w:szCs w:val="20"/>
          <w:color w:val="auto"/>
        </w:rPr>
      </w:pPr>
      <w:r>
        <w:rPr>
          <w:rFonts w:ascii="Courier New" w:cs="Courier New" w:eastAsia="Courier New" w:hAnsi="Courier New"/>
          <w:sz w:val="16"/>
          <w:szCs w:val="16"/>
          <w:color w:val="auto"/>
        </w:rPr>
        <w:t>3.10 Purpose of the Letters of Credit. The Letters of Credit shall be used for any lawful purposes requested by the Borrower or any Subsidiary Borrower.</w:t>
      </w:r>
    </w:p>
    <w:p>
      <w:pPr>
        <w:spacing w:after="0" w:line="187"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SECTION 4. REPRESENTATIONS AND WARRANTIES</w:t>
      </w:r>
    </w:p>
    <w:p>
      <w:pPr>
        <w:spacing w:after="0" w:line="188" w:lineRule="exact"/>
        <w:rPr>
          <w:sz w:val="20"/>
          <w:szCs w:val="20"/>
          <w:color w:val="auto"/>
        </w:rPr>
      </w:pPr>
    </w:p>
    <w:p>
      <w:pPr>
        <w:ind w:left="2" w:right="2599" w:firstLine="1717"/>
        <w:spacing w:after="0" w:line="241" w:lineRule="auto"/>
        <w:rPr>
          <w:sz w:val="20"/>
          <w:szCs w:val="20"/>
          <w:color w:val="auto"/>
        </w:rPr>
      </w:pPr>
      <w:r>
        <w:rPr>
          <w:rFonts w:ascii="Courier New" w:cs="Courier New" w:eastAsia="Courier New" w:hAnsi="Courier New"/>
          <w:sz w:val="16"/>
          <w:szCs w:val="16"/>
          <w:color w:val="auto"/>
        </w:rPr>
        <w:t>In order to induce the Lenders and the Administrative Agent to enter into this Agreement and to make the Loans and issue or participate in the Letters of Credit herein provided for, the Borrower hereby represents and warrants to the Administrative Agent and to each Lender that:</w:t>
      </w:r>
    </w:p>
    <w:p>
      <w:pPr>
        <w:spacing w:after="0" w:line="189" w:lineRule="exact"/>
        <w:rPr>
          <w:sz w:val="20"/>
          <w:szCs w:val="20"/>
          <w:color w:val="auto"/>
        </w:rPr>
      </w:pPr>
    </w:p>
    <w:p>
      <w:pPr>
        <w:ind w:left="2" w:right="2599" w:firstLine="1717"/>
        <w:spacing w:after="0" w:line="242" w:lineRule="auto"/>
        <w:rPr>
          <w:sz w:val="20"/>
          <w:szCs w:val="20"/>
          <w:color w:val="auto"/>
        </w:rPr>
      </w:pPr>
      <w:r>
        <w:rPr>
          <w:rFonts w:ascii="Courier New" w:cs="Courier New" w:eastAsia="Courier New" w:hAnsi="Courier New"/>
          <w:sz w:val="16"/>
          <w:szCs w:val="16"/>
          <w:color w:val="auto"/>
        </w:rPr>
        <w:t>4.1 Financial Condition. The consolidated balance sheet of the Borrower and its consolidated Subsidiaries as at September 30, 1997 and the related consolidated statements of income and of cash flows for the fiscal year ended on such date, reported on by Coopers &amp; Lybrand, L.L.P., copies of which have heretofore been delivered to each of the Lenders, are complete and correct and present fairly in all material respects the consolidated financial condition of the Borrower and its consolidated Subsidiaries as at such date, and the consolidated results of their operations and their consolidated cash flows for the fiscal year then ended. All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 or in Schedule</w:t>
      </w:r>
    </w:p>
    <w:p>
      <w:pPr>
        <w:spacing w:after="0" w:line="11" w:lineRule="exact"/>
        <w:rPr>
          <w:sz w:val="20"/>
          <w:szCs w:val="20"/>
          <w:color w:val="auto"/>
        </w:rPr>
      </w:pPr>
    </w:p>
    <w:p>
      <w:pPr>
        <w:ind w:left="2" w:right="2679"/>
        <w:spacing w:after="0" w:line="239" w:lineRule="auto"/>
        <w:rPr>
          <w:sz w:val="20"/>
          <w:szCs w:val="20"/>
          <w:color w:val="auto"/>
        </w:rPr>
      </w:pPr>
      <w:r>
        <w:rPr>
          <w:rFonts w:ascii="Courier New" w:cs="Courier New" w:eastAsia="Courier New" w:hAnsi="Courier New"/>
          <w:sz w:val="16"/>
          <w:szCs w:val="16"/>
          <w:color w:val="auto"/>
        </w:rPr>
        <w:t>4.1. Since September 30, 1997, there has been no development or event which has had or could reasonably be expected to have a Material Adverse Effect.</w:t>
      </w:r>
    </w:p>
    <w:p>
      <w:pPr>
        <w:spacing w:after="0" w:line="189" w:lineRule="exact"/>
        <w:rPr>
          <w:sz w:val="20"/>
          <w:szCs w:val="20"/>
          <w:color w:val="auto"/>
        </w:rPr>
      </w:pPr>
    </w:p>
    <w:p>
      <w:pPr>
        <w:ind w:left="2" w:right="2779" w:firstLine="1717"/>
        <w:spacing w:after="0" w:line="259" w:lineRule="auto"/>
        <w:rPr>
          <w:sz w:val="20"/>
          <w:szCs w:val="20"/>
          <w:color w:val="auto"/>
        </w:rPr>
      </w:pPr>
      <w:r>
        <w:rPr>
          <w:rFonts w:ascii="Courier New" w:cs="Courier New" w:eastAsia="Courier New" w:hAnsi="Courier New"/>
          <w:sz w:val="15"/>
          <w:szCs w:val="15"/>
          <w:color w:val="auto"/>
        </w:rPr>
        <w:t>4.2 Corporate Existence; Compliance with Law. Each of the Borrower and its Material Subsidiaries (a) is duly organized, validly existing and in good standing under the laws of the jurisdiction of its incorporation,</w:t>
      </w:r>
    </w:p>
    <w:p>
      <w:pPr>
        <w:ind w:left="2" w:right="2599" w:hanging="2"/>
        <w:spacing w:after="0" w:line="261" w:lineRule="auto"/>
        <w:tabs>
          <w:tab w:leader="none" w:pos="38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the corporate power and authority and the legal right to own and operate its property, to lease the property it leases and to conduct the business in which it is currently engaged, (c) is duly qualified as a foreign corporation and in good standing under the laws of any jurisdiction where its ownership, lease or operation of property or the conduct or proposed conduct of its business requires such qualification, except where the failure to so qualify would not, in any instance or in the aggregate, reasonably be expected to have a</w:t>
      </w:r>
    </w:p>
    <w:p>
      <w:pPr>
        <w:sectPr>
          <w:pgSz w:w="11900" w:h="16838" w:orient="portrait"/>
          <w:cols w:equalWidth="0" w:num="1">
            <w:col w:w="10221"/>
          </w:cols>
          <w:pgMar w:left="238" w:top="298"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52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47</w:t>
      </w:r>
    </w:p>
    <w:p>
      <w:pPr>
        <w:spacing w:after="0" w:line="37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Material Adverse Effect and (d) is in compliance with all material Requirements of Law applicable to it or its business.</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4.3 Corporate Power; Authorization; Enforceable Obligations. Each of the Borrower and its Subsidiaries has the corporate power and authority and the legal right to make, deliver and perform this Agreement and the other Loan Documents to which it is a party and to borrow hereunder (in the case of the Borrower and any Subsidiary Borrower) and has taken all corporate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6"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4.4 No Legal Bar. The execution, delivery and performance of this Agreement and the other Loan Documents, the borrowings hereunder and the use of the proceeds thereof do not violate any usury law applicable to the Borrower or any Subsidiary Borrower or any other Requirement of Law or Contractual Obligation of the Borrower or any of its Material Subsidiaries and do not result in, or require, the creation or imposition of any Lien on any of its or their respective properties or revenues pursuant to any such Requirement of Law or Contractual Obligation which could reasonably be expected to have a Material Adverse Effect.</w:t>
      </w:r>
    </w:p>
    <w:p>
      <w:pPr>
        <w:spacing w:after="0" w:line="189"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4.5 No Material Litigation. No litigation, investigation or proceeding of or before any arbitrator or Governmental Authority is pending or, to the best knowledge of the Borrower, threatened by or against the Borrower or any of its Subsidiaries or against any of its or their respective properties or revenues (a) with respect to this Agreement, any of the other Loan Documents or any of the transactions contemplated hereby or thereby except as set forth on Schedule 4.5 or (b) which could reasonably be expected to have a Material Adverse Effect.</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4.6 Federal Regulations. No part of the proceeds of any Loans will be used for (i) any purpose which violates, or which would be inconsistent with, the provisions of the Regulations of the Board of Governors of the Federal Reserve System as now and from time to time hereafter in effect, and if deemed necessary in the reasonable judgment of the Administrative Agent or its counsel, the Borrower will furnish to the Administrative Agent and each Lender a statement to the foregoing effect in conformity with the requirements of FR Form U-1 referred to in Regulation U of said Board or (ii) except as set forth on Schedule 4.6, purchasing any security in any transaction which is subject to Sections 13 and 14 of the Securities Exchange Act of 1934, as amended.</w:t>
      </w:r>
    </w:p>
    <w:p>
      <w:pPr>
        <w:sectPr>
          <w:pgSz w:w="11900" w:h="16838" w:orient="portrait"/>
          <w:cols w:equalWidth="0" w:num="1">
            <w:col w:w="10219"/>
          </w:cols>
          <w:pgMar w:left="240" w:top="298"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53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48</w:t>
      </w:r>
    </w:p>
    <w:p>
      <w:pPr>
        <w:spacing w:after="0" w:line="372" w:lineRule="exact"/>
        <w:rPr>
          <w:sz w:val="20"/>
          <w:szCs w:val="20"/>
          <w:color w:val="auto"/>
        </w:rPr>
      </w:pPr>
    </w:p>
    <w:p>
      <w:pPr>
        <w:ind w:right="2879" w:firstLine="1717"/>
        <w:spacing w:after="0" w:line="242" w:lineRule="auto"/>
        <w:rPr>
          <w:sz w:val="20"/>
          <w:szCs w:val="20"/>
          <w:color w:val="auto"/>
        </w:rPr>
      </w:pPr>
      <w:r>
        <w:rPr>
          <w:rFonts w:ascii="Courier New" w:cs="Courier New" w:eastAsia="Courier New" w:hAnsi="Courier New"/>
          <w:sz w:val="16"/>
          <w:szCs w:val="16"/>
          <w:color w:val="auto"/>
        </w:rPr>
        <w:t>4.7 Investment Company Act; Other Regulations. Neither the Borrower nor any of its Subsidiaries is an "investment company", or a company "controlled" by an "investment company", within the meaning of the Investment Company Act of 1940, as amended. Neither the Borrower nor any of its Subsidiaries is subject to regulation under any Federal or State statute or regulation which limits its ability to incur indebtedness.</w:t>
      </w:r>
    </w:p>
    <w:p>
      <w:pPr>
        <w:spacing w:after="0" w:line="187" w:lineRule="exact"/>
        <w:rPr>
          <w:sz w:val="20"/>
          <w:szCs w:val="20"/>
          <w:color w:val="auto"/>
        </w:rPr>
      </w:pPr>
    </w:p>
    <w:p>
      <w:pPr>
        <w:jc w:val="both"/>
        <w:ind w:right="3059" w:firstLine="1717"/>
        <w:spacing w:after="0"/>
        <w:rPr>
          <w:sz w:val="20"/>
          <w:szCs w:val="20"/>
          <w:color w:val="auto"/>
        </w:rPr>
      </w:pPr>
      <w:r>
        <w:rPr>
          <w:rFonts w:ascii="Courier New" w:cs="Courier New" w:eastAsia="Courier New" w:hAnsi="Courier New"/>
          <w:sz w:val="16"/>
          <w:szCs w:val="16"/>
          <w:color w:val="auto"/>
        </w:rPr>
        <w:t>4.8 Subsidiaries. The Subsidiaries listed on Schedule 4.8 constitute all of the Subsidiaries of the Borrower in existence on the date hereof.</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4.9 Disclosure. No representations or warranties made by, or information supplied by, the Borrower or any of its Subsidiaries in this Agreement, any other Loan Document or in any other document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would reasonably be expected to have, in the Borrower's or such Subsidiary's reasonable judgment, a Material Adverse Effect.</w:t>
      </w:r>
    </w:p>
    <w:p>
      <w:pPr>
        <w:spacing w:after="0" w:line="191" w:lineRule="exact"/>
        <w:rPr>
          <w:sz w:val="20"/>
          <w:szCs w:val="20"/>
          <w:color w:val="auto"/>
        </w:rPr>
      </w:pPr>
    </w:p>
    <w:p>
      <w:pPr>
        <w:jc w:val="both"/>
        <w:ind w:right="3259" w:firstLine="1717"/>
        <w:spacing w:after="0" w:line="271" w:lineRule="auto"/>
        <w:rPr>
          <w:sz w:val="20"/>
          <w:szCs w:val="20"/>
          <w:color w:val="auto"/>
        </w:rPr>
      </w:pPr>
      <w:r>
        <w:rPr>
          <w:rFonts w:ascii="Courier New" w:cs="Courier New" w:eastAsia="Courier New" w:hAnsi="Courier New"/>
          <w:sz w:val="15"/>
          <w:szCs w:val="15"/>
          <w:color w:val="auto"/>
        </w:rPr>
        <w:t>4.10 Schedules. Each of the Schedules to this Agreement contains true, complete and correct information in all material respects.</w:t>
      </w:r>
    </w:p>
    <w:p>
      <w:pPr>
        <w:spacing w:after="0" w:line="16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4.11 ERISA. No "prohibited transaction" or "accumulated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deficiency" (each as defined in Section 8 hereof) or Reportable Event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occurred and has not been cured since July 1, 1974 with respect to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Single Employer Plan. The present value of all benefits vested under all Single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 Plans maintained by the Borrower or a Commonly Controlled Entity (based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those assumptions used to fund such Plans) did not, as of the last annual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date, which in the case of any one such Plan was not earlier than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1991, exceed the value of the assets of such Plan allocable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vested benefits. The liability to which the Borrower or any Commonly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Controlled Entity would become subject under ERISA if the Borrower or any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Commonly Controlled Entity were to withdraw completely from all Plans as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date most closely preceding the date hereof is not in excess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 The Borrower does not currently participate in any Multi-employer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Plans.</w:t>
      </w:r>
    </w:p>
    <w:p>
      <w:pPr>
        <w:spacing w:after="0" w:line="18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4.12 No Default. Neither the Borrower nor any of its Subsidiaries is in default under or with respect to any of its Contractual Obligations in any respect which would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would reasonably be expected to have a Material Adverse Effect.</w:t>
      </w:r>
    </w:p>
    <w:p>
      <w:pPr>
        <w:spacing w:after="0" w:line="189" w:lineRule="exact"/>
        <w:rPr>
          <w:sz w:val="20"/>
          <w:szCs w:val="20"/>
          <w:color w:val="auto"/>
        </w:rPr>
      </w:pPr>
    </w:p>
    <w:p>
      <w:pPr>
        <w:ind w:right="2599" w:firstLine="1717"/>
        <w:spacing w:after="0"/>
        <w:rPr>
          <w:sz w:val="20"/>
          <w:szCs w:val="20"/>
          <w:color w:val="auto"/>
        </w:rPr>
      </w:pPr>
      <w:r>
        <w:rPr>
          <w:rFonts w:ascii="Courier New" w:cs="Courier New" w:eastAsia="Courier New" w:hAnsi="Courier New"/>
          <w:sz w:val="16"/>
          <w:szCs w:val="16"/>
          <w:color w:val="auto"/>
        </w:rPr>
        <w:t>4.13 Title to Real Property, Etc. Each of the Borrower and its Subsidiaries has good and marketable title in fee simple to, or a valid and subsisting leasehold interest in, all its</w:t>
      </w:r>
    </w:p>
    <w:p>
      <w:pPr>
        <w:sectPr>
          <w:pgSz w:w="11900" w:h="16838" w:orient="portrait"/>
          <w:cols w:equalWidth="0" w:num="1">
            <w:col w:w="10219"/>
          </w:cols>
          <w:pgMar w:left="240" w:top="298"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54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49</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real property and good title to all its other property, except where the failure to have such good and marketable title would not reasonably be expected to have a Material Adverse Effect, and none of such property is subject to any Lien, except (a) as permitted by subsection 7.1 of this Agreement and (b) Liens granted to the Administrative Agent and the Lenders pursuant to the Existing Credit Agreement.</w:t>
      </w:r>
    </w:p>
    <w:p>
      <w:pPr>
        <w:spacing w:after="0" w:line="187"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4.14 Taxes. Each of the Borrower and its Subsidiaries has filed or caused to be filed all tax returns which, to the knowledge of the Borrower,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would not reasonably be expected to have a Material Adverse Effect; no tax Lien has been filed, and, to the knowledge of the Borrower, no claim is being asserted, with respect to any such tax, fee or other charge.</w:t>
      </w:r>
    </w:p>
    <w:p>
      <w:pPr>
        <w:spacing w:after="0" w:line="192"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4.15 Environmental Matters. To the best knowledge of the Borrower, each of the representations and warranties set forth in paragraphs (a) through (f) of this subsection is true and correct with respect to each parcel of real property owned or operated by the Borrower or any of its Subsidiaries (the "Properties"), except to the extent that the facts and circumstances giving rise to all such failures to be so true and correct would not reasonably be expected by the Borrower to result in the payment of a Material Environmental Amount:</w:t>
      </w:r>
    </w:p>
    <w:p>
      <w:pPr>
        <w:spacing w:after="0" w:line="189" w:lineRule="exact"/>
        <w:rPr>
          <w:sz w:val="20"/>
          <w:szCs w:val="20"/>
          <w:color w:val="auto"/>
        </w:rPr>
      </w:pPr>
    </w:p>
    <w:p>
      <w:pPr>
        <w:ind w:left="860" w:right="2779" w:firstLine="855"/>
        <w:spacing w:after="0" w:line="259" w:lineRule="auto"/>
        <w:tabs>
          <w:tab w:leader="none" w:pos="210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Properties do not contain, and have not previously contained, any Materials of Environmental Concern in amounts or concentrations which (i) constitute or constituted a violation of, or</w:t>
      </w:r>
    </w:p>
    <w:p>
      <w:pPr>
        <w:ind w:left="860" w:right="2679" w:hanging="4"/>
        <w:spacing w:after="0" w:line="241" w:lineRule="auto"/>
        <w:tabs>
          <w:tab w:leader="none" w:pos="133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could reasonably give rise to liability under, Environmental Laws except in either case insofar as such violation or liability, or any aggregation thereof, is not reasonably likely to result in the payment of a Material Environmental Amount.</w:t>
      </w:r>
    </w:p>
    <w:p>
      <w:pPr>
        <w:spacing w:after="0" w:line="189" w:lineRule="exact"/>
        <w:rPr>
          <w:rFonts w:ascii="Courier New" w:cs="Courier New" w:eastAsia="Courier New" w:hAnsi="Courier New"/>
          <w:sz w:val="16"/>
          <w:szCs w:val="16"/>
          <w:color w:val="auto"/>
        </w:rPr>
      </w:pPr>
    </w:p>
    <w:p>
      <w:pPr>
        <w:ind w:left="860" w:right="2679" w:firstLine="855"/>
        <w:spacing w:after="0" w:line="260" w:lineRule="auto"/>
        <w:tabs>
          <w:tab w:leader="none" w:pos="21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Properties and all operations have been in compliance in all material respects with all applicable Environmental Laws, and there is no contamination at, under or about the Properties, or violation of any Environmental Law which, in the aggregate with all other contaminations and violations, would materially interfere with the continued operation of the Properties or the business of the Borrower and its Subsidiaries, in each case taken as a whole or materially impair the fair saleable value thereof.</w:t>
      </w:r>
    </w:p>
    <w:p>
      <w:pPr>
        <w:spacing w:after="0" w:line="178" w:lineRule="exact"/>
        <w:rPr>
          <w:rFonts w:ascii="Courier New" w:cs="Courier New" w:eastAsia="Courier New" w:hAnsi="Courier New"/>
          <w:sz w:val="15"/>
          <w:szCs w:val="15"/>
          <w:color w:val="auto"/>
        </w:rPr>
      </w:pPr>
    </w:p>
    <w:p>
      <w:pPr>
        <w:ind w:left="860" w:right="2779" w:firstLine="855"/>
        <w:spacing w:after="0" w:line="260" w:lineRule="auto"/>
        <w:tabs>
          <w:tab w:leader="none" w:pos="21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of its Subsidiaries has received any notice of violation, alleged violation, non-compliance, liability or potential liability regarding environmental matters or compliance with Environmental Laws with regard to any of the Properties, nor does the Borrower have knowledge or reason to believe that any such notice will be received or is being threatened except insofar as such notice or threatened notice, or any aggregation thereof, does not involve a matter or matters that is or are</w:t>
      </w:r>
    </w:p>
    <w:p>
      <w:pPr>
        <w:sectPr>
          <w:pgSz w:w="11900" w:h="16838" w:orient="portrait"/>
          <w:cols w:equalWidth="0" w:num="1">
            <w:col w:w="10219"/>
          </w:cols>
          <w:pgMar w:left="240"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55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50</w:t>
      </w:r>
    </w:p>
    <w:p>
      <w:pPr>
        <w:spacing w:after="0" w:line="372" w:lineRule="exact"/>
        <w:rPr>
          <w:sz w:val="20"/>
          <w:szCs w:val="20"/>
          <w:color w:val="auto"/>
        </w:rPr>
      </w:pPr>
    </w:p>
    <w:p>
      <w:pPr>
        <w:ind w:left="860" w:right="2679"/>
        <w:spacing w:after="0" w:line="239" w:lineRule="auto"/>
        <w:rPr>
          <w:sz w:val="20"/>
          <w:szCs w:val="20"/>
          <w:color w:val="auto"/>
        </w:rPr>
      </w:pPr>
      <w:r>
        <w:rPr>
          <w:rFonts w:ascii="Courier New" w:cs="Courier New" w:eastAsia="Courier New" w:hAnsi="Courier New"/>
          <w:sz w:val="16"/>
          <w:szCs w:val="16"/>
          <w:color w:val="auto"/>
        </w:rPr>
        <w:t>reasonably likely to result in the payment of a Material Environmental Amount.</w:t>
      </w:r>
    </w:p>
    <w:p>
      <w:pPr>
        <w:spacing w:after="0" w:line="189" w:lineRule="exact"/>
        <w:rPr>
          <w:sz w:val="20"/>
          <w:szCs w:val="20"/>
          <w:color w:val="auto"/>
        </w:rPr>
      </w:pPr>
    </w:p>
    <w:p>
      <w:pPr>
        <w:ind w:left="860" w:right="2599" w:firstLine="855"/>
        <w:spacing w:after="0" w:line="242" w:lineRule="auto"/>
        <w:tabs>
          <w:tab w:leader="none" w:pos="21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Materials of Environmental Concern have not been transported or disposed of from the Properties in violation of, or in a manner or to a location which would reasonably give rise to liability under, Environmental Laws, nor have any Materials of Environmental Concern been generated, treated, stored or disposed of at, on or under any of the Properties in violation of, or in a manner that would reasonably give rise to liability under, any applicable Environmental Laws except insofar as any such violation or liability referred to above, or any aggregation thereof, is not reasonably likely to result in the payment of a Material Environmental Amount.</w:t>
      </w:r>
    </w:p>
    <w:p>
      <w:pPr>
        <w:spacing w:after="0" w:line="189" w:lineRule="exact"/>
        <w:rPr>
          <w:rFonts w:ascii="Courier New" w:cs="Courier New" w:eastAsia="Courier New" w:hAnsi="Courier New"/>
          <w:sz w:val="16"/>
          <w:szCs w:val="16"/>
          <w:color w:val="auto"/>
        </w:rPr>
      </w:pPr>
    </w:p>
    <w:p>
      <w:pPr>
        <w:ind w:left="860" w:right="2599" w:firstLine="855"/>
        <w:spacing w:after="0" w:line="260" w:lineRule="auto"/>
        <w:tabs>
          <w:tab w:leader="none" w:pos="21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judicial proceedings or governmental or administrative action is pending, or, to the knowledge of the Borrower, threatened, under any Environmental Law to which the Borrower or any of its Subsidiaries is or will be named as a party with respect to the Properties, nor are there any consent decrees or other decrees, consent orders, administrative orders or other orders, or other administrative or judicial requirements outstanding under any Environmental Law with respect to the Properties or the Borrower or any of its Subsidiaries except insofar as such proceeding, action, decree, order or other requirement, or any aggregation thereof, is not reasonably likely to result in the payment of a Material Environmental Amount.</w:t>
      </w:r>
    </w:p>
    <w:p>
      <w:pPr>
        <w:spacing w:after="0" w:line="176" w:lineRule="exact"/>
        <w:rPr>
          <w:rFonts w:ascii="Courier New" w:cs="Courier New" w:eastAsia="Courier New" w:hAnsi="Courier New"/>
          <w:sz w:val="15"/>
          <w:szCs w:val="15"/>
          <w:color w:val="auto"/>
        </w:rPr>
      </w:pPr>
    </w:p>
    <w:p>
      <w:pPr>
        <w:ind w:left="860" w:right="2599" w:firstLine="855"/>
        <w:spacing w:after="0" w:line="242" w:lineRule="auto"/>
        <w:tabs>
          <w:tab w:leader="none" w:pos="21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release or threat of release of Materials of Environmental Concern at or from the Properties, or arising from or related to the operations of the Borrower or any of its Subsidiaries in connection with the Properties or otherwise in connection with the Borrower or any of its Subsidiaries, in violation of or in amounts or in a manner that would reasonably give rise to liability under Environmental Laws except insofar as any such violation or liability referred to above, or any aggregation thereof, is not reasonably likely to result in the payment of a Material Environmental Amount.</w:t>
      </w:r>
    </w:p>
    <w:p>
      <w:pPr>
        <w:spacing w:after="0" w:line="190" w:lineRule="exact"/>
        <w:rPr>
          <w:sz w:val="20"/>
          <w:szCs w:val="20"/>
          <w:color w:val="auto"/>
        </w:rPr>
      </w:pPr>
    </w:p>
    <w:p>
      <w:pPr>
        <w:ind w:right="2679" w:firstLine="1717"/>
        <w:spacing w:after="0" w:line="259" w:lineRule="auto"/>
        <w:rPr>
          <w:sz w:val="20"/>
          <w:szCs w:val="20"/>
          <w:color w:val="auto"/>
        </w:rPr>
      </w:pPr>
      <w:r>
        <w:rPr>
          <w:rFonts w:ascii="Courier New" w:cs="Courier New" w:eastAsia="Courier New" w:hAnsi="Courier New"/>
          <w:sz w:val="15"/>
          <w:szCs w:val="15"/>
          <w:color w:val="auto"/>
        </w:rPr>
        <w:t>4.16 Intellectual Property. The Borrower and each of its Subsidiaries owns, or is licensed to use, all trademarks, tradenames, copyrights, technology, know-how and processes necessary for the conduct of its business as currently conducted except for those the failure of which to own or license would not reasonably be expected to have a Material Adverse Effect (the "Intellectual Property"). No claim has been asserted and is pending by any Person challenging or questioning the use of any such Intellectual Property or the validity or effectiveness of any such Intellectual Property, and the Borrower does not know of any valid basis for any such claim, except for such claims which have previously been disclosed to the Lenders and would not reasonably be expected to have a Material Adverse Effect. The use of such Intellectual Property by the Borrower and its Subsidiaries does not infringe on the rights of any Person, except for such claims and infringements that, in the aggregate, would not reasonably be expected to have a Material Adverse Effect.</w:t>
      </w:r>
    </w:p>
    <w:p>
      <w:pPr>
        <w:spacing w:after="0" w:line="365"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SECTION 5. CONDITIONS PRECEDENT</w:t>
      </w:r>
    </w:p>
    <w:p>
      <w:pPr>
        <w:sectPr>
          <w:pgSz w:w="11900" w:h="16838" w:orient="portrait"/>
          <w:cols w:equalWidth="0" w:num="1">
            <w:col w:w="10219"/>
          </w:cols>
          <w:pgMar w:left="240" w:top="298"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56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51</w:t>
      </w:r>
    </w:p>
    <w:p>
      <w:pPr>
        <w:spacing w:after="0" w:line="372" w:lineRule="exact"/>
        <w:rPr>
          <w:sz w:val="20"/>
          <w:szCs w:val="20"/>
          <w:color w:val="auto"/>
        </w:rPr>
      </w:pPr>
    </w:p>
    <w:p>
      <w:pPr>
        <w:ind w:right="2599" w:firstLine="1717"/>
        <w:spacing w:after="0" w:line="261" w:lineRule="auto"/>
        <w:rPr>
          <w:sz w:val="20"/>
          <w:szCs w:val="20"/>
          <w:color w:val="auto"/>
        </w:rPr>
      </w:pPr>
      <w:r>
        <w:rPr>
          <w:rFonts w:ascii="Courier New" w:cs="Courier New" w:eastAsia="Courier New" w:hAnsi="Courier New"/>
          <w:sz w:val="15"/>
          <w:szCs w:val="15"/>
          <w:color w:val="auto"/>
        </w:rPr>
        <w:t>5.1 Conditions to Effectiveness of this Agreement. This Agreement shall become effective on the date upon which the conditions set forth in this Section 5 shall have been satisfied (the "Effective Date") and the obligation of each Lender to make its initial Loan and of the Issuing Lender to issue any Letter of Credit requested to be issued by it hereunder is subject to the satisfaction or waiver by the Administrative Agent and each of the Lenders of the following conditions precedent on or prior to the Effective Date:</w:t>
      </w:r>
    </w:p>
    <w:p>
      <w:pPr>
        <w:spacing w:after="0" w:line="174" w:lineRule="exact"/>
        <w:rPr>
          <w:sz w:val="20"/>
          <w:szCs w:val="20"/>
          <w:color w:val="auto"/>
        </w:rPr>
      </w:pPr>
    </w:p>
    <w:p>
      <w:pPr>
        <w:ind w:left="860" w:right="2599" w:firstLine="855"/>
        <w:spacing w:after="0" w:line="241" w:lineRule="auto"/>
        <w:tabs>
          <w:tab w:leader="none" w:pos="21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Agreement. The Administrative Agent shall have received this Agreement, executed and delivered by a duly authorized officer of the Borrower and each of the Subsidiary Borrowers party to this Agreement as of the Effective Date, with a counterpart for each Lender.</w:t>
      </w:r>
    </w:p>
    <w:p>
      <w:pPr>
        <w:spacing w:after="0" w:line="190" w:lineRule="exact"/>
        <w:rPr>
          <w:rFonts w:ascii="Courier New" w:cs="Courier New" w:eastAsia="Courier New" w:hAnsi="Courier New"/>
          <w:sz w:val="16"/>
          <w:szCs w:val="16"/>
          <w:color w:val="auto"/>
        </w:rPr>
      </w:pPr>
    </w:p>
    <w:p>
      <w:pPr>
        <w:ind w:left="860" w:right="2779" w:firstLine="855"/>
        <w:spacing w:after="0"/>
        <w:tabs>
          <w:tab w:leader="none" w:pos="21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Guarantee. The Administrative Agent shall have received the Subsidiaries Guarantee, duly executed and delivered by a duly authorized officer of each Subsidiary Guarantor.</w:t>
      </w:r>
    </w:p>
    <w:p>
      <w:pPr>
        <w:spacing w:after="0" w:line="189" w:lineRule="exact"/>
        <w:rPr>
          <w:rFonts w:ascii="Courier New" w:cs="Courier New" w:eastAsia="Courier New" w:hAnsi="Courier New"/>
          <w:sz w:val="16"/>
          <w:szCs w:val="16"/>
          <w:color w:val="auto"/>
        </w:rPr>
      </w:pPr>
    </w:p>
    <w:p>
      <w:pPr>
        <w:ind w:left="860" w:right="2879" w:firstLine="855"/>
        <w:spacing w:after="0"/>
        <w:tabs>
          <w:tab w:leader="none" w:pos="21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Guarantee. The Administrative Agent shall have received the Scotts Guarantee, duly executed and delivered by a duly authorized officer of The Scotts Company.</w:t>
      </w:r>
    </w:p>
    <w:p>
      <w:pPr>
        <w:spacing w:after="0" w:line="189"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 of Counsel to the Borrower and the Subsidiary Borrowers. The Administrative Agent and each Lender shall have received an executed legal opinion of Vorys, Sater, Seymour and Pease LLP, special counsel to the Borrower, dated the Effective Date and addressed to the Administrative Agent and the Lenders substantially in the form of Exhibit L. The Administrative Agent and each Lender shall have received an executed legal opinion of Vorys, Sater, Seymour and Pease LLP, or such other counsel reasonably satisfactory to the Administrative Agent, as counsel to each domestic Subsidiary Borrower, dated the Effective Date and addressed to the Administrative Agent and the Lenders. The Administrative Agent and each Lender shall have received an executed legal opinion of such counsel reasonably satisfactory to the Administrative Agent, as counsel to each Foreign Subsidiary Borrower, dated the Effective Date and addressed to the Administrative Agent and the Lenders substantially in the form required by subsection 5.3. Such legal opinions shall cover such other matters incident to the transactions contemplated by this Agreement as the Lenders may reasonably require in form and substance satisfactory to the Administrative Agent.</w:t>
      </w:r>
    </w:p>
    <w:p>
      <w:pPr>
        <w:spacing w:after="0" w:line="195"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Proceedings of the Borrower and its Subsidiaries. The Administrative Agent shall have received a copy of the resolutions (in form and substance reasonably satisfactory to the Administrative Agent and its counsel) of the Board of Directors of each of the Borrower and each of its Subsidiaries executing any Loan Document authorizing on or within 30 days prior to the Effective Date</w:t>
      </w:r>
    </w:p>
    <w:p>
      <w:pPr>
        <w:spacing w:after="0" w:line="3" w:lineRule="exact"/>
        <w:rPr>
          <w:rFonts w:ascii="Courier New" w:cs="Courier New" w:eastAsia="Courier New" w:hAnsi="Courier New"/>
          <w:sz w:val="16"/>
          <w:szCs w:val="16"/>
          <w:color w:val="auto"/>
        </w:rPr>
      </w:pPr>
    </w:p>
    <w:p>
      <w:pPr>
        <w:ind w:left="860" w:right="2679" w:hanging="4"/>
        <w:spacing w:after="0" w:line="242" w:lineRule="auto"/>
        <w:tabs>
          <w:tab w:leader="none" w:pos="124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each of the Loan Documents to which it is a party, (ii) the consummation of the transactions contemplated hereby and thereby and (iii) the borrowings herein provided for, all certified by the Secretary or the Assistant Secretary of the Borrower or such Subsidiary, as the case may be. Each such certificate shall (A) state</w:t>
      </w:r>
    </w:p>
    <w:p>
      <w:pPr>
        <w:sectPr>
          <w:pgSz w:w="11900" w:h="16838" w:orient="portrait"/>
          <w:cols w:equalWidth="0" w:num="1">
            <w:col w:w="10219"/>
          </w:cols>
          <w:pgMar w:left="240" w:top="298"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52</w:t>
      </w:r>
    </w:p>
    <w:p>
      <w:pPr>
        <w:spacing w:after="0" w:line="372"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pacing w:after="0" w:line="187" w:lineRule="exact"/>
        <w:rPr>
          <w:sz w:val="20"/>
          <w:szCs w:val="20"/>
          <w:color w:val="auto"/>
        </w:rPr>
      </w:pPr>
    </w:p>
    <w:p>
      <w:pPr>
        <w:ind w:left="580" w:right="2599" w:firstLine="855"/>
        <w:spacing w:after="0" w:line="242" w:lineRule="auto"/>
        <w:tabs>
          <w:tab w:leader="none" w:pos="18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5.1(f) or (ii) which, in any case, in the reasonable judgment of the Administrative Agent, could reasonably be expected to have a Material Adverse Effect.</w:t>
      </w:r>
    </w:p>
    <w:p>
      <w:pPr>
        <w:spacing w:after="0" w:line="189" w:lineRule="exact"/>
        <w:rPr>
          <w:rFonts w:ascii="Courier New" w:cs="Courier New" w:eastAsia="Courier New" w:hAnsi="Courier New"/>
          <w:sz w:val="16"/>
          <w:szCs w:val="16"/>
          <w:color w:val="auto"/>
        </w:rPr>
      </w:pPr>
    </w:p>
    <w:p>
      <w:pPr>
        <w:ind w:left="580" w:right="2599" w:firstLine="855"/>
        <w:spacing w:after="0" w:line="242" w:lineRule="auto"/>
        <w:tabs>
          <w:tab w:leader="none" w:pos="18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Licenses, Approvals, etc. The Administrative Agent shall have received true copies (certified to be such by the Borrower or other appropriate party) of all consents, licenses and approvals required in accordance with applicable law in connection with the execution, delivery, performance, validity and enforceability of this Agreement and the other Loan Documents to be delivered on or before the Effective Date, and the Borrower and its Material 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by any competent authority which would restrain, prevent or otherwise impose adverse conditions on this Agreement and the actions contemplated hereby.</w:t>
      </w:r>
    </w:p>
    <w:p>
      <w:pPr>
        <w:spacing w:after="0" w:line="192" w:lineRule="exact"/>
        <w:rPr>
          <w:rFonts w:ascii="Courier New" w:cs="Courier New" w:eastAsia="Courier New" w:hAnsi="Courier New"/>
          <w:sz w:val="16"/>
          <w:szCs w:val="16"/>
          <w:color w:val="auto"/>
        </w:rPr>
      </w:pPr>
    </w:p>
    <w:p>
      <w:pPr>
        <w:ind w:left="580" w:right="2599" w:firstLine="855"/>
        <w:spacing w:after="0" w:line="242" w:lineRule="auto"/>
        <w:tabs>
          <w:tab w:leader="none" w:pos="18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made by the Borrower and its Subsidiaries in or pursuant to this Agreement or any other Loan Document to which it is a party and the representations of the Borrower and its Subsidiaries which are contained in any certificate, document or financial or other statement furnished pursuant hereto or thereto on or before the Effective Date shall be true and correct in all material respects on and as of the Effective Date as if made on and as of such date both before and after giving effect to the making of the Loans hereunder.</w:t>
      </w:r>
    </w:p>
    <w:p>
      <w:pPr>
        <w:spacing w:after="0" w:line="189" w:lineRule="exact"/>
        <w:rPr>
          <w:rFonts w:ascii="Courier New" w:cs="Courier New" w:eastAsia="Courier New" w:hAnsi="Courier New"/>
          <w:sz w:val="16"/>
          <w:szCs w:val="16"/>
          <w:color w:val="auto"/>
        </w:rPr>
      </w:pPr>
    </w:p>
    <w:p>
      <w:pPr>
        <w:ind w:left="580" w:right="2879" w:firstLine="855"/>
        <w:spacing w:after="0"/>
        <w:tabs>
          <w:tab w:leader="none" w:pos="18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hereunder after giving effect to the making of any Extension of Credit hereunder.</w:t>
      </w:r>
    </w:p>
    <w:p>
      <w:pPr>
        <w:spacing w:after="0" w:line="189" w:lineRule="exact"/>
        <w:rPr>
          <w:rFonts w:ascii="Courier New" w:cs="Courier New" w:eastAsia="Courier New" w:hAnsi="Courier New"/>
          <w:sz w:val="16"/>
          <w:szCs w:val="16"/>
          <w:color w:val="auto"/>
        </w:rPr>
      </w:pPr>
    </w:p>
    <w:p>
      <w:pPr>
        <w:ind w:left="580" w:right="2599" w:firstLine="855"/>
        <w:spacing w:after="0" w:line="241" w:lineRule="auto"/>
        <w:tabs>
          <w:tab w:leader="none" w:pos="18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Certificate. The Administrative Agent shall have received, with a counterpart for each Lender, a Borrowing Certificate, dated the Effective Date, substantially in the form of Exhibit M hereto, with appropriate insertions, executed by a duly authorized Responsible Officer of the Borrower.</w:t>
      </w:r>
    </w:p>
    <w:p>
      <w:pPr>
        <w:sectPr>
          <w:pgSz w:w="11900" w:h="16838" w:orient="portrait"/>
          <w:cols w:equalWidth="0" w:num="1">
            <w:col w:w="9939"/>
          </w:cols>
          <w:pgMar w:left="52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58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53</w:t>
      </w:r>
    </w:p>
    <w:p>
      <w:pPr>
        <w:spacing w:after="0" w:line="372" w:lineRule="exact"/>
        <w:rPr>
          <w:sz w:val="20"/>
          <w:szCs w:val="20"/>
          <w:color w:val="auto"/>
        </w:rPr>
      </w:pPr>
    </w:p>
    <w:p>
      <w:pPr>
        <w:ind w:left="860" w:right="2779" w:firstLine="855"/>
        <w:spacing w:after="0" w:line="242" w:lineRule="auto"/>
        <w:tabs>
          <w:tab w:leader="none" w:pos="21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Interest Accrued on Existing Notes. The Administrative Agent shall have received for its account or on behalf of the Lenders or the Existing Lenders, as the case may be, all fees and any other amounts payable on the Effective Date pursuant to the Engagement Letter, this Agreement or the Existing Credit Agreement, including, but not limited to, the interest accrued but unpaid on the loans under the Existing Credit Agreement to (but not including) the Effective Date and amounts payable pursuant to subsection 2.18 of the Existing Credit Agreement.</w:t>
      </w:r>
    </w:p>
    <w:p>
      <w:pPr>
        <w:spacing w:after="0" w:line="189"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Administrative Agent and its counsel.</w:t>
      </w:r>
    </w:p>
    <w:p>
      <w:pPr>
        <w:spacing w:after="0" w:line="188" w:lineRule="exact"/>
        <w:rPr>
          <w:rFonts w:ascii="Courier New" w:cs="Courier New" w:eastAsia="Courier New" w:hAnsi="Courier New"/>
          <w:sz w:val="16"/>
          <w:szCs w:val="16"/>
          <w:color w:val="auto"/>
        </w:rPr>
      </w:pPr>
    </w:p>
    <w:p>
      <w:pPr>
        <w:ind w:left="860" w:right="2679" w:firstLine="855"/>
        <w:spacing w:after="0" w:line="242" w:lineRule="auto"/>
        <w:tabs>
          <w:tab w:leader="none" w:pos="21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Information. The Administrative Agent shall have received such additional information which the Administrative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5.2 Conditions to All Extensions of Credit. The obligation of each Lender to make any Loan (other than any Loan the proceeds of which are to be used exclusively to repay Refunded Swing Line Loans) or of the Issuing Lender to issue, increase or extend any Letter of Credit requested to be issued, increased or extended by it hereunder on any date (including, without limitation, the Effective Date) is subject to the satisfaction of the following conditions precedent as of such date:</w:t>
      </w:r>
    </w:p>
    <w:p>
      <w:pPr>
        <w:spacing w:after="0" w:line="188" w:lineRule="exact"/>
        <w:rPr>
          <w:sz w:val="20"/>
          <w:szCs w:val="20"/>
          <w:color w:val="auto"/>
        </w:rPr>
      </w:pPr>
    </w:p>
    <w:p>
      <w:pPr>
        <w:ind w:left="860" w:right="2599" w:firstLine="855"/>
        <w:spacing w:after="0" w:line="260" w:lineRule="auto"/>
        <w:tabs>
          <w:tab w:leader="none" w:pos="21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 be true and correct in all material respects on and as of the date thereof as if made on and as of such date unless stated to relate to a specific earlier date.</w:t>
      </w:r>
    </w:p>
    <w:p>
      <w:pPr>
        <w:spacing w:after="0" w:line="178" w:lineRule="exact"/>
        <w:rPr>
          <w:rFonts w:ascii="Courier New" w:cs="Courier New" w:eastAsia="Courier New" w:hAnsi="Courier New"/>
          <w:sz w:val="15"/>
          <w:szCs w:val="15"/>
          <w:color w:val="auto"/>
        </w:rPr>
      </w:pPr>
    </w:p>
    <w:p>
      <w:pPr>
        <w:jc w:val="both"/>
        <w:ind w:left="860" w:right="2979" w:firstLine="855"/>
        <w:spacing w:after="0" w:line="265" w:lineRule="auto"/>
        <w:tabs>
          <w:tab w:leader="none" w:pos="21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No Default or Event of Default shall have occurred and be continuing on such date or after giving effect to the Extension of Credit to be made on such date.</w:t>
      </w:r>
    </w:p>
    <w:p>
      <w:pPr>
        <w:spacing w:after="0" w:line="170" w:lineRule="exact"/>
        <w:rPr>
          <w:rFonts w:ascii="Courier New" w:cs="Courier New" w:eastAsia="Courier New" w:hAnsi="Courier New"/>
          <w:sz w:val="15"/>
          <w:szCs w:val="15"/>
          <w:color w:val="auto"/>
        </w:rPr>
      </w:pPr>
    </w:p>
    <w:p>
      <w:pPr>
        <w:ind w:left="860" w:right="2599" w:firstLine="855"/>
        <w:spacing w:after="0"/>
        <w:tabs>
          <w:tab w:leader="none" w:pos="21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Bid Loan Confirmation. With respect to any Bid Loan, a Bid Loan Confirmation shall have been delivered in accordance with subsection 2.5(b)(iv).</w:t>
      </w:r>
    </w:p>
    <w:p>
      <w:pPr>
        <w:sectPr>
          <w:pgSz w:w="11900" w:h="16838" w:orient="portrait"/>
          <w:cols w:equalWidth="0" w:num="1">
            <w:col w:w="10219"/>
          </w:cols>
          <w:pgMar w:left="240" w:top="29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59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54</w:t>
      </w:r>
    </w:p>
    <w:p>
      <w:pPr>
        <w:spacing w:after="0" w:line="372" w:lineRule="exact"/>
        <w:rPr>
          <w:sz w:val="20"/>
          <w:szCs w:val="20"/>
          <w:color w:val="auto"/>
        </w:rPr>
      </w:pPr>
    </w:p>
    <w:p>
      <w:pPr>
        <w:ind w:left="860" w:right="2679" w:firstLine="855"/>
        <w:spacing w:after="0" w:line="242" w:lineRule="auto"/>
        <w:tabs>
          <w:tab w:leader="none" w:pos="210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Borrower Borrowing. With respect to any borrowing made by any Subsidiary Borrower, a certificate of the Borrower to the effect that such borrowing will not give rise to an Event of Default under the Subordinated Note Indenture and dated as of the date of such borrowing shall have been delivered to the Administrative Agent.</w:t>
      </w:r>
    </w:p>
    <w:p>
      <w:pPr>
        <w:spacing w:after="0" w:line="187"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Each borrowing by the Borrower under this Agreement, each conversion of any Loan pursuant to subsection 2.11 of this Agreement and each issuance, increase or extension of any Letter of Credit hereunder shall constitute a representation and warranty by the Borrower as of the date of such borrowing, conversion or issuance, increase or extension that the conditions contained in the foregoing paragraphs (a) and (b) of this subsection 5.2 have been satisfied.</w:t>
      </w:r>
    </w:p>
    <w:p>
      <w:pPr>
        <w:spacing w:after="0" w:line="188"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5.3 Additional Conditions Applicable to Foreign Subsidiary Borrowers. The agreement of each Lender to make any Extension of Credit requested to be made by it to any Foreign Subsidiary Borrower on any date (including, without limitation, the initial Extension of Credit and each Swing Line Loan, if requested to be made to any Foreign Subsidiary Borrower) is subject to satisfaction or waiver of, in addition to the conditions precedent set forth in subsections 5.1 (in the case of the initial Extension of Credit) and 5.2, the following conditions precedent: (a) in the case of the making of any Extension of Credit to any Foreign Subsidiary Borrower for the first time, the delivery to the Administrative Agent, with a copy for each Lender, of the executed legal opinion of counsel to such Foreign Subsidiary Borrower addressed to the Administrative Agent and the Lenders, as to the matters set forth in Exhibit N and otherwise in form and substance reasonably satisfactory to the Administrative Agent and (b) the truthfulness and correctness in all material respects on and as of such date of the following additional representations and warranties:</w:t>
      </w:r>
    </w:p>
    <w:p>
      <w:pPr>
        <w:spacing w:after="0" w:line="194" w:lineRule="exact"/>
        <w:rPr>
          <w:sz w:val="20"/>
          <w:szCs w:val="20"/>
          <w:color w:val="auto"/>
        </w:rPr>
      </w:pPr>
    </w:p>
    <w:p>
      <w:pPr>
        <w:ind w:left="860" w:right="2599" w:firstLine="855"/>
        <w:spacing w:after="0" w:line="263" w:lineRule="auto"/>
        <w:tabs>
          <w:tab w:leader="none" w:pos="21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Pari Passu. The obligations of such Foreign Subsidiary Borrower under this Agreement and any Note, when executed and delivered by such Foreign Subsidiary Borrower, will rank at least pari passu with all unsecured Indebtedness of such Foreign Subsidiary Borrower.</w:t>
      </w:r>
    </w:p>
    <w:p>
      <w:pPr>
        <w:spacing w:after="0" w:line="172" w:lineRule="exact"/>
        <w:rPr>
          <w:rFonts w:ascii="Courier New" w:cs="Courier New" w:eastAsia="Courier New" w:hAnsi="Courier New"/>
          <w:sz w:val="15"/>
          <w:szCs w:val="15"/>
          <w:color w:val="auto"/>
        </w:rPr>
      </w:pPr>
    </w:p>
    <w:p>
      <w:pPr>
        <w:ind w:left="860" w:right="2599" w:firstLine="855"/>
        <w:spacing w:after="0" w:line="242" w:lineRule="auto"/>
        <w:tabs>
          <w:tab w:leader="none" w:pos="21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Immunities, etc. 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w:t>
      </w:r>
    </w:p>
    <w:p>
      <w:pPr>
        <w:sectPr>
          <w:pgSz w:w="11900" w:h="16838" w:orient="portrait"/>
          <w:cols w:equalWidth="0" w:num="1">
            <w:col w:w="10219"/>
          </w:cols>
          <w:pgMar w:left="240" w:top="298"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60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55</w:t>
      </w:r>
    </w:p>
    <w:p>
      <w:pPr>
        <w:spacing w:after="0" w:line="372" w:lineRule="exact"/>
        <w:rPr>
          <w:sz w:val="20"/>
          <w:szCs w:val="20"/>
          <w:color w:val="auto"/>
        </w:rPr>
      </w:pPr>
    </w:p>
    <w:p>
      <w:pPr>
        <w:ind w:left="860" w:right="2599"/>
        <w:spacing w:after="0" w:line="242" w:lineRule="auto"/>
        <w:rPr>
          <w:sz w:val="20"/>
          <w:szCs w:val="20"/>
          <w:color w:val="auto"/>
        </w:rPr>
      </w:pPr>
      <w:r>
        <w:rPr>
          <w:rFonts w:ascii="Courier New" w:cs="Courier New" w:eastAsia="Courier New" w:hAnsi="Courier New"/>
          <w:sz w:val="16"/>
          <w:szCs w:val="16"/>
          <w:color w:val="auto"/>
        </w:rPr>
        <w:t>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w:t>
      </w:r>
    </w:p>
    <w:p>
      <w:pPr>
        <w:spacing w:after="0" w:line="187" w:lineRule="exact"/>
        <w:rPr>
          <w:sz w:val="20"/>
          <w:szCs w:val="20"/>
          <w:color w:val="auto"/>
        </w:rPr>
      </w:pPr>
    </w:p>
    <w:p>
      <w:pPr>
        <w:ind w:left="860" w:right="2599" w:firstLine="1331"/>
        <w:spacing w:after="0" w:line="259" w:lineRule="auto"/>
        <w:tabs>
          <w:tab w:leader="none" w:pos="27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Recordation Necessary.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priority or admissibility in evidence of this Agreement and any such Note. It is not necessary to ensure the legality, validity, enforceability, priority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367" w:lineRule="exact"/>
        <w:rPr>
          <w:rFonts w:ascii="Courier New" w:cs="Courier New" w:eastAsia="Courier New" w:hAnsi="Courier New"/>
          <w:sz w:val="15"/>
          <w:szCs w:val="15"/>
          <w:color w:val="auto"/>
        </w:rPr>
      </w:pPr>
    </w:p>
    <w:p>
      <w:pPr>
        <w:ind w:left="860" w:right="2679" w:firstLine="1427"/>
        <w:spacing w:after="0" w:line="242" w:lineRule="auto"/>
        <w:tabs>
          <w:tab w:leader="none" w:pos="276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Controls.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any notification or authorization described in immediately preceding clause (ii) shall be made or obtained as soon as is reasonably practicable).</w:t>
      </w:r>
    </w:p>
    <w:p>
      <w:pPr>
        <w:spacing w:after="0" w:line="190"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Each borrowing by, and Letter of Credit issued for the account of, any Foreign Subsidiary Borrower hereunder shall constitute a representation and warranty by each of the Borrower and such Foreign Subsidiary Borrower as of the date of such borrowing or such issuance that the conditions contained in this subsection 5.3 have been satisfied.</w:t>
      </w:r>
    </w:p>
    <w:p>
      <w:pPr>
        <w:spacing w:after="0" w:line="37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SECTION 6. AFFIRMATIVE COVENANTS</w:t>
      </w:r>
    </w:p>
    <w:p>
      <w:pPr>
        <w:spacing w:after="0" w:line="188"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The Borrower hereby agrees that, so long as the Revolving Credit Commitments remain in effect or any amount is owing to any Lender or the Administrative Agent hereunder or under any other Loan Document, the Borrower shall, and in the case of the agreements set forth in subsections 6.3, 6.4, 6.5, 6.6, and 6.11, shall cause each of its Material Subsidiaries 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6.1 Financial Statements. Furnish to the Administrative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each Lender:</w:t>
      </w:r>
    </w:p>
    <w:p>
      <w:pPr>
        <w:sectPr>
          <w:pgSz w:w="11900" w:h="16838" w:orient="portrait"/>
          <w:cols w:equalWidth="0" w:num="1">
            <w:col w:w="10219"/>
          </w:cols>
          <w:pgMar w:left="240" w:top="298"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61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56</w:t>
      </w:r>
    </w:p>
    <w:p>
      <w:pPr>
        <w:spacing w:after="0" w:line="372" w:lineRule="exact"/>
        <w:rPr>
          <w:sz w:val="20"/>
          <w:szCs w:val="20"/>
          <w:color w:val="auto"/>
        </w:rPr>
      </w:pPr>
    </w:p>
    <w:p>
      <w:pPr>
        <w:ind w:left="860" w:right="2599" w:firstLine="855"/>
        <w:spacing w:after="0" w:line="242" w:lineRule="auto"/>
        <w:tabs>
          <w:tab w:leader="none" w:pos="21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within ninety days after the end of each fiscal year of the Borrower, a copy of the consolidated balance sheet of the Borrower and its Subsidiaries as at the end of such year and the related statements of consolidated income and retained earnings and of cash flows for such year, setting forth in each case in comparative form the figures for the previous year; provided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189" w:lineRule="exact"/>
        <w:rPr>
          <w:rFonts w:ascii="Courier New" w:cs="Courier New" w:eastAsia="Courier New" w:hAnsi="Courier New"/>
          <w:sz w:val="16"/>
          <w:szCs w:val="16"/>
          <w:color w:val="auto"/>
        </w:rPr>
      </w:pPr>
    </w:p>
    <w:p>
      <w:pPr>
        <w:ind w:left="860" w:right="2679" w:firstLine="855"/>
        <w:spacing w:after="0" w:line="242" w:lineRule="auto"/>
        <w:tabs>
          <w:tab w:leader="none" w:pos="210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not later than forty-five days after the end of each of the first three 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pacing w:after="0" w:line="190"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footnotes and shall be prepared substantially in accordance with GAAP) applied consistently throughout the periods reflected therein, except as otherwise disclosed in the notes thereto.</w:t>
      </w:r>
    </w:p>
    <w:p>
      <w:pPr>
        <w:spacing w:after="0" w:line="17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6.2 Certificates; Other Information. Furnish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 and each Lender:</w:t>
      </w:r>
    </w:p>
    <w:p>
      <w:pPr>
        <w:spacing w:after="0" w:line="188" w:lineRule="exact"/>
        <w:rPr>
          <w:sz w:val="20"/>
          <w:szCs w:val="20"/>
          <w:color w:val="auto"/>
        </w:rPr>
      </w:pPr>
    </w:p>
    <w:p>
      <w:pPr>
        <w:ind w:left="860" w:right="2599" w:firstLine="855"/>
        <w:spacing w:after="0" w:line="242" w:lineRule="auto"/>
        <w:tabs>
          <w:tab w:leader="none" w:pos="21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 6.1(a) above, a certificate of the independent certified public accountants certifying such financial statements (i) stating that in making the examination necessary therefor no knowledge was obtained of any Default or Event of Default, except as specified in such certificate and (ii) showing in detail the calculations supporting such statement in respect of subsections 6.8, 6.9, 7.4 and 7.5;</w:t>
      </w:r>
    </w:p>
    <w:p>
      <w:pPr>
        <w:spacing w:after="0" w:line="188"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above, a certificate from the auditing accountants (for the year-end statements) or a Responsible Officer of the Borrower (for all statements) stating that, to the best of such officer's knowledge, the Borrower and each of its Material Subsidiaries during such period has observed or performed in all material respects all of its material covenants and other agreements, and satisfied every condition contained in this Agreement, any Notes and the Subsidiaries Guarantee to be observed, performed or satisfied by it, and that such Officer has obtained no knowledge of any Default or Event of Default except as specified in such certificate, and showing in detail the calculations supporting such statement in respect of subsections 6.8, 6.9, 7.4, and 7.5.;</w:t>
      </w:r>
    </w:p>
    <w:p>
      <w:pPr>
        <w:sectPr>
          <w:pgSz w:w="11900" w:h="16838" w:orient="portrait"/>
          <w:cols w:equalWidth="0" w:num="1">
            <w:col w:w="10219"/>
          </w:cols>
          <w:pgMar w:left="240" w:top="298"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62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57</w:t>
      </w:r>
    </w:p>
    <w:p>
      <w:pPr>
        <w:spacing w:after="0" w:line="372" w:lineRule="exact"/>
        <w:rPr>
          <w:sz w:val="20"/>
          <w:szCs w:val="20"/>
          <w:color w:val="auto"/>
        </w:rPr>
      </w:pPr>
    </w:p>
    <w:p>
      <w:pPr>
        <w:ind w:left="860" w:right="2599" w:firstLine="855"/>
        <w:spacing w:after="0" w:line="242" w:lineRule="auto"/>
        <w:tabs>
          <w:tab w:leader="none" w:pos="21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delivery of the financial statements referred to in subsection 6.1(a) and (b) above, a written discussion and analysis (in a form and detail substantially similar to that contained in the Form 10-K or Form 10-Q filed by the Borrower with the Securities and Exchange Commission for the period covered by such financial statements) by the Borrower with respect to the period covered by such financial statements;</w:t>
      </w:r>
    </w:p>
    <w:p>
      <w:pPr>
        <w:spacing w:after="0" w:line="187"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sent and received, copies of all financial statements, reports and notices which the Borrower 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189"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thereof, copies of all final reports submitted to the Borrower by independent certified public accountants in connection with each annual, interim or special audit of the books of the Borrower or any of its Subsidiaries made by such accountants, including, without limitation, any final comment letter submitted by such accountants to management in connection with their annual audit; and</w:t>
      </w:r>
    </w:p>
    <w:p>
      <w:pPr>
        <w:spacing w:after="0" w:line="187" w:lineRule="exact"/>
        <w:rPr>
          <w:rFonts w:ascii="Courier New" w:cs="Courier New" w:eastAsia="Courier New" w:hAnsi="Courier New"/>
          <w:sz w:val="16"/>
          <w:szCs w:val="16"/>
          <w:color w:val="auto"/>
        </w:rPr>
      </w:pPr>
    </w:p>
    <w:p>
      <w:pPr>
        <w:ind w:left="860" w:right="2679" w:firstLine="855"/>
        <w:spacing w:after="0"/>
        <w:tabs>
          <w:tab w:leader="none" w:pos="21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on reasonable notice to the Borrower, such additional financial and other information as the Administrative Agent may from time to time reasonably request.</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6.3 Payment of Obligations. Pay, discharge or otherwise satisfy at or before maturity or before they become delinquent, as the case may be, all its Indebtedness and other material obligations of whatever nature, except, without prejudice to the 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191"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6.4 Conduct of Business and Maintenance of Existence. Continue to engage in business of the same general type as now conducted by it and, except as may be permitted under subsection 7.3, preserve, renew and keep in full force and effect its corporate existence and take all reasonable action to maintain all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189" w:lineRule="exact"/>
        <w:rPr>
          <w:sz w:val="20"/>
          <w:szCs w:val="20"/>
          <w:color w:val="auto"/>
        </w:rPr>
      </w:pPr>
    </w:p>
    <w:p>
      <w:pPr>
        <w:ind w:right="3059" w:firstLine="1717"/>
        <w:spacing w:after="0" w:line="239" w:lineRule="auto"/>
        <w:rPr>
          <w:sz w:val="20"/>
          <w:szCs w:val="20"/>
          <w:color w:val="auto"/>
        </w:rPr>
      </w:pPr>
      <w:r>
        <w:rPr>
          <w:rFonts w:ascii="Courier New" w:cs="Courier New" w:eastAsia="Courier New" w:hAnsi="Courier New"/>
          <w:sz w:val="16"/>
          <w:szCs w:val="16"/>
          <w:color w:val="auto"/>
        </w:rPr>
        <w:t>6.5 Maintenance of Property, Insurance. Keep all property useful and necessary</w:t>
      </w:r>
    </w:p>
    <w:p>
      <w:pPr>
        <w:sectPr>
          <w:pgSz w:w="11900" w:h="16838" w:orient="portrait"/>
          <w:cols w:equalWidth="0" w:num="1">
            <w:col w:w="10219"/>
          </w:cols>
          <w:pgMar w:left="240" w:top="298"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63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58</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insurance) as are usually insured against in the same general area by companies engaged in the same or a similar business; and furnish to each Lender, upon written request, reasonable information as to the insurance carried.</w:t>
      </w:r>
    </w:p>
    <w:p>
      <w:pPr>
        <w:spacing w:after="0" w:line="18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6.6 Inspection of Property; Books and Records; Discussions. Keep proper books of record and account in which full, true and correct entries in conformity with GAAP and all Requirements of Law shall be made of all dealings and transactions in relation to its business and activities; and permit representatives of the Administrative Agent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191" w:lineRule="exact"/>
        <w:rPr>
          <w:sz w:val="20"/>
          <w:szCs w:val="20"/>
          <w:color w:val="auto"/>
        </w:rPr>
      </w:pPr>
    </w:p>
    <w:p>
      <w:pPr>
        <w:ind w:right="2679" w:firstLine="1717"/>
        <w:spacing w:after="0"/>
        <w:rPr>
          <w:sz w:val="20"/>
          <w:szCs w:val="20"/>
          <w:color w:val="auto"/>
        </w:rPr>
      </w:pPr>
      <w:r>
        <w:rPr>
          <w:rFonts w:ascii="Courier New" w:cs="Courier New" w:eastAsia="Courier New" w:hAnsi="Courier New"/>
          <w:sz w:val="16"/>
          <w:szCs w:val="16"/>
          <w:color w:val="auto"/>
        </w:rPr>
        <w:t>6.7 Notices. Promptly give notice to the Administrative Agent and each Lender (and, in the case of clauses (a), (b) and (c), in any event within five Business Days after learning thereof):</w:t>
      </w:r>
    </w:p>
    <w:p>
      <w:pPr>
        <w:spacing w:after="0" w:line="187" w:lineRule="exact"/>
        <w:rPr>
          <w:sz w:val="20"/>
          <w:szCs w:val="20"/>
          <w:color w:val="auto"/>
        </w:rPr>
      </w:pPr>
    </w:p>
    <w:p>
      <w:pPr>
        <w:ind w:left="2100" w:hanging="385"/>
        <w:spacing w:after="0"/>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Default or Event of Default;</w:t>
      </w:r>
    </w:p>
    <w:p>
      <w:pPr>
        <w:spacing w:after="0" w:line="188" w:lineRule="exact"/>
        <w:rPr>
          <w:rFonts w:ascii="Courier New" w:cs="Courier New" w:eastAsia="Courier New" w:hAnsi="Courier New"/>
          <w:sz w:val="16"/>
          <w:szCs w:val="16"/>
          <w:color w:val="auto"/>
        </w:rPr>
      </w:pPr>
    </w:p>
    <w:p>
      <w:pPr>
        <w:ind w:left="860" w:right="2679" w:firstLine="855"/>
        <w:spacing w:after="0" w:line="261" w:lineRule="auto"/>
        <w:tabs>
          <w:tab w:leader="none" w:pos="21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(i) default or event of default under any material Contractual Obligation of the Borrower or any of its Material Subsidiaries or (ii) litigation, investigation or proceeding which may exist at any time between the Borrower or any of its Subsidiaries and any Governmental Authority, which, if adversely determined, would reasonably be expected to have a Material Adverse Effect;</w:t>
      </w:r>
    </w:p>
    <w:p>
      <w:pPr>
        <w:spacing w:after="0" w:line="175" w:lineRule="exact"/>
        <w:rPr>
          <w:rFonts w:ascii="Courier New" w:cs="Courier New" w:eastAsia="Courier New" w:hAnsi="Courier New"/>
          <w:sz w:val="15"/>
          <w:szCs w:val="15"/>
          <w:color w:val="auto"/>
        </w:rPr>
      </w:pPr>
    </w:p>
    <w:p>
      <w:pPr>
        <w:ind w:left="860" w:right="2599" w:firstLine="855"/>
        <w:spacing w:after="0" w:line="242" w:lineRule="auto"/>
        <w:tabs>
          <w:tab w:leader="none" w:pos="210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litigation or proceeding affecting the Borrower or any of its Subsidiaries (i) (A) in which the amount of liability asserted against the Borrower and its Subsidiaries is $5,000,000 or more and not covered by insurance and (B) which, in the reasonable opinion of a Responsible Officer of the Borrower, if adversely determined, would reasonably be expected to have a Material Adverse Effect or (ii) in which injunctive or similar relief is sought and which, in the reasonable opinion of a Responsible Officer of the Borrower, if adversely determined, would reasonably be expected to have a Material Adverse Effect;</w:t>
      </w:r>
    </w:p>
    <w:p>
      <w:pPr>
        <w:spacing w:after="0" w:line="189" w:lineRule="exact"/>
        <w:rPr>
          <w:rFonts w:ascii="Courier New" w:cs="Courier New" w:eastAsia="Courier New" w:hAnsi="Courier New"/>
          <w:sz w:val="16"/>
          <w:szCs w:val="16"/>
          <w:color w:val="auto"/>
        </w:rPr>
      </w:pPr>
    </w:p>
    <w:p>
      <w:pPr>
        <w:ind w:left="860" w:right="2599" w:firstLine="855"/>
        <w:spacing w:after="0" w:line="260" w:lineRule="auto"/>
        <w:tabs>
          <w:tab w:leader="none" w:pos="21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following events, as soon as possible and in any event within 30 days after the Borrower knows or has reason to know thereof: (i) the occurrence of any Reportable Event with respect to any Plan, or (ii) the institution of proceedings or the taking or expected taking of any other action by PBGC or the Borrower or any Commonly Controlled Entity to terminate or withdraw or partially withdraw from any Plan under circumstances which could lead to material liability to the PBGC or, with respect to a Multi-employer Plan, the Reorganization or Insolvency (as each such term is defined in</w:t>
      </w:r>
    </w:p>
    <w:p>
      <w:pPr>
        <w:sectPr>
          <w:pgSz w:w="11900" w:h="16838" w:orient="portrait"/>
          <w:cols w:equalWidth="0" w:num="1">
            <w:col w:w="10219"/>
          </w:cols>
          <w:pgMar w:left="240" w:top="298" w:right="1440" w:bottom="1440" w:gutter="0" w:footer="0" w:header="0"/>
        </w:sectPr>
      </w:pPr>
    </w:p>
    <w:bookmarkStart w:id="87" w:name="page88"/>
    <w:bookmarkEnd w:id="87"/>
    <w:p>
      <w:pPr>
        <w:ind w:left="282"/>
        <w:spacing w:after="0"/>
        <w:rPr>
          <w:sz w:val="20"/>
          <w:szCs w:val="20"/>
          <w:color w:val="auto"/>
        </w:rPr>
      </w:pPr>
      <w:r>
        <w:rPr>
          <w:rFonts w:ascii="Courier New" w:cs="Courier New" w:eastAsia="Courier New" w:hAnsi="Courier New"/>
          <w:sz w:val="16"/>
          <w:szCs w:val="16"/>
          <w:color w:val="auto"/>
        </w:rPr>
        <w:t>64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59</w:t>
      </w:r>
    </w:p>
    <w:p>
      <w:pPr>
        <w:spacing w:after="0" w:line="372" w:lineRule="exact"/>
        <w:rPr>
          <w:sz w:val="20"/>
          <w:szCs w:val="20"/>
          <w:color w:val="auto"/>
        </w:rPr>
      </w:pPr>
    </w:p>
    <w:p>
      <w:pPr>
        <w:ind w:left="862" w:right="2679"/>
        <w:spacing w:after="0" w:line="242" w:lineRule="auto"/>
        <w:rPr>
          <w:sz w:val="20"/>
          <w:szCs w:val="20"/>
          <w:color w:val="auto"/>
        </w:rPr>
      </w:pPr>
      <w:r>
        <w:rPr>
          <w:rFonts w:ascii="Courier New" w:cs="Courier New" w:eastAsia="Courier New" w:hAnsi="Courier New"/>
          <w:sz w:val="16"/>
          <w:szCs w:val="16"/>
          <w:color w:val="auto"/>
        </w:rPr>
        <w:t>ERISA) of the Plan and in addition to such notice, deliver to the Administrative Agent and each Lender whichever of the following may be applicable: (A) a certificate of a Responsible Officer of the Borrower setting forth details as to such Reportable Event and the action that the Borrower or a Commonly Controlled Entity proposes to take with respect thereto, together with a copy of any notice of such Reportable Event that may be required to be filed with PBGC, or (B) any notice delivered by PBGC evidencing its intent to institute such proceedings or any notice to PBGC that such Plan is to be terminated, as the case may be; and</w:t>
      </w:r>
    </w:p>
    <w:p>
      <w:pPr>
        <w:spacing w:after="0" w:line="190" w:lineRule="exact"/>
        <w:rPr>
          <w:sz w:val="20"/>
          <w:szCs w:val="20"/>
          <w:color w:val="auto"/>
        </w:rPr>
      </w:pPr>
    </w:p>
    <w:p>
      <w:pPr>
        <w:ind w:left="862" w:right="2879" w:firstLine="855"/>
        <w:spacing w:after="0" w:line="239" w:lineRule="auto"/>
        <w:tabs>
          <w:tab w:leader="none" w:pos="210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event, act or omission which would reasonably be expected to have a Material Adverse Effect.</w:t>
      </w:r>
    </w:p>
    <w:p>
      <w:pPr>
        <w:spacing w:after="0" w:line="189"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Each notice pursuant to subsections (a) through (e) of this subsection 6.7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6.7, the Borrower shall be deemed to have knowledge of all facts attributable to the administrator of such Plan.</w:t>
      </w:r>
    </w:p>
    <w:p>
      <w:pPr>
        <w:spacing w:after="0" w:line="188" w:lineRule="exact"/>
        <w:rPr>
          <w:sz w:val="20"/>
          <w:szCs w:val="20"/>
          <w:color w:val="auto"/>
        </w:rPr>
      </w:pPr>
    </w:p>
    <w:p>
      <w:pPr>
        <w:ind w:left="2" w:right="2679" w:firstLine="1717"/>
        <w:spacing w:after="0" w:line="259" w:lineRule="auto"/>
        <w:rPr>
          <w:sz w:val="20"/>
          <w:szCs w:val="20"/>
          <w:color w:val="auto"/>
        </w:rPr>
      </w:pPr>
      <w:r>
        <w:rPr>
          <w:rFonts w:ascii="Courier New" w:cs="Courier New" w:eastAsia="Courier New" w:hAnsi="Courier New"/>
          <w:sz w:val="15"/>
          <w:szCs w:val="15"/>
          <w:color w:val="auto"/>
        </w:rPr>
        <w:t>6.8 Interest Coverage. Maintain the ratio of (a) EBITDA as of the end of each fiscal quarter of the Borrower (commencing with the fiscal quarter ended March 31, 1998) for the preceding twelve months to (b) the sum of</w:t>
      </w:r>
    </w:p>
    <w:p>
      <w:pPr>
        <w:ind w:left="2" w:right="2599" w:hanging="2"/>
        <w:spacing w:after="0" w:line="242" w:lineRule="auto"/>
        <w:tabs>
          <w:tab w:leader="none" w:pos="38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Interest Expense as of the end of such fiscal quarter for the preceding twelve months and (ii) the amount accrued by the Borrower or any of its Subsidiaries in respect of any series of preferred stock of the Borrower or such Subsidiary (provided that such amount has not been paid in a prior period) as of the end of such fiscal quarter for the preceding twelve months at not less than 3.25 for fiscal year 1998 and 3.50 for fiscal year 1999 and thereafter. For purposes of this subsection 6.8,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pro forma basis, including (x) in EBITDA the EBITDA of the acquired Person for any portion of such twelve-month period prior to such acquisition and (y) in Consolidated Interest Expense and in the amount of preferred stock accruals an annualization of the actual interest expense or preferred stock accruals relating to such acquisition for the portion of such twelve-month period since the date of such acquisition (or, if such acquisition occurred on the last day of a fiscal quarter, an annualization estimate of the daily interest expense or preferred stock accruals relating to such acquisition based on the indebtedness incurred and based on the current Interest Rates for such indebtedness or preferred stock issued on such date).</w:t>
      </w:r>
    </w:p>
    <w:p>
      <w:pPr>
        <w:spacing w:after="0" w:line="196" w:lineRule="exact"/>
        <w:rPr>
          <w:sz w:val="20"/>
          <w:szCs w:val="20"/>
          <w:color w:val="auto"/>
        </w:rPr>
      </w:pPr>
    </w:p>
    <w:p>
      <w:pPr>
        <w:ind w:left="2" w:right="2599" w:firstLine="1717"/>
        <w:spacing w:after="0" w:line="263" w:lineRule="auto"/>
        <w:rPr>
          <w:sz w:val="20"/>
          <w:szCs w:val="20"/>
          <w:color w:val="auto"/>
        </w:rPr>
      </w:pPr>
      <w:r>
        <w:rPr>
          <w:rFonts w:ascii="Courier New" w:cs="Courier New" w:eastAsia="Courier New" w:hAnsi="Courier New"/>
          <w:sz w:val="15"/>
          <w:szCs w:val="15"/>
          <w:color w:val="auto"/>
        </w:rPr>
        <w:t>6.9 Maintenance of Leverage Ratio. At each quarterly date set forth below with respect to the fiscal quarter of the Borrower then ending maintain the ratio of Total Indebtedness of the Borrower to Total Capitalization of the Borrower at not greater than the ratio set forth opposite each such date:</w:t>
      </w:r>
    </w:p>
    <w:p>
      <w:pPr>
        <w:sectPr>
          <w:pgSz w:w="11900" w:h="16838" w:orient="portrait"/>
          <w:cols w:equalWidth="0" w:num="1">
            <w:col w:w="10221"/>
          </w:cols>
          <w:pgMar w:left="238" w:top="298"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65</w:t>
      </w:r>
    </w:p>
    <w:p>
      <w:pPr>
        <w:spacing w:after="0" w:line="2"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550"/>
        </w:trPr>
        <w:tc>
          <w:tcPr>
            <w:tcW w:w="3520" w:type="dxa"/>
            <w:vAlign w:val="bottom"/>
          </w:tcPr>
          <w:p>
            <w:pPr>
              <w:ind w:left="1040"/>
              <w:spacing w:after="0"/>
              <w:rPr>
                <w:sz w:val="20"/>
                <w:szCs w:val="20"/>
                <w:color w:val="auto"/>
              </w:rPr>
            </w:pPr>
            <w:r>
              <w:rPr>
                <w:rFonts w:ascii="Courier New" w:cs="Courier New" w:eastAsia="Courier New" w:hAnsi="Courier New"/>
                <w:sz w:val="16"/>
                <w:szCs w:val="16"/>
                <w:color w:val="auto"/>
              </w:rPr>
              <w:t>Date</w:t>
            </w:r>
          </w:p>
        </w:tc>
        <w:tc>
          <w:tcPr>
            <w:tcW w:w="2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Ratio</w:t>
            </w:r>
          </w:p>
        </w:tc>
      </w:tr>
      <w:tr>
        <w:trPr>
          <w:trHeight w:val="183"/>
        </w:trPr>
        <w:tc>
          <w:tcPr>
            <w:tcW w:w="3520" w:type="dxa"/>
            <w:vAlign w:val="bottom"/>
          </w:tcPr>
          <w:p>
            <w:pPr>
              <w:ind w:left="1040"/>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 31, 1998</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 30, 1998</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 30, 1998</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December 31, 1998</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 31, 1999</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 30, 1999</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 30, 1999</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December 31, 1999</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 31, 2000</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 30, 2000</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 30, 2000</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December 31, 2000</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 31, 2001</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 30, 2001</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 30, 2001</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December 31, 2001</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March 31, 2002</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June 30, 2002</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65%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September 30, 2002</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December 31, 2002</w:t>
            </w:r>
          </w:p>
        </w:tc>
        <w:tc>
          <w:tcPr>
            <w:tcW w:w="2380" w:type="dxa"/>
            <w:vAlign w:val="bottom"/>
          </w:tcPr>
          <w:p>
            <w:pPr>
              <w:jc w:val="center"/>
              <w:ind w:left="1661"/>
              <w:spacing w:after="0"/>
              <w:rPr>
                <w:sz w:val="20"/>
                <w:szCs w:val="20"/>
                <w:color w:val="auto"/>
              </w:rPr>
            </w:pPr>
            <w:r>
              <w:rPr>
                <w:rFonts w:ascii="Courier New" w:cs="Courier New" w:eastAsia="Courier New" w:hAnsi="Courier New"/>
                <w:sz w:val="16"/>
                <w:szCs w:val="16"/>
                <w:color w:val="auto"/>
                <w:w w:val="97"/>
              </w:rPr>
              <w:t>55%</w:t>
            </w:r>
          </w:p>
        </w:tc>
      </w:tr>
    </w:tbl>
    <w:p>
      <w:pPr>
        <w:spacing w:after="0" w:line="188" w:lineRule="exact"/>
        <w:rPr>
          <w:sz w:val="20"/>
          <w:szCs w:val="20"/>
          <w:color w:val="auto"/>
        </w:rPr>
      </w:pPr>
    </w:p>
    <w:p>
      <w:pPr>
        <w:ind w:right="2599" w:firstLine="1717"/>
        <w:spacing w:after="0" w:line="261" w:lineRule="auto"/>
        <w:rPr>
          <w:sz w:val="20"/>
          <w:szCs w:val="20"/>
          <w:color w:val="auto"/>
        </w:rPr>
      </w:pPr>
      <w:r>
        <w:rPr>
          <w:rFonts w:ascii="Courier New" w:cs="Courier New" w:eastAsia="Courier New" w:hAnsi="Courier New"/>
          <w:sz w:val="15"/>
          <w:szCs w:val="15"/>
          <w:color w:val="auto"/>
        </w:rPr>
        <w:t>6.10 New Subsidiaries. (a) Upon the creation or acquisition of a Subsidiary by the Borrower or any of its Subsidiaries, and upon the written request of the Administrative Agent, cause such Subsidiary to become a Subsidiary Guarantor; except to the extent any such non-domestic guarantee would have adverse tax consequences for the Borrower or the applicable Subsidiary or would be deemed an unlawful act of such Subsidiary, or of any of its officers or directors under the laws of the applicable foreign jurisdiction.</w:t>
      </w:r>
    </w:p>
    <w:p>
      <w:pPr>
        <w:spacing w:after="0" w:line="174"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6.11 Environmental, Health and Safety Matters. (a)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 except to the extent that any such failure to so comply could not reasonably be expected to result in the payment of a Material Environmental Amount.</w:t>
      </w:r>
    </w:p>
    <w:p>
      <w:pPr>
        <w:spacing w:after="0" w:line="189" w:lineRule="exact"/>
        <w:rPr>
          <w:sz w:val="20"/>
          <w:szCs w:val="20"/>
          <w:color w:val="auto"/>
        </w:rPr>
      </w:pPr>
    </w:p>
    <w:p>
      <w:pPr>
        <w:ind w:right="2599" w:firstLine="1715"/>
        <w:spacing w:after="0" w:line="242" w:lineRule="auto"/>
        <w:tabs>
          <w:tab w:leader="none" w:pos="209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ectPr>
          <w:pgSz w:w="11900" w:h="16838" w:orient="portrait"/>
          <w:cols w:equalWidth="0" w:num="1">
            <w:col w:w="10219"/>
          </w:cols>
          <w:pgMar w:left="240" w:top="298"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66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61</w:t>
      </w:r>
    </w:p>
    <w:p>
      <w:pPr>
        <w:spacing w:after="0" w:line="372" w:lineRule="exact"/>
        <w:rPr>
          <w:sz w:val="20"/>
          <w:szCs w:val="20"/>
          <w:color w:val="auto"/>
        </w:rPr>
      </w:pPr>
    </w:p>
    <w:p>
      <w:pPr>
        <w:ind w:right="2599" w:firstLine="1715"/>
        <w:spacing w:after="0" w:line="242" w:lineRule="auto"/>
        <w:tabs>
          <w:tab w:leader="none" w:pos="209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operations of the Borrower or any of its Subsidiaries or any of their respective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374" w:lineRule="exact"/>
        <w:rPr>
          <w:sz w:val="20"/>
          <w:szCs w:val="20"/>
          <w:color w:val="auto"/>
        </w:rPr>
      </w:pPr>
    </w:p>
    <w:p>
      <w:pPr>
        <w:ind w:left="1720"/>
        <w:spacing w:after="0"/>
        <w:tabs>
          <w:tab w:leader="none" w:pos="284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5"/>
          <w:szCs w:val="15"/>
          <w:color w:val="auto"/>
        </w:rPr>
        <w:t>NEGATIVE COVENANTS</w:t>
      </w:r>
    </w:p>
    <w:p>
      <w:pPr>
        <w:spacing w:after="0" w:line="188" w:lineRule="exact"/>
        <w:rPr>
          <w:sz w:val="20"/>
          <w:szCs w:val="20"/>
          <w:color w:val="auto"/>
        </w:rPr>
      </w:pPr>
    </w:p>
    <w:p>
      <w:pPr>
        <w:ind w:right="2779" w:firstLine="1717"/>
        <w:spacing w:after="0" w:line="241" w:lineRule="auto"/>
        <w:rPr>
          <w:sz w:val="20"/>
          <w:szCs w:val="20"/>
          <w:color w:val="auto"/>
        </w:rPr>
      </w:pPr>
      <w:r>
        <w:rPr>
          <w:rFonts w:ascii="Courier New" w:cs="Courier New" w:eastAsia="Courier New" w:hAnsi="Courier New"/>
          <w:sz w:val="16"/>
          <w:szCs w:val="16"/>
          <w:color w:val="auto"/>
        </w:rPr>
        <w:t>The Borrower hereby agrees that, from the Effective Date and so long as the Revolving Credit Commitments remain in effect or any amount is owing to any Lender or the Administrative Agent hereunder or under any other Loan Document, the Borrower shall not, nor shall it permit any of its Subsidiaries to, directly or indirectly:</w:t>
      </w:r>
    </w:p>
    <w:p>
      <w:pPr>
        <w:spacing w:after="0" w:line="190" w:lineRule="exact"/>
        <w:rPr>
          <w:sz w:val="20"/>
          <w:szCs w:val="20"/>
          <w:color w:val="auto"/>
        </w:rPr>
      </w:pPr>
    </w:p>
    <w:p>
      <w:pPr>
        <w:ind w:right="2779" w:firstLine="1717"/>
        <w:spacing w:after="0"/>
        <w:rPr>
          <w:sz w:val="20"/>
          <w:szCs w:val="20"/>
          <w:color w:val="auto"/>
        </w:rPr>
      </w:pPr>
      <w:r>
        <w:rPr>
          <w:rFonts w:ascii="Courier New" w:cs="Courier New" w:eastAsia="Courier New" w:hAnsi="Courier New"/>
          <w:sz w:val="16"/>
          <w:szCs w:val="16"/>
          <w:color w:val="auto"/>
        </w:rPr>
        <w:t>7.1 Limitation on Liens. Create, incur, assume or suffer to exist any Lien upon any of its property, assets or revenues, whether now owned or hereafter acquired, except:</w:t>
      </w:r>
    </w:p>
    <w:p>
      <w:pPr>
        <w:spacing w:after="0" w:line="190" w:lineRule="exact"/>
        <w:rPr>
          <w:sz w:val="20"/>
          <w:szCs w:val="20"/>
          <w:color w:val="auto"/>
        </w:rPr>
      </w:pPr>
    </w:p>
    <w:p>
      <w:pPr>
        <w:ind w:left="860" w:right="2599" w:firstLine="855"/>
        <w:spacing w:after="0" w:line="242" w:lineRule="auto"/>
        <w:tabs>
          <w:tab w:leader="none" w:pos="21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in an aggregate amount not exceeding $40,000,000 at any time outstanding in respect of capitalized lease obligations and purchase money obligations for fixed or capital assets; provided that (i) such Liens do not at any time encumber any property other than the property financed by such Indebtedness and (ii) the Indebtedness secured thereby shall not exceed the cost or fair market value, whichever is lower, of the property being acquired on the date of acquisition;</w:t>
      </w:r>
    </w:p>
    <w:p>
      <w:pPr>
        <w:spacing w:after="0" w:line="188" w:lineRule="exact"/>
        <w:rPr>
          <w:rFonts w:ascii="Courier New" w:cs="Courier New" w:eastAsia="Courier New" w:hAnsi="Courier New"/>
          <w:sz w:val="16"/>
          <w:szCs w:val="16"/>
          <w:color w:val="auto"/>
        </w:rPr>
      </w:pPr>
    </w:p>
    <w:p>
      <w:pPr>
        <w:ind w:left="860" w:right="2879" w:firstLine="855"/>
        <w:spacing w:after="0" w:line="241" w:lineRule="auto"/>
        <w:tabs>
          <w:tab w:leader="none" w:pos="21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a Foreign Subsidiary which is not a Subsidiary Guarantor or a Subsidiary Borrower to secure Permitted Foreign Debt of such Foreign Subsidiary provided that such Permitted Foreign Debt is not guaranteed by Scotts;</w:t>
      </w:r>
    </w:p>
    <w:p>
      <w:pPr>
        <w:spacing w:after="0" w:line="189" w:lineRule="exact"/>
        <w:rPr>
          <w:rFonts w:ascii="Courier New" w:cs="Courier New" w:eastAsia="Courier New" w:hAnsi="Courier New"/>
          <w:sz w:val="16"/>
          <w:szCs w:val="16"/>
          <w:color w:val="auto"/>
        </w:rPr>
      </w:pPr>
    </w:p>
    <w:p>
      <w:pPr>
        <w:ind w:left="860" w:right="2679" w:firstLine="855"/>
        <w:spacing w:after="0" w:line="263" w:lineRule="auto"/>
        <w:tabs>
          <w:tab w:leader="none" w:pos="21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172" w:lineRule="exact"/>
        <w:rPr>
          <w:rFonts w:ascii="Courier New" w:cs="Courier New" w:eastAsia="Courier New" w:hAnsi="Courier New"/>
          <w:sz w:val="15"/>
          <w:szCs w:val="15"/>
          <w:color w:val="auto"/>
        </w:rPr>
      </w:pPr>
    </w:p>
    <w:p>
      <w:pPr>
        <w:ind w:left="860" w:right="2599" w:firstLine="855"/>
        <w:spacing w:after="0" w:line="263" w:lineRule="auto"/>
        <w:tabs>
          <w:tab w:leader="none" w:pos="21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ectPr>
          <w:pgSz w:w="11900" w:h="16838" w:orient="portrait"/>
          <w:cols w:equalWidth="0" w:num="1">
            <w:col w:w="10219"/>
          </w:cols>
          <w:pgMar w:left="240" w:top="298" w:right="1440" w:bottom="1440" w:gutter="0" w:footer="0" w:header="0"/>
        </w:sectPr>
      </w:pPr>
    </w:p>
    <w:bookmarkStart w:id="90" w:name="page91"/>
    <w:bookmarkEnd w:id="90"/>
    <w:p>
      <w:pPr>
        <w:ind w:left="282"/>
        <w:spacing w:after="0"/>
        <w:rPr>
          <w:sz w:val="20"/>
          <w:szCs w:val="20"/>
          <w:color w:val="auto"/>
        </w:rPr>
      </w:pPr>
      <w:r>
        <w:rPr>
          <w:rFonts w:ascii="Courier New" w:cs="Courier New" w:eastAsia="Courier New" w:hAnsi="Courier New"/>
          <w:sz w:val="16"/>
          <w:szCs w:val="16"/>
          <w:color w:val="auto"/>
        </w:rPr>
        <w:t>67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62</w:t>
      </w:r>
    </w:p>
    <w:p>
      <w:pPr>
        <w:spacing w:after="0" w:line="372" w:lineRule="exact"/>
        <w:rPr>
          <w:sz w:val="20"/>
          <w:szCs w:val="20"/>
          <w:color w:val="auto"/>
        </w:rPr>
      </w:pPr>
    </w:p>
    <w:p>
      <w:pPr>
        <w:ind w:left="862" w:right="3459" w:firstLine="855"/>
        <w:spacing w:after="0"/>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or deposits in connection with workmen's compensation, unemployment insurance and other social security legislation;</w:t>
      </w:r>
    </w:p>
    <w:p>
      <w:pPr>
        <w:spacing w:after="0" w:line="189" w:lineRule="exact"/>
        <w:rPr>
          <w:rFonts w:ascii="Courier New" w:cs="Courier New" w:eastAsia="Courier New" w:hAnsi="Courier New"/>
          <w:sz w:val="16"/>
          <w:szCs w:val="16"/>
          <w:color w:val="auto"/>
        </w:rPr>
      </w:pPr>
    </w:p>
    <w:p>
      <w:pPr>
        <w:ind w:left="862" w:right="2599" w:firstLine="855"/>
        <w:spacing w:after="0" w:line="241" w:lineRule="auto"/>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190" w:lineRule="exact"/>
        <w:rPr>
          <w:rFonts w:ascii="Courier New" w:cs="Courier New" w:eastAsia="Courier New" w:hAnsi="Courier New"/>
          <w:sz w:val="16"/>
          <w:szCs w:val="16"/>
          <w:color w:val="auto"/>
        </w:rPr>
      </w:pPr>
    </w:p>
    <w:p>
      <w:pPr>
        <w:ind w:left="862" w:right="2679" w:firstLine="855"/>
        <w:spacing w:after="0" w:line="242" w:lineRule="auto"/>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incurred in the ordinary course of business and other Liens incurred in the ordinary course of business which, in the aggregate, are not substantial in amount, and which do not in any case materially detract from the value of the property subject thereto or interfere with the ordinary conduct of the business of the Borrower or its Subsidiaries;</w:t>
      </w:r>
    </w:p>
    <w:p>
      <w:pPr>
        <w:spacing w:after="0" w:line="187" w:lineRule="exact"/>
        <w:rPr>
          <w:rFonts w:ascii="Courier New" w:cs="Courier New" w:eastAsia="Courier New" w:hAnsi="Courier New"/>
          <w:sz w:val="16"/>
          <w:szCs w:val="16"/>
          <w:color w:val="auto"/>
        </w:rPr>
      </w:pPr>
    </w:p>
    <w:p>
      <w:pPr>
        <w:ind w:left="862" w:right="2879" w:firstLine="855"/>
        <w:spacing w:after="0"/>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resulting from judgments of any court or governmental proceeding, provided such Liens in the aggregate do not constitute an Event of Default under Section 8(h);</w:t>
      </w:r>
    </w:p>
    <w:p>
      <w:pPr>
        <w:spacing w:after="0" w:line="189" w:lineRule="exact"/>
        <w:rPr>
          <w:rFonts w:ascii="Courier New" w:cs="Courier New" w:eastAsia="Courier New" w:hAnsi="Courier New"/>
          <w:sz w:val="16"/>
          <w:szCs w:val="16"/>
          <w:color w:val="auto"/>
        </w:rPr>
      </w:pPr>
    </w:p>
    <w:p>
      <w:pPr>
        <w:ind w:left="862" w:right="2679" w:firstLine="855"/>
        <w:spacing w:after="0"/>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existence on the Effective Date and reflected in the financial statements of the Borrower for the fiscal year ended September 30, 1997 or described in Schedule 7.1(i);</w:t>
      </w:r>
    </w:p>
    <w:p>
      <w:pPr>
        <w:spacing w:after="0" w:line="189" w:lineRule="exact"/>
        <w:rPr>
          <w:rFonts w:ascii="Courier New" w:cs="Courier New" w:eastAsia="Courier New" w:hAnsi="Courier New"/>
          <w:sz w:val="16"/>
          <w:szCs w:val="16"/>
          <w:color w:val="auto"/>
        </w:rPr>
      </w:pPr>
    </w:p>
    <w:p>
      <w:pPr>
        <w:ind w:left="862" w:right="2679" w:firstLine="855"/>
        <w:spacing w:after="0" w:line="241" w:lineRule="auto"/>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landlords or of mortgagees of landlords, arising solely by operation of law, on fixtures located on premises leased in the ordinary course of business, provided that the rental payments secured thereby are not yet due;</w:t>
      </w:r>
    </w:p>
    <w:p>
      <w:pPr>
        <w:spacing w:after="0" w:line="189" w:lineRule="exact"/>
        <w:rPr>
          <w:rFonts w:ascii="Courier New" w:cs="Courier New" w:eastAsia="Courier New" w:hAnsi="Courier New"/>
          <w:sz w:val="16"/>
          <w:szCs w:val="16"/>
          <w:color w:val="auto"/>
        </w:rPr>
      </w:pPr>
    </w:p>
    <w:p>
      <w:pPr>
        <w:ind w:left="862" w:right="3639" w:firstLine="855"/>
        <w:spacing w:after="0" w:line="239" w:lineRule="auto"/>
        <w:tabs>
          <w:tab w:leader="none" w:pos="210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contemplated under Section 1009(v) of the Subordinated Note Indenture.</w:t>
      </w:r>
    </w:p>
    <w:p>
      <w:pPr>
        <w:spacing w:after="0" w:line="189" w:lineRule="exact"/>
        <w:rPr>
          <w:sz w:val="20"/>
          <w:szCs w:val="20"/>
          <w:color w:val="auto"/>
        </w:rPr>
      </w:pPr>
    </w:p>
    <w:p>
      <w:pPr>
        <w:ind w:left="2" w:right="2679" w:firstLine="1717"/>
        <w:spacing w:after="0" w:line="259" w:lineRule="auto"/>
        <w:rPr>
          <w:sz w:val="20"/>
          <w:szCs w:val="20"/>
          <w:color w:val="auto"/>
        </w:rPr>
      </w:pPr>
      <w:r>
        <w:rPr>
          <w:rFonts w:ascii="Courier New" w:cs="Courier New" w:eastAsia="Courier New" w:hAnsi="Courier New"/>
          <w:sz w:val="15"/>
          <w:szCs w:val="15"/>
          <w:color w:val="auto"/>
        </w:rPr>
        <w:t>7.2 Limitation on Contingent Obligations. Agree to or assume, guarantee, indorse or otherwise in any way be or become responsible or liable for, directly or indirectly, any Contingent Obligation except for (i) the guarantees contemplated by the Scotts Guarantee and the Subsidiaries Guarantee,</w:t>
      </w:r>
    </w:p>
    <w:p>
      <w:pPr>
        <w:ind w:left="2" w:right="2599" w:hanging="2"/>
        <w:spacing w:after="0" w:line="241" w:lineRule="auto"/>
        <w:tabs>
          <w:tab w:leader="none" w:pos="47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guarantee by Scotts of Permitted Foreign Debt of any Foreign Subsidiary provided that such Permitted Foreign Debt is not secured by any Liens, (iii) guarantees in existence on the Effective Date as described in Schedule 7.2(iii), and (iv) Contingent Obligations in an aggregate amount not to exceed $10,000,000 at any one time outstanding.</w:t>
      </w:r>
    </w:p>
    <w:p>
      <w:pPr>
        <w:spacing w:after="0" w:line="190" w:lineRule="exact"/>
        <w:rPr>
          <w:sz w:val="20"/>
          <w:szCs w:val="20"/>
          <w:color w:val="auto"/>
        </w:rPr>
      </w:pPr>
    </w:p>
    <w:p>
      <w:pPr>
        <w:ind w:left="2" w:right="2599" w:firstLine="1717"/>
        <w:spacing w:after="0" w:line="242" w:lineRule="auto"/>
        <w:rPr>
          <w:sz w:val="20"/>
          <w:szCs w:val="20"/>
          <w:color w:val="auto"/>
        </w:rPr>
      </w:pPr>
      <w:r>
        <w:rPr>
          <w:rFonts w:ascii="Courier New" w:cs="Courier New" w:eastAsia="Courier New" w:hAnsi="Courier New"/>
          <w:sz w:val="16"/>
          <w:szCs w:val="16"/>
          <w:color w:val="auto"/>
        </w:rPr>
        <w:t>7.3 Limitation on Fundamental Changes. Except as permitted or contemplated by this Agreement or any other Loan Document,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w:t>
      </w:r>
    </w:p>
    <w:p>
      <w:pPr>
        <w:sectPr>
          <w:pgSz w:w="11900" w:h="16838" w:orient="portrait"/>
          <w:cols w:equalWidth="0" w:num="1">
            <w:col w:w="10221"/>
          </w:cols>
          <w:pgMar w:left="238" w:top="298"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68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63</w:t>
      </w:r>
    </w:p>
    <w:p>
      <w:pPr>
        <w:spacing w:after="0" w:line="372"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or stock or other evidence of beneficial ownership of, any Person, or make any material change in the method by which it conducts business, except that:</w:t>
      </w:r>
    </w:p>
    <w:p>
      <w:pPr>
        <w:spacing w:after="0" w:line="189" w:lineRule="exact"/>
        <w:rPr>
          <w:sz w:val="20"/>
          <w:szCs w:val="20"/>
          <w:color w:val="auto"/>
        </w:rPr>
      </w:pPr>
    </w:p>
    <w:p>
      <w:pPr>
        <w:ind w:left="860" w:right="2679" w:firstLine="855"/>
        <w:spacing w:after="0" w:line="262" w:lineRule="auto"/>
        <w:tabs>
          <w:tab w:leader="none" w:pos="21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merged, amalgamated or consolidated with or into the Borrower or any wholly owned Subsidiary of the Borrower (provided that in the case of each such merger or consolidation, the Borrower or such wholly owned Subsidiary, as the case may be, shall be the continuing or surviving corporation);</w:t>
      </w:r>
    </w:p>
    <w:p>
      <w:pPr>
        <w:spacing w:after="0" w:line="172" w:lineRule="exact"/>
        <w:rPr>
          <w:rFonts w:ascii="Courier New" w:cs="Courier New" w:eastAsia="Courier New" w:hAnsi="Courier New"/>
          <w:sz w:val="15"/>
          <w:szCs w:val="15"/>
          <w:color w:val="auto"/>
        </w:rPr>
      </w:pPr>
    </w:p>
    <w:p>
      <w:pPr>
        <w:ind w:left="860" w:right="2599" w:firstLine="855"/>
        <w:spacing w:after="0" w:line="260" w:lineRule="auto"/>
        <w:tabs>
          <w:tab w:leader="none" w:pos="21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 of the Borrower (provided that such wholly owned Subsidiary shall be a Subsidiary Guarantor) or (ii) to any other Person in compliance with subsection 7.9;</w:t>
      </w:r>
    </w:p>
    <w:p>
      <w:pPr>
        <w:spacing w:after="0" w:line="178" w:lineRule="exact"/>
        <w:rPr>
          <w:rFonts w:ascii="Courier New" w:cs="Courier New" w:eastAsia="Courier New" w:hAnsi="Courier New"/>
          <w:sz w:val="15"/>
          <w:szCs w:val="15"/>
          <w:color w:val="auto"/>
        </w:rPr>
      </w:pPr>
    </w:p>
    <w:p>
      <w:pPr>
        <w:ind w:left="860" w:right="2599" w:firstLine="855"/>
        <w:spacing w:after="0" w:line="242" w:lineRule="auto"/>
        <w:tabs>
          <w:tab w:leader="none" w:pos="21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Subsidiary of the Borrower may acquire by purchase or otherwise all or substantially all the business or assets of, or stock or other evidence of beneficial ownership of, any Person (including, without limitation, any Affiliate of the Borrower), in the same or similar line of business as the Borrower or such Subsidiary, as the case may be (provided that (i) the aggregate cash consideration (including the amount of any debt incurred or assumed by the Borrower or such Subsidiary in respect thereof) and the aggregate consideration attributable to one or more equity issuances of the Borrower and paid or payable by the Borrower and its Subsidiaries for all such acquisitions since the Effective Date (but excluding, to the extent completed after the Effective Date, the acquisitions of Levington Group Limited and EarthGro, Inc.) shall not exceed $225,000,000 and (ii) at the time of and immediately after giving effect to any such acquisition, no Default or Event of Default shall have occurred and be continuing).</w:t>
      </w:r>
    </w:p>
    <w:p>
      <w:pPr>
        <w:spacing w:after="0" w:line="194"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7.4 Limitation on Capital Expenditures. Directly or indirectly (by way of the acquisition of the securities of a Person or otherwise) make any expenditure in respect of the purchase or other acquisition of any fixed or capital asset (excluding normal replacements and maintenance which are properly charged to current operations or replacements and maintenance which are payable from the proceeds of insurance received by the Borrower or any of its Subsidiaries) by the expenditure of cash or the incurrence of Indebtedness, except for the purchase or other acquisition in any fiscal year of any such asset the cost of which (or, in the case of any acquisition not in the nature of an ordinary purchase, the book value of the consideration given for which), when aggregated with the costs of all other such assets purchased or otherwise acquired by the Borrower and its Subsidiaries taken as a whole during such fiscal year, does not exceed $50,000,000; provided that (i) if such $50,000,000 is not so utilized during any fiscal year (commencing with the fiscal year ending September 30, 1999), the unutilized amount for such fiscal year may be utilized in the next succeeding fiscal year, but not in any subsequent fiscal year and (ii) Capital Expenditures unutilized during the fiscal year ending on September 30, 1998 up to the amount of $25,000,000 may be utilized during the fiscal year of the Borrower beginning October 1, 1998 but not in any subsequent fiscal year.</w:t>
      </w:r>
    </w:p>
    <w:p>
      <w:pPr>
        <w:sectPr>
          <w:pgSz w:w="11900" w:h="16838" w:orient="portrait"/>
          <w:cols w:equalWidth="0" w:num="1">
            <w:col w:w="10219"/>
          </w:cols>
          <w:pgMar w:left="240" w:top="298"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69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64</w:t>
      </w:r>
    </w:p>
    <w:p>
      <w:pPr>
        <w:spacing w:after="0" w:line="372" w:lineRule="exact"/>
        <w:rPr>
          <w:sz w:val="20"/>
          <w:szCs w:val="20"/>
          <w:color w:val="auto"/>
        </w:rPr>
      </w:pPr>
    </w:p>
    <w:p>
      <w:pPr>
        <w:ind w:right="2599" w:firstLine="1717"/>
        <w:spacing w:after="0" w:line="263" w:lineRule="auto"/>
        <w:rPr>
          <w:sz w:val="20"/>
          <w:szCs w:val="20"/>
          <w:color w:val="auto"/>
        </w:rPr>
      </w:pPr>
      <w:r>
        <w:rPr>
          <w:rFonts w:ascii="Courier New" w:cs="Courier New" w:eastAsia="Courier New" w:hAnsi="Courier New"/>
          <w:sz w:val="15"/>
          <w:szCs w:val="15"/>
          <w:color w:val="auto"/>
        </w:rPr>
        <w:t>7.5 Limitation on Acquisitions, Investments, Loans and Advances. Make or commit to make any advance, loan, extension of credit or capital contribution to, or purchase of stock, bonds, notes, debentures or other securities of any Person, or make any other investment in any Person, except:</w:t>
      </w:r>
    </w:p>
    <w:p>
      <w:pPr>
        <w:spacing w:after="0" w:line="169" w:lineRule="exact"/>
        <w:rPr>
          <w:sz w:val="20"/>
          <w:szCs w:val="20"/>
          <w:color w:val="auto"/>
        </w:rPr>
      </w:pPr>
    </w:p>
    <w:p>
      <w:pPr>
        <w:ind w:left="2100" w:hanging="385"/>
        <w:spacing w:after="0"/>
        <w:tabs>
          <w:tab w:leader="none" w:pos="21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Cash Equivalents;</w:t>
      </w:r>
    </w:p>
    <w:p>
      <w:pPr>
        <w:spacing w:after="0" w:line="188" w:lineRule="exact"/>
        <w:rPr>
          <w:rFonts w:ascii="Courier New" w:cs="Courier New" w:eastAsia="Courier New" w:hAnsi="Courier New"/>
          <w:sz w:val="16"/>
          <w:szCs w:val="16"/>
          <w:color w:val="auto"/>
        </w:rPr>
      </w:pPr>
    </w:p>
    <w:p>
      <w:pPr>
        <w:ind w:left="860" w:right="2779" w:firstLine="855"/>
        <w:spacing w:after="0" w:line="242" w:lineRule="auto"/>
        <w:tabs>
          <w:tab w:leader="none" w:pos="21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officers and directors of the Borrower or any of its Subsidiaries (or employees thereof or manufacturers' representatives provided such loans and advances are approved by an officer of the Borrower) for travel, entertainment and relocation expenses in the ordinary course of business which do not exceed at any time outstanding an aggregate amount in excess of $5,000,000;</w:t>
      </w:r>
    </w:p>
    <w:p>
      <w:pPr>
        <w:spacing w:after="0" w:line="187"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advances to and investments in Subsidiaries, provided that (i) such loans, advances and investments in the aggregate by the Borrower and the Subsidiary Guarantors to any Foreign Subsidiary which is not a Subsidiary Guarantor or a Foreign Subsidiary Borrower shall not exceed $10,000,000 at any time outstanding (after giving effect to returns on investments since the Effective Date) and (ii) the loans, advances and investments in the aggregate by the Borrower and the Subsidiary Guarantors to all Foreign Subsidiaries which are not Subsidiary Guarantors or Foreign Subsidiary Borrowers shall not exceed $50,000,000 at any time outstanding (after giving effect to returns on investments since the Effective Date);</w:t>
      </w:r>
    </w:p>
    <w:p>
      <w:pPr>
        <w:spacing w:after="0" w:line="190" w:lineRule="exact"/>
        <w:rPr>
          <w:rFonts w:ascii="Courier New" w:cs="Courier New" w:eastAsia="Courier New" w:hAnsi="Courier New"/>
          <w:sz w:val="16"/>
          <w:szCs w:val="16"/>
          <w:color w:val="auto"/>
        </w:rPr>
      </w:pPr>
    </w:p>
    <w:p>
      <w:pPr>
        <w:ind w:left="860" w:right="2599" w:firstLine="855"/>
        <w:spacing w:after="0" w:line="263" w:lineRule="auto"/>
        <w:tabs>
          <w:tab w:leader="none" w:pos="21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169" w:lineRule="exact"/>
        <w:rPr>
          <w:rFonts w:ascii="Courier New" w:cs="Courier New" w:eastAsia="Courier New" w:hAnsi="Courier New"/>
          <w:sz w:val="15"/>
          <w:szCs w:val="15"/>
          <w:color w:val="auto"/>
        </w:rPr>
      </w:pPr>
    </w:p>
    <w:p>
      <w:pPr>
        <w:ind w:left="2200" w:hanging="485"/>
        <w:spacing w:after="0"/>
        <w:tabs>
          <w:tab w:leader="none" w:pos="22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otherwise provided pursuant to subsection 7.4; and</w:t>
      </w:r>
    </w:p>
    <w:p>
      <w:pPr>
        <w:spacing w:after="0" w:line="188" w:lineRule="exact"/>
        <w:rPr>
          <w:rFonts w:ascii="Courier New" w:cs="Courier New" w:eastAsia="Courier New" w:hAnsi="Courier New"/>
          <w:sz w:val="16"/>
          <w:szCs w:val="16"/>
          <w:color w:val="auto"/>
        </w:rPr>
      </w:pPr>
    </w:p>
    <w:p>
      <w:pPr>
        <w:ind w:left="860" w:right="2779" w:firstLine="855"/>
        <w:spacing w:after="0"/>
        <w:tabs>
          <w:tab w:leader="none" w:pos="210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not otherwise permitted pursuant to preceding clauses (a) through (f), loans to or investments in Affiliates in an aggregate amount not in excess of $10,000,000.</w:t>
      </w:r>
    </w:p>
    <w:p>
      <w:pPr>
        <w:spacing w:after="0" w:line="190"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7.6 Limitation on Foreign Subsidiary Indebtedness. In the case of any Foreign Subsidiary which is not a Subsidiary Guarantor or a Foreign Subsidiary Borrower, create, incur, assume or suffer to exist any Indebtedness except:</w:t>
      </w:r>
    </w:p>
    <w:p>
      <w:pPr>
        <w:spacing w:after="0" w:line="189" w:lineRule="exact"/>
        <w:rPr>
          <w:sz w:val="20"/>
          <w:szCs w:val="20"/>
          <w:color w:val="auto"/>
        </w:rPr>
      </w:pPr>
    </w:p>
    <w:p>
      <w:pPr>
        <w:ind w:left="860" w:right="2599" w:firstLine="855"/>
        <w:spacing w:after="0" w:line="241" w:lineRule="auto"/>
        <w:tabs>
          <w:tab w:leader="none" w:pos="21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 existence on the Effective Date and listed on Schedule 7.6(a) (and any extensions, renewals or replacements of such Indebtedness so long as the principal amount of such Indebtedness is not increased);</w:t>
      </w:r>
    </w:p>
    <w:p>
      <w:pPr>
        <w:spacing w:after="0" w:line="186" w:lineRule="exact"/>
        <w:rPr>
          <w:rFonts w:ascii="Courier New" w:cs="Courier New" w:eastAsia="Courier New" w:hAnsi="Courier New"/>
          <w:sz w:val="16"/>
          <w:szCs w:val="16"/>
          <w:color w:val="auto"/>
        </w:rPr>
      </w:pPr>
    </w:p>
    <w:p>
      <w:pPr>
        <w:ind w:left="2100" w:hanging="385"/>
        <w:spacing w:after="0"/>
        <w:tabs>
          <w:tab w:leader="none" w:pos="21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under Hedging Agreements entered into with</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 Hedging</w:t>
      </w:r>
    </w:p>
    <w:p>
      <w:pPr>
        <w:sectPr>
          <w:pgSz w:w="11900" w:h="16838" w:orient="portrait"/>
          <w:cols w:equalWidth="0" w:num="1">
            <w:col w:w="10219"/>
          </w:cols>
          <w:pgMar w:left="240" w:top="298"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70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65</w:t>
      </w:r>
    </w:p>
    <w:p>
      <w:pPr>
        <w:spacing w:after="0" w:line="3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Lender in the ordinary course of business;</w:t>
      </w:r>
    </w:p>
    <w:p>
      <w:pPr>
        <w:spacing w:after="0" w:line="186" w:lineRule="exact"/>
        <w:rPr>
          <w:sz w:val="20"/>
          <w:szCs w:val="20"/>
          <w:color w:val="auto"/>
        </w:rPr>
      </w:pPr>
    </w:p>
    <w:p>
      <w:pPr>
        <w:ind w:left="2100" w:hanging="385"/>
        <w:spacing w:after="0"/>
        <w:tabs>
          <w:tab w:leader="none" w:pos="21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contemplated by subsection 7.5(c); and</w:t>
      </w:r>
    </w:p>
    <w:p>
      <w:pPr>
        <w:spacing w:after="0" w:line="188"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indebtedness, provided that (i) the aggregate principal amount of all such Indebtedness of any Foreign Subsidiary which is not a Subsidiary Guarantor or a Foreign Subsidiary Borrower shall not exceed $10,000,000 at any one time outstanding and (ii) the aggregate principal amount of all such Indebtedness of all Foreign Subsidiaries which are not Subsidiary Guarantors or Foreign Subsidiary Borrowers shall not exceed $50,000,000 at any one time outstanding (any Indebtedness incurred pursuant to this subsection 7.6(d), "Permitted Foreign Debt").</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7.7 Limitation on Restrictions on Subsidiary Distributions. Enter into or suffer to exist or become effective any consensual encumbrance or restriction on the ability of any Subsidiary of the Borrower which is not a Subsidiary Guarantor to (a) pay dividends or make any other distributions in respect of any Capital Stock of such Subsidiary held by, or pay any Indebtedness owed to, the Borrower or any other Subsidiary of the Borrower, (b) pay dividends or make any other distributions from a Foreign Subsidiary which is not a Subsidiary Guarantor or a Subsidiary Borrower except in agreements governing Permitted Foreign Debt, (c) make loans or advances to the Borrower or any other Subsidiary of the Borrower or (d) transfer any of its assets to the Borrower or any other Subsidiary of the Borrower, except for such encumbrances or restrictions existing under or by reason of any restrictions with respect to such Subsidiary imposed pursuant to an agreement which has been entered into in connection with the sale or disposition of all or substantially all of the Capital Stock or assets of such Subsidiary.</w:t>
      </w:r>
    </w:p>
    <w:p>
      <w:pPr>
        <w:spacing w:after="0" w:line="193"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7.8 Transactions with Affiliates and Officers. Except for transactions associated with the relocation expenses of officers of the Borrower in the ordinary course of business, (a) enter into any transaction, including, without limitation, the purchase, sale or exchange of property or the rendering of any services, with any Affiliate or any executive officer or director thereof, or enter into, assume or suffer to exist any employment or consulting contract with any Affiliate or any executive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7.5) or any director or executive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executive officer or director thereof; provided that, nothing contained in this subsection 7.8 shall be deemed to prohibit the transactions contemplated by the Miracle-Gro Merger Agreement, including, without limitation, the payment of dividends on, or the redemption of, the Borrower's Class A Convertible Preferred Stock in the exercise of any right of first refusal by the Borrower pursuant to the terms of the Miracle-Gro Merger Agreement.</w:t>
      </w:r>
    </w:p>
    <w:p>
      <w:pPr>
        <w:sectPr>
          <w:pgSz w:w="11900" w:h="16838" w:orient="portrait"/>
          <w:cols w:equalWidth="0" w:num="1">
            <w:col w:w="10219"/>
          </w:cols>
          <w:pgMar w:left="240" w:top="297"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71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66</w:t>
      </w:r>
    </w:p>
    <w:p>
      <w:pPr>
        <w:spacing w:after="0" w:line="369"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7.9 Limitation on Sale of Assets. Except as permitted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contemplated by this Agreement or any other Loan Document, sell, lease, assign,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or otherwise dispose of any of its assets (including, without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receivables and leasehold interests, but excluding obsolete or worn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 property or property (including inventory) disposed of in the ordinary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course of business), whether now owned or hereafter acquired, except that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or any of its Subsidiaries may sell, lease, assign, transfer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otherwise dispose of (a) assets in a single transaction or series of related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provided that the fair market value of all such assets shall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exceed $100,000,000 and (b) other assets provided that (i) the fair market value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all such other assets disposed of in any fiscal year shall not exceed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$25,000,000 in the aggregate (which amount shall be inclusive of amounts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 of transactions pursuant to subsection 7.3(b)(ii), but exclusive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permitted under 7.10), (ii) if such $25,000,000 is not so utilized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any fiscal year (commencing with the fiscal year ending September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the unutilized amount for such fiscal year may be utilized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succeeding fiscal year, but not in any subsequent fiscal year and (iii)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$12,500,000 of the unutilized amount for the fiscal year ending on September 30,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may be utilized for the fiscal year beginning October 1, 1998, but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subsequent fiscal year.</w:t>
      </w:r>
    </w:p>
    <w:p>
      <w:pPr>
        <w:spacing w:after="0" w:line="18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7.10 Sale and Leaseback. Enter into any arrangement with any Person providing for the leasing by the Borrower or any of its Subsidiaries of real or personal property which has been or is to be sold or transferred by the Borrower or any such Subsidiary to such Person or to any other Person to whom funds have been or are to be advanced by such Person on the security of such property or rental obligations of the Borrower or any such Subsidiary, except with respect to any such transactions which in any fiscal year shall not have an aggregate fair market value in excess of $10,000,000.</w:t>
      </w:r>
    </w:p>
    <w:p>
      <w:pPr>
        <w:spacing w:after="0" w:line="189" w:lineRule="exact"/>
        <w:rPr>
          <w:sz w:val="20"/>
          <w:szCs w:val="20"/>
          <w:color w:val="auto"/>
        </w:rPr>
      </w:pPr>
    </w:p>
    <w:p>
      <w:pPr>
        <w:ind w:right="2779" w:firstLine="1717"/>
        <w:spacing w:after="0" w:line="239" w:lineRule="auto"/>
        <w:rPr>
          <w:sz w:val="20"/>
          <w:szCs w:val="20"/>
          <w:color w:val="auto"/>
        </w:rPr>
      </w:pPr>
      <w:r>
        <w:rPr>
          <w:rFonts w:ascii="Courier New" w:cs="Courier New" w:eastAsia="Courier New" w:hAnsi="Courier New"/>
          <w:sz w:val="16"/>
          <w:szCs w:val="16"/>
          <w:color w:val="auto"/>
        </w:rPr>
        <w:t>7.11 Fiscal Year. Permit the fiscal year of the Borrower and its Subsidiaries to end on a day other than September 30.</w:t>
      </w:r>
    </w:p>
    <w:p>
      <w:pPr>
        <w:spacing w:after="0" w:line="370" w:lineRule="exact"/>
        <w:rPr>
          <w:sz w:val="20"/>
          <w:szCs w:val="20"/>
          <w:color w:val="auto"/>
        </w:rPr>
      </w:pPr>
    </w:p>
    <w:p>
      <w:pPr>
        <w:ind w:left="1720"/>
        <w:spacing w:after="0"/>
        <w:tabs>
          <w:tab w:leader="none" w:pos="284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5"/>
          <w:szCs w:val="15"/>
          <w:color w:val="auto"/>
        </w:rPr>
        <w:t>EVENTS OF DEFAULT</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Upon the occurrence of any of the following events:</w:t>
      </w:r>
    </w:p>
    <w:p>
      <w:pPr>
        <w:spacing w:after="0" w:line="188" w:lineRule="exact"/>
        <w:rPr>
          <w:sz w:val="20"/>
          <w:szCs w:val="20"/>
          <w:color w:val="auto"/>
        </w:rPr>
      </w:pPr>
    </w:p>
    <w:p>
      <w:pPr>
        <w:ind w:left="860" w:right="2599" w:firstLine="855"/>
        <w:spacing w:after="0" w:line="260" w:lineRule="auto"/>
        <w:tabs>
          <w:tab w:leader="none" w:pos="21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Borrower shall fail to pay any principal of any Loan or any Reimbursement Obligation within two days after any such amount becomes due in accordance with the terms thereof or hereof (including, without limitation, all amounts of L/C Obligations, whether or not the beneficiaries of the then outstanding Letters of Credit shall have presented the documents required thereunder); or the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175" w:lineRule="exact"/>
        <w:rPr>
          <w:rFonts w:ascii="Courier New" w:cs="Courier New" w:eastAsia="Courier New" w:hAnsi="Courier New"/>
          <w:sz w:val="15"/>
          <w:szCs w:val="15"/>
          <w:color w:val="auto"/>
        </w:rPr>
      </w:pPr>
    </w:p>
    <w:p>
      <w:pPr>
        <w:ind w:left="860" w:right="3059" w:firstLine="855"/>
        <w:spacing w:after="0" w:line="239" w:lineRule="auto"/>
        <w:tabs>
          <w:tab w:leader="none" w:pos="21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Any representation or warranty made or</w:t>
      </w:r>
    </w:p>
    <w:p>
      <w:pPr>
        <w:sectPr>
          <w:pgSz w:w="11900" w:h="16838" w:orient="portrait"/>
          <w:cols w:equalWidth="0" w:num="1">
            <w:col w:w="10219"/>
          </w:cols>
          <w:pgMar w:left="240" w:top="298"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6"/>
          <w:szCs w:val="16"/>
          <w:color w:val="auto"/>
        </w:rPr>
        <w:t>72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67</w:t>
      </w:r>
    </w:p>
    <w:p>
      <w:pPr>
        <w:spacing w:after="0" w:line="372"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deemed made by the Borrower or any of its Subsidiaries in any of the Loan Documents to which it is a party or which is contained in any certificate, document or financial or other statement furnished at any time under or in connection herewith or therewith shall prove to have been incorrect in any material respect on or as of the date made or deemed made; or</w:t>
      </w:r>
    </w:p>
    <w:p>
      <w:pPr>
        <w:spacing w:after="0" w:line="187" w:lineRule="exact"/>
        <w:rPr>
          <w:sz w:val="20"/>
          <w:szCs w:val="20"/>
          <w:color w:val="auto"/>
        </w:rPr>
      </w:pPr>
    </w:p>
    <w:p>
      <w:pPr>
        <w:ind w:left="580" w:right="2979" w:firstLine="855"/>
        <w:spacing w:after="0"/>
        <w:tabs>
          <w:tab w:leader="none" w:pos="18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The Borrower shall default in the observance or performance of any covenant or agreement contained in subsection 2.9(b), subsections 6.8 and 6.9; or</w:t>
      </w:r>
    </w:p>
    <w:p>
      <w:pPr>
        <w:spacing w:after="0" w:line="189" w:lineRule="exact"/>
        <w:rPr>
          <w:rFonts w:ascii="Courier New" w:cs="Courier New" w:eastAsia="Courier New" w:hAnsi="Courier New"/>
          <w:sz w:val="16"/>
          <w:szCs w:val="16"/>
          <w:color w:val="auto"/>
        </w:rPr>
      </w:pPr>
    </w:p>
    <w:p>
      <w:pPr>
        <w:ind w:left="580" w:right="2679" w:firstLine="855"/>
        <w:spacing w:after="0" w:line="242" w:lineRule="auto"/>
        <w:tabs>
          <w:tab w:leader="none" w:pos="18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Covenants. The Borrower or any of its Subsidiaries shall default in the observance or performance of any covenant or agreement (i) contained in subsections 7.3, 7.4, 7.9 or 7.10 and such default shall continue unremedied for a period of 10 days or (ii) contained in this Agreement or in any other Loan Document not referred to in preceding clause (i) or Section 8(c) and such default shall continue unremedied for a period of 30 days; or</w:t>
      </w:r>
    </w:p>
    <w:p>
      <w:pPr>
        <w:spacing w:after="0" w:line="187" w:lineRule="exact"/>
        <w:rPr>
          <w:rFonts w:ascii="Courier New" w:cs="Courier New" w:eastAsia="Courier New" w:hAnsi="Courier New"/>
          <w:sz w:val="16"/>
          <w:szCs w:val="16"/>
          <w:color w:val="auto"/>
        </w:rPr>
      </w:pPr>
    </w:p>
    <w:p>
      <w:pPr>
        <w:ind w:left="580" w:right="2599" w:firstLine="855"/>
        <w:spacing w:after="0" w:line="242" w:lineRule="auto"/>
        <w:tabs>
          <w:tab w:leader="none" w:pos="18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Cross-Default. The Borrower or any of its Material Subsidiaries shall (i) default in any payment of principal of or interest on any Indebtedness (other than the Loans) or in the payment of any Contingent Obligation, the aggregate principal amount of which exceeds $5,000,000, beyond the period of grace (not to exceed 30 days), if any, provided in the instrument or agreement under which such Indebtedness or Contingent Obligation was created; or (ii) default in the observance or performance of any other agreement or condition relating to 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 (iii) any such Indebtedness or Contingent Obligation shall be declared to be due and payable, or required to be prepaid (other than by a regularly scheduled required prepayment) prior to the stated maturity thereof; or</w:t>
      </w:r>
    </w:p>
    <w:p>
      <w:pPr>
        <w:spacing w:after="0" w:line="194" w:lineRule="exact"/>
        <w:rPr>
          <w:rFonts w:ascii="Courier New" w:cs="Courier New" w:eastAsia="Courier New" w:hAnsi="Courier New"/>
          <w:sz w:val="16"/>
          <w:szCs w:val="16"/>
          <w:color w:val="auto"/>
        </w:rPr>
      </w:pPr>
    </w:p>
    <w:p>
      <w:pPr>
        <w:ind w:left="1820" w:hanging="385"/>
        <w:spacing w:after="0"/>
        <w:tabs>
          <w:tab w:leader="none" w:pos="182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of Bankruptcy or Reorganization Proceedings.</w:t>
      </w:r>
    </w:p>
    <w:p>
      <w:pPr>
        <w:spacing w:after="0" w:line="5" w:lineRule="exact"/>
        <w:rPr>
          <w:rFonts w:ascii="Courier New" w:cs="Courier New" w:eastAsia="Courier New" w:hAnsi="Courier New"/>
          <w:sz w:val="16"/>
          <w:szCs w:val="16"/>
          <w:color w:val="auto"/>
        </w:rPr>
      </w:pPr>
    </w:p>
    <w:p>
      <w:pPr>
        <w:ind w:left="580" w:right="2599" w:hanging="4"/>
        <w:spacing w:after="0" w:line="242" w:lineRule="auto"/>
        <w:tabs>
          <w:tab w:leader="none" w:pos="9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or any of its Material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Material Subsidiaries any case, proceeding or other</w:t>
      </w:r>
    </w:p>
    <w:p>
      <w:pPr>
        <w:sectPr>
          <w:pgSz w:w="11900" w:h="16838" w:orient="portrait"/>
          <w:cols w:equalWidth="0" w:num="1">
            <w:col w:w="9939"/>
          </w:cols>
          <w:pgMar w:left="520" w:top="298"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73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68</w:t>
      </w:r>
    </w:p>
    <w:p>
      <w:pPr>
        <w:spacing w:after="0" w:line="372"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Material Subsidiaries shall take any action in furtherance of, or indicating its consent to, approval of, or acquiescence in, any of the acts set forth in clause (i), (ii) or (iii) above; or (v) the Borrower or any of its Material Subsidiaries shall generally not, or shall be unable to, or shall admit in writing its inability to, pay its debts as they become due; or</w:t>
      </w:r>
    </w:p>
    <w:p>
      <w:pPr>
        <w:spacing w:after="0" w:line="194" w:lineRule="exact"/>
        <w:rPr>
          <w:sz w:val="20"/>
          <w:szCs w:val="20"/>
          <w:color w:val="auto"/>
        </w:rPr>
      </w:pPr>
    </w:p>
    <w:p>
      <w:pPr>
        <w:ind w:left="580" w:right="2599" w:firstLine="855"/>
        <w:spacing w:after="0" w:line="259" w:lineRule="auto"/>
        <w:tabs>
          <w:tab w:leader="none" w:pos="18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(i) Any Person shall engage in any "prohibited transaction" (as defined in Section 406 of ERISA or Section 4975 of the Code) involving any Plan, (ii) any "accumulated funding deficiency" (as defined in Section 302 of ERISA), whether or not waived, shall exist with respect to any Plan, (iii) 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 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 (vi) above, such event or condition, together with all other such events or conditions, if any, could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367" w:lineRule="exact"/>
        <w:rPr>
          <w:rFonts w:ascii="Courier New" w:cs="Courier New" w:eastAsia="Courier New" w:hAnsi="Courier New"/>
          <w:sz w:val="15"/>
          <w:szCs w:val="15"/>
          <w:color w:val="auto"/>
        </w:rPr>
      </w:pPr>
    </w:p>
    <w:p>
      <w:pPr>
        <w:ind w:left="580" w:right="2599" w:firstLine="855"/>
        <w:spacing w:after="0" w:line="242" w:lineRule="auto"/>
        <w:tabs>
          <w:tab w:leader="none" w:pos="18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Judgments. One or more judgments or decrees shall be entered against the Borrower or any of its Material Subsidiaries involving in the aggregate a liability (not covered by insurance) of $5,000,000 or more and all such judgments or decrees shall not have been vacated, satisfied, discharged, or stayed or bonded pending appeal within 60 days from the entry thereof; or</w:t>
      </w:r>
    </w:p>
    <w:p>
      <w:pPr>
        <w:spacing w:after="0" w:line="187" w:lineRule="exact"/>
        <w:rPr>
          <w:rFonts w:ascii="Courier New" w:cs="Courier New" w:eastAsia="Courier New" w:hAnsi="Courier New"/>
          <w:sz w:val="16"/>
          <w:szCs w:val="16"/>
          <w:color w:val="auto"/>
        </w:rPr>
      </w:pPr>
    </w:p>
    <w:p>
      <w:pPr>
        <w:ind w:left="580" w:right="2679" w:firstLine="855"/>
        <w:spacing w:after="0"/>
        <w:tabs>
          <w:tab w:leader="none" w:pos="18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 Any Person (other than one or more of the Miracle-Gro, Inc. Shareholders and their Permitted Transferees (as such terms are defined in the</w:t>
      </w:r>
    </w:p>
    <w:p>
      <w:pPr>
        <w:sectPr>
          <w:pgSz w:w="11900" w:h="16838" w:orient="portrait"/>
          <w:cols w:equalWidth="0" w:num="1">
            <w:col w:w="9939"/>
          </w:cols>
          <w:pgMar w:left="520" w:top="298"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74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69</w:t>
      </w:r>
    </w:p>
    <w:p>
      <w:pPr>
        <w:spacing w:after="0" w:line="372" w:lineRule="exact"/>
        <w:rPr>
          <w:sz w:val="20"/>
          <w:szCs w:val="20"/>
          <w:color w:val="auto"/>
        </w:rPr>
      </w:pPr>
    </w:p>
    <w:p>
      <w:pPr>
        <w:ind w:left="860" w:right="2599"/>
        <w:spacing w:after="0" w:line="242" w:lineRule="auto"/>
        <w:rPr>
          <w:sz w:val="20"/>
          <w:szCs w:val="20"/>
          <w:color w:val="auto"/>
        </w:rPr>
      </w:pPr>
      <w:r>
        <w:rPr>
          <w:rFonts w:ascii="Courier New" w:cs="Courier New" w:eastAsia="Courier New" w:hAnsi="Courier New"/>
          <w:sz w:val="16"/>
          <w:szCs w:val="16"/>
          <w:color w:val="auto"/>
        </w:rPr>
        <w:t>Miracle-Gro Merger Agreement)) shall at any time own, directly or indirectly, shares representing more than 30% of the aggregate ordinary voting power represented by the issued and outstanding Capital Stock of the Borrower or (ii) one or more of the Miracle-Gro, Inc. Shareholders or their Permitted Transferees shall at any time own, directly or indirectly, shares representing more than 44% of the aggregate ordinary voting power represented by the issued and outstanding Capital Stock of the Borrower or (iii) a "Change of Control" as defined in Section 1008 of the Subordinated Note Indenture (as in effect on the Effective Date), shall occur;</w:t>
      </w:r>
    </w:p>
    <w:p>
      <w:pPr>
        <w:spacing w:after="0" w:line="190" w:lineRule="exact"/>
        <w:rPr>
          <w:sz w:val="20"/>
          <w:szCs w:val="20"/>
          <w:color w:val="auto"/>
        </w:rPr>
      </w:pPr>
    </w:p>
    <w:p>
      <w:pPr>
        <w:ind w:left="860" w:right="2679" w:firstLine="855"/>
        <w:spacing w:after="0" w:line="241" w:lineRule="auto"/>
        <w:tabs>
          <w:tab w:leader="none" w:pos="21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the Subsidiaries Guarantee. The Subsidiaries Guarantee shall cease for any reason (other than pursuant to the terms and conditions of this Agreement or the other Loan Documents) to be in full force and effect in accordance with its terms or any party thereto shall so assert in writing; or</w:t>
      </w:r>
    </w:p>
    <w:p>
      <w:pPr>
        <w:spacing w:after="0" w:line="190" w:lineRule="exact"/>
        <w:rPr>
          <w:rFonts w:ascii="Courier New" w:cs="Courier New" w:eastAsia="Courier New" w:hAnsi="Courier New"/>
          <w:sz w:val="16"/>
          <w:szCs w:val="16"/>
          <w:color w:val="auto"/>
        </w:rPr>
      </w:pPr>
    </w:p>
    <w:p>
      <w:pPr>
        <w:ind w:left="860" w:right="2599" w:firstLine="855"/>
        <w:spacing w:after="0" w:line="241" w:lineRule="auto"/>
        <w:tabs>
          <w:tab w:leader="none" w:pos="21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the Scotts Guarantee. The Scotts Guarantee shall cease for any reason (other than pursuant to the terms and conditions of this Agreement or the other Loan Documents) to be in full force and effect in accordance with its terms or any party thereto shall so assert in writing;</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then, and in any such event, (a) if such event is an Event of Default specified in paragraph (f) above, automatically the Revolving Credit Commitments, the Swing Line Commitment and the L/C Commitment shall immediately terminate and the Bid Loans, the Swing Line Loans, the Revolving Credit Loans and the Reimbursement Obligations hereunder (with accrued interest thereon), the maximum amount available to be drawn under all outstanding Letters of Credit and all other amounts owing under this Agreement shall immediately become due and payable, and (b) if such event is any other Event of Default and is continuing, either or both of the following actions may be taken: (i) with the consent of the Required Lenders, the Administrative Agent may or upon the request of the Required Lenders, the Administrative Agent shall, by notice to the Borrower, declare the Revolving Credit Commitments, the Swing Line Commitment and the L/C Commitment to be terminated forthwith, whereupon the Revolving Credit Commitments, the Swing Line Commitment and the L/C Commitment shall immediately terminate; and (ii) with the consent of the Required Lenders, the Administrative Agent may or upon the request of the Required Lenders, the Administrative Agent shall, by notice of default to the Borrower, declare the Bid Loans, the Swing Line Loans, the Revolving Credit Loans and the Reimbursement 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200"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With respect to all Letters of Credit for which presentment for honor shall not have occurred at the time of an acceleration pursuant to the preceding paragraph, the Borrower or the relevant Subsidiary Borrower, as the case may be, shall at such time deposit in a cash collateral account opened by the Administrative Agent an amount equal to the aggregate then</w:t>
      </w:r>
    </w:p>
    <w:p>
      <w:pPr>
        <w:sectPr>
          <w:pgSz w:w="11900" w:h="16838" w:orient="portrait"/>
          <w:cols w:equalWidth="0" w:num="1">
            <w:col w:w="10219"/>
          </w:cols>
          <w:pgMar w:left="240" w:top="298"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75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70</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undrawn and unexpired amount of such Letters of Credit. Amounts held in such cash collateral account shall be applied by the Administrative Agent to the payments of drafts drawn under such Letters of Credit, and the unused portion thereof after all such Letters of Credit shall have expired or been fully drawn upon, if any, shall be applied to repay other obligations of the Borrower or such Subsidiary Borrower, as the case may be, hereunder. After all such Letters of Credit shall have expired or been fully drawn upon, all Reimbursement Obligations shall have been satisfied and all other obligations of the Borrower or such Subsidiary Borrower, as the case may be, hereunder shall have been paid in full, the balance, if any, in such cash collateral account shall be returned to the Borrower or such Subsidiary Borrower, as the case may be.</w:t>
      </w:r>
    </w:p>
    <w:p>
      <w:pPr>
        <w:spacing w:after="0" w:line="176" w:lineRule="exact"/>
        <w:rPr>
          <w:sz w:val="20"/>
          <w:szCs w:val="20"/>
          <w:color w:val="auto"/>
        </w:rPr>
      </w:pPr>
    </w:p>
    <w:p>
      <w:pPr>
        <w:ind w:right="3259" w:firstLine="1717"/>
        <w:spacing w:after="0"/>
        <w:rPr>
          <w:sz w:val="20"/>
          <w:szCs w:val="20"/>
          <w:color w:val="auto"/>
        </w:rPr>
      </w:pPr>
      <w:r>
        <w:rPr>
          <w:rFonts w:ascii="Courier New" w:cs="Courier New" w:eastAsia="Courier New" w:hAnsi="Courier New"/>
          <w:sz w:val="16"/>
          <w:szCs w:val="16"/>
          <w:color w:val="auto"/>
        </w:rPr>
        <w:t>Except as expressly provided above in this Section 8, presentment, demand, protest and all other notices of any kind are hereby expressly waived.</w:t>
      </w:r>
    </w:p>
    <w:p>
      <w:pPr>
        <w:spacing w:after="0" w:line="370" w:lineRule="exact"/>
        <w:rPr>
          <w:sz w:val="20"/>
          <w:szCs w:val="20"/>
          <w:color w:val="auto"/>
        </w:rPr>
      </w:pPr>
    </w:p>
    <w:p>
      <w:pPr>
        <w:ind w:left="1720"/>
        <w:spacing w:after="0"/>
        <w:tabs>
          <w:tab w:leader="none" w:pos="284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5"/>
          <w:szCs w:val="15"/>
          <w:color w:val="auto"/>
        </w:rPr>
        <w:t>The Administrative Agent</w:t>
      </w:r>
    </w:p>
    <w:p>
      <w:pPr>
        <w:spacing w:after="0" w:line="188" w:lineRule="exact"/>
        <w:rPr>
          <w:sz w:val="20"/>
          <w:szCs w:val="20"/>
          <w:color w:val="auto"/>
        </w:rPr>
      </w:pPr>
    </w:p>
    <w:p>
      <w:pPr>
        <w:ind w:right="2599" w:firstLine="1717"/>
        <w:spacing w:after="0" w:line="260" w:lineRule="auto"/>
        <w:rPr>
          <w:sz w:val="20"/>
          <w:szCs w:val="20"/>
          <w:color w:val="auto"/>
        </w:rPr>
      </w:pPr>
      <w:r>
        <w:rPr>
          <w:rFonts w:ascii="Courier New" w:cs="Courier New" w:eastAsia="Courier New" w:hAnsi="Courier New"/>
          <w:sz w:val="15"/>
          <w:szCs w:val="15"/>
          <w:color w:val="auto"/>
        </w:rPr>
        <w:t>9.1 Appointment. (a) Each Lender hereby irrevocably designates and appoints Chase Bank as the Administrative Agent of such Lender under this Agreement and the Subsidiaries Guarantee, and each such Lender hereby irrevocably authorizes Chase Bank, as the Administrative Agent for such Lender, to take such action on its behalf under the provisions of this Agreement and the Subsidiaries Guarantee and to exercise such powers and perform such duties as are expressly delegated to the Administrative Agent by the terms of this Agreement and the Subsidiaries Guarantee, together with such other powers as are reasonably incidental thereto. Notwithstanding any provision to the contrary elsewhere in this Agreement or the Subsidiaries Guarantee,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the Subsidiaries Guarantee or otherwise exist against the Administrative Agent.</w:t>
      </w:r>
    </w:p>
    <w:p>
      <w:pPr>
        <w:spacing w:after="0" w:line="357" w:lineRule="exact"/>
        <w:rPr>
          <w:sz w:val="20"/>
          <w:szCs w:val="20"/>
          <w:color w:val="auto"/>
        </w:rPr>
      </w:pPr>
    </w:p>
    <w:p>
      <w:pPr>
        <w:ind w:right="2599" w:firstLine="1715"/>
        <w:spacing w:after="0" w:line="259" w:lineRule="auto"/>
        <w:tabs>
          <w:tab w:leader="none" w:pos="209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proceeds received by the Administrative Agent pursuant to the terms of the Subsidiaries Guarantee shall be applied first to the payment in full of the Obligations and then, after all the Obligations have been paid in full and the Revolving Credit Commitments have been terminated, second to the payment of all obligations of the Borrower or any of its Subsidiaries to any Hedging Lender under any Hedging Agreement provided by such Hedging Lender. Each Hedging Lender agrees that (i) if at any time it shall receive any proceeds pursuant to the terms of the Subsidiaries Guarantee (other than through application by the Administrative Agent in accordance with this subsection</w:t>
      </w:r>
    </w:p>
    <w:p>
      <w:pPr>
        <w:ind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9.1(b)), it shall promptly turn the same over to the Administrative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pacing w:after="0" w:line="187"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9.2 Delegation of Duties. The Administrative Agent may execute any of its duties under this Agreement by or through agents or attorneys-in-fact and shall be entitled to advice of counsel concerning all matters pertaining to such duties. The Administrative Agent</w:t>
      </w:r>
    </w:p>
    <w:p>
      <w:pPr>
        <w:sectPr>
          <w:pgSz w:w="11900" w:h="16838" w:orient="portrait"/>
          <w:cols w:equalWidth="0" w:num="1">
            <w:col w:w="10219"/>
          </w:cols>
          <w:pgMar w:left="240" w:top="298"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76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71</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shall not be responsible for the negligence or misconduct of any agents or attorneys-in-fact selected by it with reasonable care. Without limiting the foregoing, the Administrative Agent may appoint CSI as its agent to perform the functions of the Administrative Agent hereunder relating to the advancing of funds to the Borrower and distribution of funds to the Lenders and to perform such other related functions of the Administrative Agent hereunder as are reasonably incidental to such functions.</w:t>
      </w:r>
    </w:p>
    <w:p>
      <w:pPr>
        <w:spacing w:after="0" w:line="188"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9.3 Exculpatory Provisions. Neither the Administrative Agent nor any of its officers, directors, employees, agents, attorneys-in-fact or affiliates (including, without limitation, CSI) shall be (i) liable for any action lawfully taken or omitted to be taken by it or such Person under or in connection with this Agreement or the Subsidiaries Guarantee (except for its or such Person's own gross negligence or wilful misconduct) or (ii) responsible in any manner to any of the Lenders for any recitals, statements, representations or warranties made by the Borrower or any officer thereof contained in this Agreement or the Subsidiaries Guarantee or in any certificate, report, statement or other document referred to or provided for in, or received by the Administrative Agent under or in connection with, this Agreement or the Subsidiaries Guarantee or for the value, validity, effectiveness, genuineness, enforceability or sufficiency of this Agreement, any Notes or the Subsidiaries Guarantee or for any failure of the Borrower to perform its obligations hereunder or thereunder. Neither the Administrative Agent nor CSI shall be under any obligation to any Lender to ascertain or to inquire as to the observance or performance of any of the agreements contained in, or conditions of, this Agreement or the Subsidiaries Guarantee, or to inspect the properties, books or records of the Borrower.</w:t>
      </w:r>
    </w:p>
    <w:p>
      <w:pPr>
        <w:spacing w:after="0" w:line="196"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9.4 Reliance by Administrative Agent. Each of the Administrative Agent and CSI shall be entitled to rely, and shall be fully protected in relying, upon 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and CSI may deem and treat the payee of any Note as the owner thereof for all purposes unless (a) a written notice of assignment, negotiation or transfer thereof shall have been filed with the Administrative Agent and (b) the Administrative Agent shall have received the written agreement of such assignee that such assignee is bound hereby as it would have been had it been an original Lender party hereto, in each case in form and substance satisfactory to the Administrative Agent. The Administrative Agent shall be fully justified in failing or refusing to take any action under this Agreement or the Subsidiaries Guarantee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 The Administrative Agent and the Issuing Bank shall not be required to give any notice to any Person other than the Borrower or the applicable</w:t>
      </w:r>
    </w:p>
    <w:p>
      <w:pPr>
        <w:sectPr>
          <w:pgSz w:w="11900" w:h="16838" w:orient="portrait"/>
          <w:cols w:equalWidth="0" w:num="1">
            <w:col w:w="10219"/>
          </w:cols>
          <w:pgMar w:left="240" w:top="298"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77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72</w:t>
      </w:r>
    </w:p>
    <w:p>
      <w:pPr>
        <w:spacing w:after="0" w:line="37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Subsidiary Borrower that an automatic extension of a Letter of Credit shall not be effective, unless the Required Lenders otherwise direct.</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9.5 Notice of Default. The Administrative Agent shall not be deemed to have knowledge or notice of the occurrence of any Default or Event of Default hereunder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9.6 Non-Reliance on Administrative Agent, Other Lenders and CSI. Each Lender expressly acknowledges that neither the Administrative Agent nor any of its officers, directors, employees, agents, attorneys-in-fact or affiliates (including, without limitation, CSI) has made any representations or warranties to it and that no act by the Administrative Agent hereinafter taken, including any review of the affairs of the Borrower, shall be deemed to constitute any representation or warranty by the Administrative Agent to any Lender. Each Lender represents to the Administrative Agent and CSI that it has, independently and without reliance upon the Administrative Agent or any other Lender or CSI,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Administrative Agent, CSI or any other Lender, and based on such documents and information as it shall deem appropriate at the time, continue to make its own credit analysis, appraisals and decisions in taking or not taking action under this Agreement or the Subsidiaries Guarantee,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financial and other condition or creditworthiness of the Borrower which may come into the possession of the Administrative Agent or any of its officers, directors, employees, agents, attorneys-in-fact or affiliates.</w:t>
      </w:r>
    </w:p>
    <w:p>
      <w:pPr>
        <w:spacing w:after="0" w:line="202"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9.7 Indemnification. The Lenders agree to indemnify each of the Administrative Agent and CSI in its capacity as such (to the extent not reimbursed by the Borrower and without limiting the obligation of the Borrower to do so), ratably according to the respective amounts of their Revolving Credit Commitments in effect on the date on which indemnification is sought (or, if indemnification is sought after the date upon which the Revolving Credit Commitments shall have terminated and the Loans shall have been paid in full, ratably according to the</w:t>
      </w:r>
    </w:p>
    <w:p>
      <w:pPr>
        <w:sectPr>
          <w:pgSz w:w="11900" w:h="16838" w:orient="portrait"/>
          <w:cols w:equalWidth="0" w:num="1">
            <w:col w:w="10219"/>
          </w:cols>
          <w:pgMar w:left="240" w:top="298"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78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73</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respective amounts of their Revolving Credit Commitments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or CSI in any way relating to or arising out of this Agreement, any of the other Loan Documents, or any documents contemplated by or referred to herein or therein or the transactions contemplated hereby or thereby or any action taken or omitted by the Administrative Agent or CSI under or in connection with any of the foregoing; provided that no Lender shall be liable for any payment of any such liabilities, obligations, losses, damages, penalties, actions, judgments, suits, costs, expenses or disbursements to the extent that they result from the Administrative Agent's or CSI' gross negligence or wilful misconduct. The agreements in this subsection shall survive the payment of the Loans and all other amounts payable hereunder.</w:t>
      </w:r>
    </w:p>
    <w:p>
      <w:pPr>
        <w:spacing w:after="0" w:line="194"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9.8 Administrative Agent in Its Individual Capacity. The Administrative Agent and its Affiliates may make loans to, accept deposits from and generally engage in any kind of business with the Borrower as though the Administrative Agent were not the Administrative Agent hereunder. With respect to its Loans made or renewed by it and any Note issued to it and with respect to any Letter of Credit issued or participated in by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pacing w:after="0" w:line="190"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9.9 Successor Administrative Agent. The Administrative Agent may resign as Administrative Agent upon 30 days' notice to the Lenders. If the Administrative Agent shall resign as Administrative Agent under this Agreement, then the Required Lenders shall appoint from among the Lenders a successor agent for the Lenders (with the approval of the Borrower, which approval shall not be unreasonably withheld), whereupon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holders of the Loans. After any retiring Administrative Agent's resignation hereunder as Administrative Agent, the provisions of this Section 9 shall inure to its benefit as to any actions taken or omitted to be taken by it while it was Administrative Agent under this Agreement.</w:t>
      </w:r>
    </w:p>
    <w:p>
      <w:pPr>
        <w:spacing w:after="0" w:line="193" w:lineRule="exact"/>
        <w:rPr>
          <w:sz w:val="20"/>
          <w:szCs w:val="20"/>
          <w:color w:val="auto"/>
        </w:rPr>
      </w:pPr>
    </w:p>
    <w:p>
      <w:pPr>
        <w:ind w:right="2599" w:firstLine="1717"/>
        <w:spacing w:after="0" w:line="260" w:lineRule="auto"/>
        <w:rPr>
          <w:sz w:val="20"/>
          <w:szCs w:val="20"/>
          <w:color w:val="auto"/>
        </w:rPr>
      </w:pPr>
      <w:r>
        <w:rPr>
          <w:rFonts w:ascii="Courier New" w:cs="Courier New" w:eastAsia="Courier New" w:hAnsi="Courier New"/>
          <w:sz w:val="15"/>
          <w:szCs w:val="15"/>
          <w:color w:val="auto"/>
        </w:rPr>
        <w:t>9.10 The Co-Agents, Documentation Agent and Syndication Agent. The Co-Agents, the Documentation Agent and the Syndication Agent do not assume any responsibility or obligation under this Agreement or any of the other Loan Documents or any duties as agents for the Lenders. The titles "Co-Agent", "Documentation Agent" and "Syndication Agent" imply no fiduciary responsibility on the part of either of the Co-Agents, the Documentation Agent or the Syndication Agent to any Person and the use of such title does not impose on either of the Co-Agents, the Documentation Agent or the Syndication Agent any duties or obligations under this Agreement or any of the other Loan Documents.</w:t>
      </w:r>
    </w:p>
    <w:p>
      <w:pPr>
        <w:sectPr>
          <w:pgSz w:w="11900" w:h="16838" w:orient="portrait"/>
          <w:cols w:equalWidth="0" w:num="1">
            <w:col w:w="10219"/>
          </w:cols>
          <w:pgMar w:left="240" w:top="298"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79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74</w:t>
      </w:r>
    </w:p>
    <w:p>
      <w:pPr>
        <w:spacing w:after="0" w:line="369" w:lineRule="exact"/>
        <w:rPr>
          <w:sz w:val="20"/>
          <w:szCs w:val="20"/>
          <w:color w:val="auto"/>
        </w:rPr>
      </w:pPr>
    </w:p>
    <w:p>
      <w:pPr>
        <w:ind w:left="1720"/>
        <w:spacing w:after="0"/>
        <w:tabs>
          <w:tab w:leader="none" w:pos="2940" w:val="left"/>
        </w:tabs>
        <w:rPr>
          <w:sz w:val="20"/>
          <w:szCs w:val="20"/>
          <w:color w:val="auto"/>
        </w:rPr>
      </w:pPr>
      <w:r>
        <w:rPr>
          <w:rFonts w:ascii="Courier New" w:cs="Courier New" w:eastAsia="Courier New" w:hAnsi="Courier New"/>
          <w:sz w:val="16"/>
          <w:szCs w:val="16"/>
          <w:color w:val="auto"/>
        </w:rPr>
        <w:t>SECTION 10.</w:t>
      </w:r>
      <w:r>
        <w:rPr>
          <w:sz w:val="20"/>
          <w:szCs w:val="20"/>
          <w:color w:val="auto"/>
        </w:rPr>
        <w:tab/>
      </w:r>
      <w:r>
        <w:rPr>
          <w:rFonts w:ascii="Courier New" w:cs="Courier New" w:eastAsia="Courier New" w:hAnsi="Courier New"/>
          <w:sz w:val="15"/>
          <w:szCs w:val="15"/>
          <w:color w:val="auto"/>
        </w:rPr>
        <w:t>MISCELLANEOUS</w:t>
      </w:r>
    </w:p>
    <w:p>
      <w:pPr>
        <w:spacing w:after="0" w:line="188"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10.1 Amendments and Waivers. (a) The Administrative Agent and the Borrower may, from time to time, with the written consent of the Required Lenders, enter into written amendments, supplements or modifications for the purpose of adding any provisions to this Agreement, the Subsidiaries Guarantee or any other Loan Document or changing in any manner the rights of the Lenders or the Borrower hereunder or thereunder, and, with the consent of the Required Lenders, the Administrative Agent, on behalf of the Lenders, may execute and deliver to the Borrower a written instrument waiving, on such terms and conditions as the Administrative Agent may specify in such instrument, any of the requirements of this Agreement or any other Loan Document or any Default or Event of Default and its consequences; provided, however, that no such waiver and no such amendment, supplement or modification shall (a) extend the final maturity of any Loan or reduce the rate or extend the time of payment of interest or fees thereon, or reduce the principal amount thereof, or change the amount or terms of any Lender's Revolving Credit Commitment, or amend, modify or waive any provision of this subsection, or reduce the percentage specified in the definition of Required Lenders, or consent to the assignment or transfer by the Borrower or any Subsidiary Borrower of any of its rights and obligations under this Agreement, or release the Scotts Guarantee or all or substantially all of the guarantee obligations under the Subsidiaries Guarantee, in each case without the written consent of each Lender affected thereby, (b) amend, modify or waive any provision of Section 9 without the written consent of the then Administrative Agent, or (c) amend, modify or waive the provisions of any Letters of Credit or Reimbursement Obligation, without the written consent of the Borrower and the Issuing Lender. Any such waiver and any such amendment, supplement or modification shall be binding upon the Borrower, the Lenders and all future holders of the Loans. 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It is agreed that any amendment, modification or waiver increasing any of the Optional Currency limits set forth in the first sentence of subsection</w:t>
      </w:r>
    </w:p>
    <w:p>
      <w:pPr>
        <w:spacing w:after="0" w:line="185"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2.1 requires the consent of (x) the Required Lenders including (y) each Lender which is to participate in the Revolving Credit Loans in Optional Currency in excess of such amount as in effect on the date hereof (it being understood that to the extent that not all of the Lenders consent to so participate, such amendment, modification or waiver may contain provisions permitting Revolving Credit Loans to be made on a non pro rata basis among the Lenders in a manner recommended by the Administrative Agent to permit effective utilization by the Borrower and the Subsidiary Borrowers of all the Revolving Credit Commitments).</w:t>
      </w:r>
    </w:p>
    <w:p>
      <w:pPr>
        <w:spacing w:after="0" w:line="178" w:lineRule="exact"/>
        <w:rPr>
          <w:sz w:val="20"/>
          <w:szCs w:val="20"/>
          <w:color w:val="auto"/>
        </w:rPr>
      </w:pPr>
    </w:p>
    <w:p>
      <w:pPr>
        <w:ind w:right="2879" w:firstLine="1715"/>
        <w:spacing w:after="0"/>
        <w:tabs>
          <w:tab w:leader="none" w:pos="209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amended without consent of the Lenders, so long as no Default or Event of Default shall have occurred and be continuing, as follows:</w:t>
      </w:r>
    </w:p>
    <w:p>
      <w:pPr>
        <w:spacing w:after="0" w:line="190" w:lineRule="exact"/>
        <w:rPr>
          <w:sz w:val="20"/>
          <w:szCs w:val="20"/>
          <w:color w:val="auto"/>
        </w:rPr>
      </w:pPr>
    </w:p>
    <w:p>
      <w:pPr>
        <w:ind w:left="860" w:right="2679" w:firstLine="855"/>
        <w:spacing w:after="0" w:line="241" w:lineRule="auto"/>
        <w:tabs>
          <w:tab w:leader="none" w:pos="21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amended to add Subsidiaries as additional Subsidiary Borrowers upon (x) execution and delivery by the Borrower, such additional Subsidiary Borrowers and the Administrative Agent, of a Joinder Agreement,</w:t>
      </w:r>
    </w:p>
    <w:p>
      <w:pPr>
        <w:sectPr>
          <w:pgSz w:w="11900" w:h="16838" w:orient="portrait"/>
          <w:cols w:equalWidth="0" w:num="1">
            <w:col w:w="10219"/>
          </w:cols>
          <w:pgMar w:left="240" w:top="298"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80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75</w:t>
      </w:r>
    </w:p>
    <w:p>
      <w:pPr>
        <w:spacing w:after="0" w:line="372" w:lineRule="exact"/>
        <w:rPr>
          <w:sz w:val="20"/>
          <w:szCs w:val="20"/>
          <w:color w:val="auto"/>
        </w:rPr>
      </w:pPr>
    </w:p>
    <w:p>
      <w:pPr>
        <w:ind w:left="860" w:right="2599"/>
        <w:spacing w:after="0" w:line="259" w:lineRule="auto"/>
        <w:rPr>
          <w:sz w:val="20"/>
          <w:szCs w:val="20"/>
          <w:color w:val="auto"/>
        </w:rPr>
      </w:pPr>
      <w:r>
        <w:rPr>
          <w:rFonts w:ascii="Courier New" w:cs="Courier New" w:eastAsia="Courier New" w:hAnsi="Courier New"/>
          <w:sz w:val="15"/>
          <w:szCs w:val="15"/>
          <w:color w:val="auto"/>
        </w:rPr>
        <w:t>substantially in the form of Exhibit O (a "Joinder Agreement"), providing for such Subsidiaries to become Subsidiary Borrowers, (y) agreement and acknowledgement by The Scotts Company and such additional Subsidiaries that the Scotts Guarantee covers the obligations of such additional Subsidiaries and (z) delivery to the Administrative Agent of</w:t>
      </w:r>
    </w:p>
    <w:p>
      <w:pPr>
        <w:ind w:left="860" w:right="2679" w:hanging="4"/>
        <w:spacing w:after="0" w:line="242" w:lineRule="auto"/>
        <w:tabs>
          <w:tab w:leader="none" w:pos="124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resolutions, other corporate documents, certificates and legal opinions in respect of such additional Subsidiary Borrowers substantially equivalent to comparable documents delivered on the Effective Date in respect of the Subsidiary Borrowers party to this Agreement on the Effective Date and (2) such other documents with respect thereto as the Administrative Agent shall reasonably request.</w:t>
      </w:r>
    </w:p>
    <w:p>
      <w:pPr>
        <w:spacing w:after="0" w:line="187" w:lineRule="exact"/>
        <w:rPr>
          <w:rFonts w:ascii="Courier New" w:cs="Courier New" w:eastAsia="Courier New" w:hAnsi="Courier New"/>
          <w:sz w:val="16"/>
          <w:szCs w:val="16"/>
          <w:color w:val="auto"/>
        </w:rPr>
      </w:pPr>
    </w:p>
    <w:p>
      <w:pPr>
        <w:ind w:left="860" w:right="2599" w:firstLine="855"/>
        <w:spacing w:after="0" w:line="242" w:lineRule="auto"/>
        <w:tabs>
          <w:tab w:leader="none" w:pos="2195"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will be amended 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Letters of Credit issued for the account of such Subsidiary Borrower and repayment in full of all other amounts owing by such Subsidiary Borrower under this Agreement and the other Loan Documents.</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10.2 Notices. Subject to the provisions of subsection 2.2(a), all notices, requests and demands to or upon the respective parties hereto to be effective shall be in writing or by telecopy and, unless otherwise expressly provided herein, shall be deemed to have been duly given or made when delivered by hand, or when deposited in the mail, postage prepaid, or, in the case of telecopy notice, when received, addressed as follows in the case of the Borrower and each of the Subsidiary Borrowers and the Administrative Agent, and as set forth in Schedule 10.2 in the case of the Lenders, or to such address or other address as may be hereafter notified by the respective parties hereto and any future holders of the Loans: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20" w:type="dxa"/>
            <w:vAlign w:val="bottom"/>
          </w:tcPr>
          <w:p>
            <w:pPr>
              <w:spacing w:after="0"/>
              <w:rPr>
                <w:sz w:val="20"/>
                <w:szCs w:val="20"/>
                <w:color w:val="auto"/>
              </w:rPr>
            </w:pPr>
            <w:r>
              <w:rPr>
                <w:rFonts w:ascii="Courier New" w:cs="Courier New" w:eastAsia="Courier New" w:hAnsi="Courier New"/>
                <w:sz w:val="16"/>
                <w:szCs w:val="16"/>
                <w:color w:val="auto"/>
              </w:rPr>
              <w:t>The Borrower:</w:t>
            </w:r>
          </w:p>
        </w:tc>
        <w:tc>
          <w:tcPr>
            <w:tcW w:w="3880" w:type="dxa"/>
            <w:vAlign w:val="bottom"/>
            <w:gridSpan w:val="3"/>
          </w:tcPr>
          <w:p>
            <w:pPr>
              <w:ind w:left="1200"/>
              <w:spacing w:after="0"/>
              <w:rPr>
                <w:sz w:val="20"/>
                <w:szCs w:val="20"/>
                <w:color w:val="auto"/>
              </w:rPr>
            </w:pPr>
            <w:r>
              <w:rPr>
                <w:rFonts w:ascii="Courier New" w:cs="Courier New" w:eastAsia="Courier New" w:hAnsi="Courier New"/>
                <w:sz w:val="16"/>
                <w:szCs w:val="16"/>
                <w:color w:val="auto"/>
              </w:rPr>
              <w:t>The Scotts Company</w:t>
            </w:r>
          </w:p>
        </w:tc>
      </w:tr>
      <w:tr>
        <w:trPr>
          <w:trHeight w:val="183"/>
        </w:trPr>
        <w:tc>
          <w:tcPr>
            <w:tcW w:w="2420" w:type="dxa"/>
            <w:vAlign w:val="bottom"/>
          </w:tcPr>
          <w:p>
            <w:pPr>
              <w:spacing w:after="0"/>
              <w:rPr>
                <w:sz w:val="15"/>
                <w:szCs w:val="15"/>
                <w:color w:val="auto"/>
              </w:rPr>
            </w:pPr>
          </w:p>
        </w:tc>
        <w:tc>
          <w:tcPr>
            <w:tcW w:w="278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14111 Scottslawn</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Road</w:t>
            </w:r>
          </w:p>
        </w:tc>
      </w:tr>
      <w:tr>
        <w:trPr>
          <w:trHeight w:val="183"/>
        </w:trPr>
        <w:tc>
          <w:tcPr>
            <w:tcW w:w="2420" w:type="dxa"/>
            <w:vAlign w:val="bottom"/>
          </w:tcPr>
          <w:p>
            <w:pPr>
              <w:spacing w:after="0"/>
              <w:rPr>
                <w:sz w:val="15"/>
                <w:szCs w:val="15"/>
                <w:color w:val="auto"/>
              </w:rPr>
            </w:pPr>
          </w:p>
        </w:tc>
        <w:tc>
          <w:tcPr>
            <w:tcW w:w="2260" w:type="dxa"/>
            <w:vAlign w:val="bottom"/>
          </w:tcPr>
          <w:p>
            <w:pPr>
              <w:ind w:left="1200"/>
              <w:spacing w:after="0"/>
              <w:rPr>
                <w:sz w:val="20"/>
                <w:szCs w:val="20"/>
                <w:color w:val="auto"/>
              </w:rPr>
            </w:pPr>
            <w:r>
              <w:rPr>
                <w:rFonts w:ascii="Courier New" w:cs="Courier New" w:eastAsia="Courier New" w:hAnsi="Courier New"/>
                <w:sz w:val="16"/>
                <w:szCs w:val="16"/>
                <w:color w:val="auto"/>
                <w:w w:val="98"/>
              </w:rPr>
              <w:t>Marysville,</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Ohio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43041</w:t>
            </w:r>
          </w:p>
        </w:tc>
      </w:tr>
      <w:tr>
        <w:trPr>
          <w:trHeight w:val="183"/>
        </w:trPr>
        <w:tc>
          <w:tcPr>
            <w:tcW w:w="2420" w:type="dxa"/>
            <w:vAlign w:val="bottom"/>
          </w:tcPr>
          <w:p>
            <w:pPr>
              <w:spacing w:after="0"/>
              <w:rPr>
                <w:sz w:val="15"/>
                <w:szCs w:val="15"/>
                <w:color w:val="auto"/>
              </w:rPr>
            </w:pPr>
          </w:p>
        </w:tc>
        <w:tc>
          <w:tcPr>
            <w:tcW w:w="2260" w:type="dxa"/>
            <w:vAlign w:val="bottom"/>
          </w:tcPr>
          <w:p>
            <w:pPr>
              <w:ind w:left="1200"/>
              <w:spacing w:after="0"/>
              <w:rPr>
                <w:sz w:val="20"/>
                <w:szCs w:val="20"/>
                <w:color w:val="auto"/>
              </w:rPr>
            </w:pPr>
            <w:r>
              <w:rPr>
                <w:rFonts w:ascii="Courier New" w:cs="Courier New" w:eastAsia="Courier New" w:hAnsi="Courier New"/>
                <w:sz w:val="16"/>
                <w:szCs w:val="16"/>
                <w:color w:val="auto"/>
                <w:w w:val="98"/>
              </w:rPr>
              <w:t>Attn.:  Ms.</w:t>
            </w:r>
          </w:p>
        </w:tc>
        <w:tc>
          <w:tcPr>
            <w:tcW w:w="16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Rebecca Bruening</w:t>
            </w:r>
          </w:p>
        </w:tc>
      </w:tr>
      <w:tr>
        <w:trPr>
          <w:trHeight w:val="183"/>
        </w:trPr>
        <w:tc>
          <w:tcPr>
            <w:tcW w:w="2420" w:type="dxa"/>
            <w:vAlign w:val="bottom"/>
          </w:tcPr>
          <w:p>
            <w:pPr>
              <w:spacing w:after="0"/>
              <w:rPr>
                <w:sz w:val="15"/>
                <w:szCs w:val="15"/>
                <w:color w:val="auto"/>
              </w:rPr>
            </w:pPr>
          </w:p>
        </w:tc>
        <w:tc>
          <w:tcPr>
            <w:tcW w:w="2260" w:type="dxa"/>
            <w:vAlign w:val="bottom"/>
          </w:tcPr>
          <w:p>
            <w:pPr>
              <w:ind w:left="1200"/>
              <w:spacing w:after="0"/>
              <w:rPr>
                <w:sz w:val="20"/>
                <w:szCs w:val="20"/>
                <w:color w:val="auto"/>
              </w:rPr>
            </w:pPr>
            <w:r>
              <w:rPr>
                <w:rFonts w:ascii="Courier New" w:cs="Courier New" w:eastAsia="Courier New" w:hAnsi="Courier New"/>
                <w:sz w:val="16"/>
                <w:szCs w:val="16"/>
                <w:color w:val="auto"/>
              </w:rPr>
              <w:t>Telephone:</w:t>
            </w:r>
          </w:p>
        </w:tc>
        <w:tc>
          <w:tcPr>
            <w:tcW w:w="16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2420" w:type="dxa"/>
            <w:vAlign w:val="bottom"/>
          </w:tcPr>
          <w:p>
            <w:pPr>
              <w:spacing w:after="0"/>
              <w:rPr>
                <w:sz w:val="15"/>
                <w:szCs w:val="15"/>
                <w:color w:val="auto"/>
              </w:rPr>
            </w:pPr>
          </w:p>
        </w:tc>
        <w:tc>
          <w:tcPr>
            <w:tcW w:w="2260" w:type="dxa"/>
            <w:vAlign w:val="bottom"/>
          </w:tcPr>
          <w:p>
            <w:pPr>
              <w:ind w:left="1200"/>
              <w:spacing w:after="0"/>
              <w:rPr>
                <w:sz w:val="20"/>
                <w:szCs w:val="20"/>
                <w:color w:val="auto"/>
              </w:rPr>
            </w:pPr>
            <w:r>
              <w:rPr>
                <w:rFonts w:ascii="Courier New" w:cs="Courier New" w:eastAsia="Courier New" w:hAnsi="Courier New"/>
                <w:sz w:val="16"/>
                <w:szCs w:val="16"/>
                <w:color w:val="auto"/>
              </w:rPr>
              <w:t>Telecopy: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(937)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644-7184</w:t>
            </w:r>
          </w:p>
        </w:tc>
      </w:tr>
    </w:tbl>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Vorys, Sater, Seymour and</w:t>
      </w:r>
    </w:p>
    <w:p>
      <w:pPr>
        <w:spacing w:after="0" w:line="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Pease LLP</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52 East Gay Street</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Columbus, Ohio 43216-1008</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Attn: Thomas O. Ruby, Esq. and</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John B. Weimer, Esq.</w:t>
      </w:r>
    </w:p>
    <w:p>
      <w:pPr>
        <w:spacing w:after="0" w:line="2" w:lineRule="exact"/>
        <w:rPr>
          <w:sz w:val="20"/>
          <w:szCs w:val="20"/>
          <w:color w:val="auto"/>
        </w:rPr>
      </w:pPr>
    </w:p>
    <w:p>
      <w:pPr>
        <w:ind w:left="4480"/>
        <w:spacing w:after="0"/>
        <w:tabs>
          <w:tab w:leader="none" w:pos="5600" w:val="left"/>
        </w:tabs>
        <w:rPr>
          <w:sz w:val="20"/>
          <w:szCs w:val="20"/>
          <w:color w:val="auto"/>
        </w:rPr>
      </w:pPr>
      <w:r>
        <w:rPr>
          <w:rFonts w:ascii="Courier New" w:cs="Courier New" w:eastAsia="Courier New" w:hAnsi="Courier New"/>
          <w:sz w:val="16"/>
          <w:szCs w:val="16"/>
          <w:color w:val="auto"/>
        </w:rPr>
        <w:t>Telephone:</w:t>
        <w:tab/>
        <w:t>(614) 464-5698</w:t>
      </w:r>
    </w:p>
    <w:p>
      <w:pPr>
        <w:spacing w:after="0" w:line="2" w:lineRule="exact"/>
        <w:rPr>
          <w:sz w:val="20"/>
          <w:szCs w:val="20"/>
          <w:color w:val="auto"/>
        </w:rPr>
      </w:pPr>
    </w:p>
    <w:p>
      <w:pPr>
        <w:ind w:left="4480"/>
        <w:spacing w:after="0"/>
        <w:tabs>
          <w:tab w:leader="none" w:pos="5500" w:val="left"/>
        </w:tabs>
        <w:rPr>
          <w:sz w:val="20"/>
          <w:szCs w:val="20"/>
          <w:color w:val="auto"/>
        </w:rPr>
      </w:pPr>
      <w:r>
        <w:rPr>
          <w:rFonts w:ascii="Courier New" w:cs="Courier New" w:eastAsia="Courier New" w:hAnsi="Courier New"/>
          <w:sz w:val="16"/>
          <w:szCs w:val="16"/>
          <w:color w:val="auto"/>
        </w:rPr>
        <w:t>Telecopy:</w:t>
        <w:tab/>
        <w:t>(614) 464-6350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 Scott International</w:t>
      </w:r>
    </w:p>
    <w:p>
      <w:pPr>
        <w:sectPr>
          <w:pgSz w:w="11900" w:h="16838" w:orient="portrait"/>
          <w:cols w:equalWidth="0" w:num="1">
            <w:col w:w="10219"/>
          </w:cols>
          <w:pgMar w:left="240" w:top="298"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81</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7" w:right="1440" w:bottom="1440" w:gutter="0" w:footer="0" w:header="0"/>
        </w:sect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Limited: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5"/>
          <w:szCs w:val="15"/>
          <w:color w:val="auto"/>
        </w:rPr>
        <w:t>Attn.:</w:t>
        <w:tab/>
        <w:t>Ms. Rebecca Bruening</w:t>
      </w:r>
    </w:p>
    <w:p>
      <w:pPr>
        <w:spacing w:after="0" w:line="11" w:lineRule="exact"/>
        <w:rPr>
          <w:sz w:val="20"/>
          <w:szCs w:val="20"/>
          <w:color w:val="auto"/>
        </w:rPr>
      </w:pPr>
    </w:p>
    <w:p>
      <w:pPr>
        <w:sectPr>
          <w:pgSz w:w="11900" w:h="16838" w:orient="portrait"/>
          <w:cols w:equalWidth="0" w:num="2">
            <w:col w:w="3280" w:space="720"/>
            <w:col w:w="6219"/>
          </w:cols>
          <w:pgMar w:left="240" w:top="297" w:right="1440"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Telephone:</w:t>
            </w:r>
          </w:p>
        </w:tc>
        <w:tc>
          <w:tcPr>
            <w:tcW w:w="24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Telecopy:</w:t>
            </w:r>
          </w:p>
        </w:tc>
        <w:tc>
          <w:tcPr>
            <w:tcW w:w="2440" w:type="dxa"/>
            <w:vAlign w:val="bottom"/>
            <w:gridSpan w:val="2"/>
          </w:tcPr>
          <w:p>
            <w:pPr>
              <w:jc w:val="center"/>
              <w:ind w:right="921"/>
              <w:spacing w:after="0"/>
              <w:rPr>
                <w:sz w:val="20"/>
                <w:szCs w:val="20"/>
                <w:color w:val="auto"/>
              </w:rPr>
            </w:pPr>
            <w:r>
              <w:rPr>
                <w:rFonts w:ascii="Courier New" w:cs="Courier New" w:eastAsia="Courier New" w:hAnsi="Courier New"/>
                <w:sz w:val="16"/>
                <w:szCs w:val="16"/>
                <w:color w:val="auto"/>
                <w:w w:val="98"/>
              </w:rPr>
              <w:t>(937) 644-7184</w:t>
            </w:r>
          </w:p>
        </w:tc>
      </w:tr>
      <w:tr>
        <w:trPr>
          <w:trHeight w:val="367"/>
        </w:trPr>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With a copy sent to:</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Address: same as above</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Attn: G. Robert Lucas, Esq.</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Telephone: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(937) 644-7450</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Telecopy:</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(937) 644-7568</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Miracle Garden Care Limited:</w:t>
            </w:r>
          </w:p>
        </w:tc>
        <w:tc>
          <w:tcPr>
            <w:tcW w:w="25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Scotts Company</w:t>
            </w:r>
          </w:p>
        </w:tc>
        <w:tc>
          <w:tcPr>
            <w:tcW w:w="158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14111 Scottslawn Road</w:t>
            </w: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Marysville, Ohio 43041</w:t>
            </w:r>
          </w:p>
        </w:tc>
      </w:tr>
      <w:tr>
        <w:trPr>
          <w:trHeight w:val="183"/>
        </w:trPr>
        <w:tc>
          <w:tcPr>
            <w:tcW w:w="334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Attn.:</w:t>
            </w:r>
          </w:p>
        </w:tc>
        <w:tc>
          <w:tcPr>
            <w:tcW w:w="2760" w:type="dxa"/>
            <w:vAlign w:val="bottom"/>
            <w:gridSpan w:val="3"/>
          </w:tcPr>
          <w:p>
            <w:pPr>
              <w:jc w:val="center"/>
              <w:ind w:right="601"/>
              <w:spacing w:after="0"/>
              <w:rPr>
                <w:sz w:val="20"/>
                <w:szCs w:val="20"/>
                <w:color w:val="auto"/>
              </w:rPr>
            </w:pPr>
            <w:r>
              <w:rPr>
                <w:rFonts w:ascii="Courier New" w:cs="Courier New" w:eastAsia="Courier New" w:hAnsi="Courier New"/>
                <w:sz w:val="16"/>
                <w:szCs w:val="16"/>
                <w:color w:val="auto"/>
                <w:w w:val="99"/>
              </w:rPr>
              <w:t>Ms. Rebecca Bruening</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Telephone:</w:t>
            </w:r>
          </w:p>
        </w:tc>
        <w:tc>
          <w:tcPr>
            <w:tcW w:w="24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Telecopy:</w:t>
            </w:r>
          </w:p>
        </w:tc>
        <w:tc>
          <w:tcPr>
            <w:tcW w:w="2440" w:type="dxa"/>
            <w:vAlign w:val="bottom"/>
            <w:gridSpan w:val="2"/>
          </w:tcPr>
          <w:p>
            <w:pPr>
              <w:jc w:val="center"/>
              <w:ind w:right="921"/>
              <w:spacing w:after="0"/>
              <w:rPr>
                <w:sz w:val="20"/>
                <w:szCs w:val="20"/>
                <w:color w:val="auto"/>
              </w:rPr>
            </w:pPr>
            <w:r>
              <w:rPr>
                <w:rFonts w:ascii="Courier New" w:cs="Courier New" w:eastAsia="Courier New" w:hAnsi="Courier New"/>
                <w:sz w:val="16"/>
                <w:szCs w:val="16"/>
                <w:color w:val="auto"/>
                <w:w w:val="98"/>
              </w:rPr>
              <w:t>(937) 644-7184</w:t>
            </w:r>
          </w:p>
        </w:tc>
      </w:tr>
      <w:tr>
        <w:trPr>
          <w:trHeight w:val="367"/>
        </w:trPr>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With a copy sent to:</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Address: same as above</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Attn: G. Robert Lucas, Esq.</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Telephone: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(937) 644-7450</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Telecopy:</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(937) 644-7568</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Scotts Holdings Limited:</w:t>
            </w:r>
          </w:p>
        </w:tc>
        <w:tc>
          <w:tcPr>
            <w:tcW w:w="25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Scotts Company</w:t>
            </w:r>
          </w:p>
        </w:tc>
        <w:tc>
          <w:tcPr>
            <w:tcW w:w="158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14111 Scottslawn Road</w:t>
            </w: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Marysville, Ohio 43041</w:t>
            </w:r>
          </w:p>
        </w:tc>
      </w:tr>
      <w:tr>
        <w:trPr>
          <w:trHeight w:val="183"/>
        </w:trPr>
        <w:tc>
          <w:tcPr>
            <w:tcW w:w="334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Attn.:</w:t>
            </w:r>
          </w:p>
        </w:tc>
        <w:tc>
          <w:tcPr>
            <w:tcW w:w="2760" w:type="dxa"/>
            <w:vAlign w:val="bottom"/>
            <w:gridSpan w:val="3"/>
          </w:tcPr>
          <w:p>
            <w:pPr>
              <w:jc w:val="center"/>
              <w:ind w:right="601"/>
              <w:spacing w:after="0"/>
              <w:rPr>
                <w:sz w:val="20"/>
                <w:szCs w:val="20"/>
                <w:color w:val="auto"/>
              </w:rPr>
            </w:pPr>
            <w:r>
              <w:rPr>
                <w:rFonts w:ascii="Courier New" w:cs="Courier New" w:eastAsia="Courier New" w:hAnsi="Courier New"/>
                <w:sz w:val="16"/>
                <w:szCs w:val="16"/>
                <w:color w:val="auto"/>
                <w:w w:val="99"/>
              </w:rPr>
              <w:t>Ms. Rebecca Bruening</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Telephone:</w:t>
            </w:r>
          </w:p>
        </w:tc>
        <w:tc>
          <w:tcPr>
            <w:tcW w:w="24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Telecopy:</w:t>
            </w:r>
          </w:p>
        </w:tc>
        <w:tc>
          <w:tcPr>
            <w:tcW w:w="2440" w:type="dxa"/>
            <w:vAlign w:val="bottom"/>
            <w:gridSpan w:val="2"/>
          </w:tcPr>
          <w:p>
            <w:pPr>
              <w:jc w:val="center"/>
              <w:ind w:right="921"/>
              <w:spacing w:after="0"/>
              <w:rPr>
                <w:sz w:val="20"/>
                <w:szCs w:val="20"/>
                <w:color w:val="auto"/>
              </w:rPr>
            </w:pPr>
            <w:r>
              <w:rPr>
                <w:rFonts w:ascii="Courier New" w:cs="Courier New" w:eastAsia="Courier New" w:hAnsi="Courier New"/>
                <w:sz w:val="16"/>
                <w:szCs w:val="16"/>
                <w:color w:val="auto"/>
                <w:w w:val="98"/>
              </w:rPr>
              <w:t>(937) 644-7184</w:t>
            </w:r>
          </w:p>
        </w:tc>
      </w:tr>
      <w:tr>
        <w:trPr>
          <w:trHeight w:val="367"/>
        </w:trPr>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With a copy sent to:</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Address: same as above</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8"/>
              </w:rPr>
              <w:t>Attn: G. Robert Lucas, Esq.</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Telephone:</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(937) 644-7450</w:t>
            </w:r>
          </w:p>
        </w:tc>
      </w:tr>
      <w:tr>
        <w:trPr>
          <w:trHeight w:val="183"/>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Telecopy:</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(937) 644-7568</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Hyponex Corporation:</w:t>
            </w:r>
          </w:p>
        </w:tc>
        <w:tc>
          <w:tcPr>
            <w:tcW w:w="252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Scotts Company</w:t>
            </w:r>
          </w:p>
        </w:tc>
        <w:tc>
          <w:tcPr>
            <w:tcW w:w="1580" w:type="dxa"/>
            <w:vAlign w:val="bottom"/>
          </w:tcPr>
          <w:p>
            <w:pPr>
              <w:spacing w:after="0"/>
              <w:rPr>
                <w:sz w:val="24"/>
                <w:szCs w:val="24"/>
                <w:color w:val="auto"/>
              </w:rPr>
            </w:pP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14111 Scottslawn Road</w:t>
            </w:r>
          </w:p>
        </w:tc>
      </w:tr>
      <w:tr>
        <w:trPr>
          <w:trHeight w:val="183"/>
        </w:trPr>
        <w:tc>
          <w:tcPr>
            <w:tcW w:w="3340" w:type="dxa"/>
            <w:vAlign w:val="bottom"/>
          </w:tcPr>
          <w:p>
            <w:pPr>
              <w:spacing w:after="0"/>
              <w:rPr>
                <w:sz w:val="15"/>
                <w:szCs w:val="15"/>
                <w:color w:val="auto"/>
              </w:rPr>
            </w:pPr>
          </w:p>
        </w:tc>
        <w:tc>
          <w:tcPr>
            <w:tcW w:w="410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Marysville, Ohio 43041</w:t>
            </w:r>
          </w:p>
        </w:tc>
      </w:tr>
      <w:tr>
        <w:trPr>
          <w:trHeight w:val="183"/>
        </w:trPr>
        <w:tc>
          <w:tcPr>
            <w:tcW w:w="3340" w:type="dxa"/>
            <w:vAlign w:val="bottom"/>
          </w:tcPr>
          <w:p>
            <w:pPr>
              <w:spacing w:after="0"/>
              <w:rPr>
                <w:sz w:val="15"/>
                <w:szCs w:val="15"/>
                <w:color w:val="auto"/>
              </w:rPr>
            </w:pP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Attn.:</w:t>
            </w:r>
          </w:p>
        </w:tc>
        <w:tc>
          <w:tcPr>
            <w:tcW w:w="2760" w:type="dxa"/>
            <w:vAlign w:val="bottom"/>
            <w:gridSpan w:val="3"/>
          </w:tcPr>
          <w:p>
            <w:pPr>
              <w:jc w:val="center"/>
              <w:ind w:right="601"/>
              <w:spacing w:after="0"/>
              <w:rPr>
                <w:sz w:val="20"/>
                <w:szCs w:val="20"/>
                <w:color w:val="auto"/>
              </w:rPr>
            </w:pPr>
            <w:r>
              <w:rPr>
                <w:rFonts w:ascii="Courier New" w:cs="Courier New" w:eastAsia="Courier New" w:hAnsi="Courier New"/>
                <w:sz w:val="16"/>
                <w:szCs w:val="16"/>
                <w:color w:val="auto"/>
                <w:w w:val="99"/>
              </w:rPr>
              <w:t>Ms. Rebecca Bruening</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Telephone:</w:t>
            </w:r>
          </w:p>
        </w:tc>
        <w:tc>
          <w:tcPr>
            <w:tcW w:w="24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340" w:type="dxa"/>
            <w:vAlign w:val="bottom"/>
          </w:tcPr>
          <w:p>
            <w:pPr>
              <w:spacing w:after="0"/>
              <w:rPr>
                <w:sz w:val="15"/>
                <w:szCs w:val="15"/>
                <w:color w:val="auto"/>
              </w:rPr>
            </w:pPr>
          </w:p>
        </w:tc>
        <w:tc>
          <w:tcPr>
            <w:tcW w:w="16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Telecopy:</w:t>
            </w:r>
          </w:p>
        </w:tc>
        <w:tc>
          <w:tcPr>
            <w:tcW w:w="2440" w:type="dxa"/>
            <w:vAlign w:val="bottom"/>
            <w:gridSpan w:val="2"/>
          </w:tcPr>
          <w:p>
            <w:pPr>
              <w:jc w:val="center"/>
              <w:ind w:right="921"/>
              <w:spacing w:after="0"/>
              <w:rPr>
                <w:sz w:val="20"/>
                <w:szCs w:val="20"/>
                <w:color w:val="auto"/>
              </w:rPr>
            </w:pPr>
            <w:r>
              <w:rPr>
                <w:rFonts w:ascii="Courier New" w:cs="Courier New" w:eastAsia="Courier New" w:hAnsi="Courier New"/>
                <w:sz w:val="16"/>
                <w:szCs w:val="16"/>
                <w:color w:val="auto"/>
                <w:w w:val="98"/>
              </w:rPr>
              <w:t>(937) 644-7184</w:t>
            </w:r>
          </w:p>
        </w:tc>
      </w:tr>
    </w:tbl>
    <w:p>
      <w:pPr>
        <w:sectPr>
          <w:pgSz w:w="11900" w:h="16838" w:orient="portrait"/>
          <w:cols w:equalWidth="0" w:num="1">
            <w:col w:w="10219"/>
          </w:cols>
          <w:pgMar w:left="240" w:top="297" w:right="1440" w:bottom="1440" w:gutter="0" w:footer="0" w:header="0"/>
          <w:type w:val="continuous"/>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82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77</w:t>
      </w:r>
    </w:p>
    <w:p>
      <w:pPr>
        <w:spacing w:after="0" w:line="36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Address: same as above</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Attn: G. Robert Lucas, Esq.</w:t>
      </w:r>
    </w:p>
    <w:p>
      <w:pPr>
        <w:spacing w:after="0" w:line="2" w:lineRule="exact"/>
        <w:rPr>
          <w:sz w:val="20"/>
          <w:szCs w:val="20"/>
          <w:color w:val="auto"/>
        </w:rPr>
      </w:pPr>
    </w:p>
    <w:p>
      <w:pPr>
        <w:ind w:left="4860"/>
        <w:spacing w:after="0"/>
        <w:tabs>
          <w:tab w:leader="none" w:pos="5980" w:val="left"/>
        </w:tabs>
        <w:rPr>
          <w:sz w:val="20"/>
          <w:szCs w:val="20"/>
          <w:color w:val="auto"/>
        </w:rPr>
      </w:pPr>
      <w:r>
        <w:rPr>
          <w:rFonts w:ascii="Courier New" w:cs="Courier New" w:eastAsia="Courier New" w:hAnsi="Courier New"/>
          <w:sz w:val="16"/>
          <w:szCs w:val="16"/>
          <w:color w:val="auto"/>
        </w:rPr>
        <w:t>Telephone:</w:t>
        <w:tab/>
        <w:t>(937) 644-7450</w:t>
      </w:r>
    </w:p>
    <w:p>
      <w:pPr>
        <w:spacing w:after="0" w:line="2" w:lineRule="exact"/>
        <w:rPr>
          <w:sz w:val="20"/>
          <w:szCs w:val="20"/>
          <w:color w:val="auto"/>
        </w:rPr>
      </w:pPr>
    </w:p>
    <w:p>
      <w:pPr>
        <w:ind w:left="4860"/>
        <w:spacing w:after="0"/>
        <w:tabs>
          <w:tab w:leader="none" w:pos="59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(937) 644-7568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Scotts' Miracle-Gro</w:t>
            </w:r>
          </w:p>
        </w:tc>
        <w:tc>
          <w:tcPr>
            <w:tcW w:w="2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Products, Inc.:</w:t>
            </w:r>
          </w:p>
        </w:tc>
        <w:tc>
          <w:tcPr>
            <w:tcW w:w="3780" w:type="dxa"/>
            <w:vAlign w:val="bottom"/>
            <w:gridSpan w:val="3"/>
          </w:tcPr>
          <w:p>
            <w:pPr>
              <w:ind w:left="1100"/>
              <w:spacing w:after="0"/>
              <w:rPr>
                <w:sz w:val="20"/>
                <w:szCs w:val="20"/>
                <w:color w:val="auto"/>
              </w:rPr>
            </w:pPr>
            <w:r>
              <w:rPr>
                <w:rFonts w:ascii="Courier New" w:cs="Courier New" w:eastAsia="Courier New" w:hAnsi="Courier New"/>
                <w:sz w:val="16"/>
                <w:szCs w:val="16"/>
                <w:color w:val="auto"/>
              </w:rPr>
              <w:t>The Scotts Company</w:t>
            </w:r>
          </w:p>
        </w:tc>
      </w:tr>
      <w:tr>
        <w:trPr>
          <w:trHeight w:val="183"/>
        </w:trPr>
        <w:tc>
          <w:tcPr>
            <w:tcW w:w="2900" w:type="dxa"/>
            <w:vAlign w:val="bottom"/>
          </w:tcPr>
          <w:p>
            <w:pPr>
              <w:spacing w:after="0"/>
              <w:rPr>
                <w:sz w:val="15"/>
                <w:szCs w:val="15"/>
                <w:color w:val="auto"/>
              </w:rPr>
            </w:pPr>
          </w:p>
        </w:tc>
        <w:tc>
          <w:tcPr>
            <w:tcW w:w="268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14111 Scottslawn</w:t>
            </w:r>
          </w:p>
        </w:tc>
        <w:tc>
          <w:tcPr>
            <w:tcW w:w="1100" w:type="dxa"/>
            <w:vAlign w:val="bottom"/>
          </w:tcPr>
          <w:p>
            <w:pPr>
              <w:jc w:val="center"/>
              <w:ind w:right="561"/>
              <w:spacing w:after="0"/>
              <w:rPr>
                <w:sz w:val="20"/>
                <w:szCs w:val="20"/>
                <w:color w:val="auto"/>
              </w:rPr>
            </w:pPr>
            <w:r>
              <w:rPr>
                <w:rFonts w:ascii="Courier New" w:cs="Courier New" w:eastAsia="Courier New" w:hAnsi="Courier New"/>
                <w:sz w:val="16"/>
                <w:szCs w:val="16"/>
                <w:color w:val="auto"/>
                <w:w w:val="98"/>
              </w:rPr>
              <w:t>Road</w:t>
            </w:r>
          </w:p>
        </w:tc>
      </w:tr>
      <w:tr>
        <w:trPr>
          <w:trHeight w:val="183"/>
        </w:trPr>
        <w:tc>
          <w:tcPr>
            <w:tcW w:w="2900" w:type="dxa"/>
            <w:vAlign w:val="bottom"/>
          </w:tcPr>
          <w:p>
            <w:pPr>
              <w:spacing w:after="0"/>
              <w:rPr>
                <w:sz w:val="15"/>
                <w:szCs w:val="15"/>
                <w:color w:val="auto"/>
              </w:rPr>
            </w:pPr>
          </w:p>
        </w:tc>
        <w:tc>
          <w:tcPr>
            <w:tcW w:w="268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Marysville, Ohio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43041</w:t>
            </w:r>
          </w:p>
        </w:tc>
      </w:tr>
      <w:tr>
        <w:trPr>
          <w:trHeight w:val="183"/>
        </w:trPr>
        <w:tc>
          <w:tcPr>
            <w:tcW w:w="2900" w:type="dxa"/>
            <w:vAlign w:val="bottom"/>
          </w:tcPr>
          <w:p>
            <w:pPr>
              <w:spacing w:after="0"/>
              <w:rPr>
                <w:sz w:val="15"/>
                <w:szCs w:val="15"/>
                <w:color w:val="auto"/>
              </w:rPr>
            </w:pPr>
          </w:p>
        </w:tc>
        <w:tc>
          <w:tcPr>
            <w:tcW w:w="3780" w:type="dxa"/>
            <w:vAlign w:val="bottom"/>
            <w:gridSpan w:val="3"/>
          </w:tcPr>
          <w:p>
            <w:pPr>
              <w:ind w:left="1100"/>
              <w:spacing w:after="0"/>
              <w:rPr>
                <w:sz w:val="20"/>
                <w:szCs w:val="20"/>
                <w:color w:val="auto"/>
              </w:rPr>
            </w:pPr>
            <w:r>
              <w:rPr>
                <w:rFonts w:ascii="Courier New" w:cs="Courier New" w:eastAsia="Courier New" w:hAnsi="Courier New"/>
                <w:sz w:val="16"/>
                <w:szCs w:val="16"/>
                <w:color w:val="auto"/>
                <w:w w:val="98"/>
              </w:rPr>
              <w:t>Attn.:  Ms. Rebecca Bruening</w:t>
            </w:r>
          </w:p>
        </w:tc>
      </w:tr>
      <w:tr>
        <w:trPr>
          <w:trHeight w:val="183"/>
        </w:trPr>
        <w:tc>
          <w:tcPr>
            <w:tcW w:w="2900" w:type="dxa"/>
            <w:vAlign w:val="bottom"/>
          </w:tcPr>
          <w:p>
            <w:pPr>
              <w:spacing w:after="0"/>
              <w:rPr>
                <w:sz w:val="15"/>
                <w:szCs w:val="15"/>
                <w:color w:val="auto"/>
              </w:rPr>
            </w:pPr>
          </w:p>
        </w:tc>
        <w:tc>
          <w:tcPr>
            <w:tcW w:w="2100" w:type="dxa"/>
            <w:vAlign w:val="bottom"/>
          </w:tcPr>
          <w:p>
            <w:pPr>
              <w:ind w:left="1100"/>
              <w:spacing w:after="0"/>
              <w:rPr>
                <w:sz w:val="20"/>
                <w:szCs w:val="20"/>
                <w:color w:val="auto"/>
              </w:rPr>
            </w:pPr>
            <w:r>
              <w:rPr>
                <w:rFonts w:ascii="Courier New" w:cs="Courier New" w:eastAsia="Courier New" w:hAnsi="Courier New"/>
                <w:sz w:val="16"/>
                <w:szCs w:val="16"/>
                <w:color w:val="auto"/>
              </w:rPr>
              <w:t>Telephone:</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2900" w:type="dxa"/>
            <w:vAlign w:val="bottom"/>
          </w:tcPr>
          <w:p>
            <w:pPr>
              <w:spacing w:after="0"/>
              <w:rPr>
                <w:sz w:val="15"/>
                <w:szCs w:val="15"/>
                <w:color w:val="auto"/>
              </w:rPr>
            </w:pPr>
          </w:p>
        </w:tc>
        <w:tc>
          <w:tcPr>
            <w:tcW w:w="2100" w:type="dxa"/>
            <w:vAlign w:val="bottom"/>
          </w:tcPr>
          <w:p>
            <w:pPr>
              <w:ind w:left="1100"/>
              <w:spacing w:after="0"/>
              <w:rPr>
                <w:sz w:val="20"/>
                <w:szCs w:val="20"/>
                <w:color w:val="auto"/>
              </w:rPr>
            </w:pPr>
            <w:r>
              <w:rPr>
                <w:rFonts w:ascii="Courier New" w:cs="Courier New" w:eastAsia="Courier New" w:hAnsi="Courier New"/>
                <w:sz w:val="16"/>
                <w:szCs w:val="16"/>
                <w:color w:val="auto"/>
              </w:rPr>
              <w:t>Telecopy: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644-7184</w:t>
            </w:r>
          </w:p>
        </w:tc>
      </w:tr>
    </w:tbl>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Address: same as above</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Attn: G. Robert Lucas, Esq.</w:t>
      </w:r>
    </w:p>
    <w:p>
      <w:pPr>
        <w:spacing w:after="0" w:line="2" w:lineRule="exact"/>
        <w:rPr>
          <w:sz w:val="20"/>
          <w:szCs w:val="20"/>
          <w:color w:val="auto"/>
        </w:rPr>
      </w:pPr>
    </w:p>
    <w:p>
      <w:pPr>
        <w:ind w:left="4860"/>
        <w:spacing w:after="0"/>
        <w:tabs>
          <w:tab w:leader="none" w:pos="5980" w:val="left"/>
        </w:tabs>
        <w:rPr>
          <w:sz w:val="20"/>
          <w:szCs w:val="20"/>
          <w:color w:val="auto"/>
        </w:rPr>
      </w:pPr>
      <w:r>
        <w:rPr>
          <w:rFonts w:ascii="Courier New" w:cs="Courier New" w:eastAsia="Courier New" w:hAnsi="Courier New"/>
          <w:sz w:val="16"/>
          <w:szCs w:val="16"/>
          <w:color w:val="auto"/>
        </w:rPr>
        <w:t>Telephone:</w:t>
        <w:tab/>
        <w:t>(937) 644-7450</w:t>
      </w:r>
    </w:p>
    <w:p>
      <w:pPr>
        <w:spacing w:after="0" w:line="2" w:lineRule="exact"/>
        <w:rPr>
          <w:sz w:val="20"/>
          <w:szCs w:val="20"/>
          <w:color w:val="auto"/>
        </w:rPr>
      </w:pPr>
    </w:p>
    <w:p>
      <w:pPr>
        <w:ind w:left="4860"/>
        <w:spacing w:after="0"/>
        <w:tabs>
          <w:tab w:leader="none" w:pos="59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(937) 644-7568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Scotts-Sierra Horticultural</w:t>
            </w:r>
          </w:p>
        </w:tc>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Products Company:</w:t>
            </w:r>
          </w:p>
        </w:tc>
        <w:tc>
          <w:tcPr>
            <w:tcW w:w="3400" w:type="dxa"/>
            <w:vAlign w:val="bottom"/>
            <w:gridSpan w:val="3"/>
          </w:tcPr>
          <w:p>
            <w:pPr>
              <w:ind w:left="720"/>
              <w:spacing w:after="0"/>
              <w:rPr>
                <w:sz w:val="20"/>
                <w:szCs w:val="20"/>
                <w:color w:val="auto"/>
              </w:rPr>
            </w:pPr>
            <w:r>
              <w:rPr>
                <w:rFonts w:ascii="Courier New" w:cs="Courier New" w:eastAsia="Courier New" w:hAnsi="Courier New"/>
                <w:sz w:val="16"/>
                <w:szCs w:val="16"/>
                <w:color w:val="auto"/>
              </w:rPr>
              <w:t>The Scotts Company</w:t>
            </w:r>
          </w:p>
        </w:tc>
      </w:tr>
      <w:tr>
        <w:trPr>
          <w:trHeight w:val="183"/>
        </w:trPr>
        <w:tc>
          <w:tcPr>
            <w:tcW w:w="3280" w:type="dxa"/>
            <w:vAlign w:val="bottom"/>
          </w:tcPr>
          <w:p>
            <w:pPr>
              <w:spacing w:after="0"/>
              <w:rPr>
                <w:sz w:val="15"/>
                <w:szCs w:val="15"/>
                <w:color w:val="auto"/>
              </w:rPr>
            </w:pPr>
          </w:p>
        </w:tc>
        <w:tc>
          <w:tcPr>
            <w:tcW w:w="23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14111 Scottslawn</w:t>
            </w:r>
          </w:p>
        </w:tc>
        <w:tc>
          <w:tcPr>
            <w:tcW w:w="1100" w:type="dxa"/>
            <w:vAlign w:val="bottom"/>
          </w:tcPr>
          <w:p>
            <w:pPr>
              <w:jc w:val="center"/>
              <w:ind w:right="561"/>
              <w:spacing w:after="0"/>
              <w:rPr>
                <w:sz w:val="20"/>
                <w:szCs w:val="20"/>
                <w:color w:val="auto"/>
              </w:rPr>
            </w:pPr>
            <w:r>
              <w:rPr>
                <w:rFonts w:ascii="Courier New" w:cs="Courier New" w:eastAsia="Courier New" w:hAnsi="Courier New"/>
                <w:sz w:val="16"/>
                <w:szCs w:val="16"/>
                <w:color w:val="auto"/>
                <w:w w:val="98"/>
              </w:rPr>
              <w:t>Road</w:t>
            </w:r>
          </w:p>
        </w:tc>
      </w:tr>
      <w:tr>
        <w:trPr>
          <w:trHeight w:val="183"/>
        </w:trPr>
        <w:tc>
          <w:tcPr>
            <w:tcW w:w="3280" w:type="dxa"/>
            <w:vAlign w:val="bottom"/>
          </w:tcPr>
          <w:p>
            <w:pPr>
              <w:spacing w:after="0"/>
              <w:rPr>
                <w:sz w:val="15"/>
                <w:szCs w:val="15"/>
                <w:color w:val="auto"/>
              </w:rPr>
            </w:pPr>
          </w:p>
        </w:tc>
        <w:tc>
          <w:tcPr>
            <w:tcW w:w="230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Marysville, Ohio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43041</w:t>
            </w:r>
          </w:p>
        </w:tc>
      </w:tr>
      <w:tr>
        <w:trPr>
          <w:trHeight w:val="183"/>
        </w:trPr>
        <w:tc>
          <w:tcPr>
            <w:tcW w:w="3280" w:type="dxa"/>
            <w:vAlign w:val="bottom"/>
          </w:tcPr>
          <w:p>
            <w:pPr>
              <w:spacing w:after="0"/>
              <w:rPr>
                <w:sz w:val="15"/>
                <w:szCs w:val="15"/>
                <w:color w:val="auto"/>
              </w:rPr>
            </w:pPr>
          </w:p>
        </w:tc>
        <w:tc>
          <w:tcPr>
            <w:tcW w:w="3400" w:type="dxa"/>
            <w:vAlign w:val="bottom"/>
            <w:gridSpan w:val="3"/>
          </w:tcPr>
          <w:p>
            <w:pPr>
              <w:ind w:left="720"/>
              <w:spacing w:after="0"/>
              <w:rPr>
                <w:sz w:val="20"/>
                <w:szCs w:val="20"/>
                <w:color w:val="auto"/>
              </w:rPr>
            </w:pPr>
            <w:r>
              <w:rPr>
                <w:rFonts w:ascii="Courier New" w:cs="Courier New" w:eastAsia="Courier New" w:hAnsi="Courier New"/>
                <w:sz w:val="16"/>
                <w:szCs w:val="16"/>
                <w:color w:val="auto"/>
                <w:w w:val="98"/>
              </w:rPr>
              <w:t>Attn.:  Ms. Rebecca Bruening</w:t>
            </w:r>
          </w:p>
        </w:tc>
      </w:tr>
      <w:tr>
        <w:trPr>
          <w:trHeight w:val="183"/>
        </w:trPr>
        <w:tc>
          <w:tcPr>
            <w:tcW w:w="3280" w:type="dxa"/>
            <w:vAlign w:val="bottom"/>
          </w:tcPr>
          <w:p>
            <w:pPr>
              <w:spacing w:after="0"/>
              <w:rPr>
                <w:sz w:val="15"/>
                <w:szCs w:val="15"/>
                <w:color w:val="auto"/>
              </w:rPr>
            </w:pPr>
          </w:p>
        </w:tc>
        <w:tc>
          <w:tcPr>
            <w:tcW w:w="1720" w:type="dxa"/>
            <w:vAlign w:val="bottom"/>
          </w:tcPr>
          <w:p>
            <w:pPr>
              <w:ind w:left="720"/>
              <w:spacing w:after="0"/>
              <w:rPr>
                <w:sz w:val="20"/>
                <w:szCs w:val="20"/>
                <w:color w:val="auto"/>
              </w:rPr>
            </w:pPr>
            <w:r>
              <w:rPr>
                <w:rFonts w:ascii="Courier New" w:cs="Courier New" w:eastAsia="Courier New" w:hAnsi="Courier New"/>
                <w:sz w:val="16"/>
                <w:szCs w:val="16"/>
                <w:color w:val="auto"/>
              </w:rPr>
              <w:t>Telephone:</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280" w:type="dxa"/>
            <w:vAlign w:val="bottom"/>
          </w:tcPr>
          <w:p>
            <w:pPr>
              <w:spacing w:after="0"/>
              <w:rPr>
                <w:sz w:val="15"/>
                <w:szCs w:val="15"/>
                <w:color w:val="auto"/>
              </w:rPr>
            </w:pPr>
          </w:p>
        </w:tc>
        <w:tc>
          <w:tcPr>
            <w:tcW w:w="1720" w:type="dxa"/>
            <w:vAlign w:val="bottom"/>
          </w:tcPr>
          <w:p>
            <w:pPr>
              <w:ind w:left="720"/>
              <w:spacing w:after="0"/>
              <w:rPr>
                <w:sz w:val="20"/>
                <w:szCs w:val="20"/>
                <w:color w:val="auto"/>
              </w:rPr>
            </w:pPr>
            <w:r>
              <w:rPr>
                <w:rFonts w:ascii="Courier New" w:cs="Courier New" w:eastAsia="Courier New" w:hAnsi="Courier New"/>
                <w:sz w:val="16"/>
                <w:szCs w:val="16"/>
                <w:color w:val="auto"/>
              </w:rPr>
              <w:t>Telecopy: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644-7184</w:t>
            </w:r>
          </w:p>
        </w:tc>
      </w:tr>
    </w:tbl>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Address: same as above</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Attn: G. Robert Lucas, Esq.</w:t>
      </w:r>
    </w:p>
    <w:p>
      <w:pPr>
        <w:spacing w:after="0" w:line="2" w:lineRule="exact"/>
        <w:rPr>
          <w:sz w:val="20"/>
          <w:szCs w:val="20"/>
          <w:color w:val="auto"/>
        </w:rPr>
      </w:pPr>
    </w:p>
    <w:p>
      <w:pPr>
        <w:ind w:left="4860"/>
        <w:spacing w:after="0"/>
        <w:tabs>
          <w:tab w:leader="none" w:pos="5980" w:val="left"/>
        </w:tabs>
        <w:rPr>
          <w:sz w:val="20"/>
          <w:szCs w:val="20"/>
          <w:color w:val="auto"/>
        </w:rPr>
      </w:pPr>
      <w:r>
        <w:rPr>
          <w:rFonts w:ascii="Courier New" w:cs="Courier New" w:eastAsia="Courier New" w:hAnsi="Courier New"/>
          <w:sz w:val="16"/>
          <w:szCs w:val="16"/>
          <w:color w:val="auto"/>
        </w:rPr>
        <w:t>Telephone:</w:t>
        <w:tab/>
        <w:t>(937) 644-7450</w:t>
      </w:r>
    </w:p>
    <w:p>
      <w:pPr>
        <w:spacing w:after="0" w:line="2" w:lineRule="exact"/>
        <w:rPr>
          <w:sz w:val="20"/>
          <w:szCs w:val="20"/>
          <w:color w:val="auto"/>
        </w:rPr>
      </w:pPr>
    </w:p>
    <w:p>
      <w:pPr>
        <w:ind w:left="4860"/>
        <w:spacing w:after="0"/>
        <w:tabs>
          <w:tab w:leader="none" w:pos="59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5"/>
          <w:szCs w:val="15"/>
          <w:color w:val="auto"/>
        </w:rPr>
        <w:t>(937) 644-7568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20"/>
                <w:szCs w:val="20"/>
                <w:color w:val="auto"/>
              </w:rPr>
            </w:pPr>
            <w:r>
              <w:rPr>
                <w:rFonts w:ascii="Courier New" w:cs="Courier New" w:eastAsia="Courier New" w:hAnsi="Courier New"/>
                <w:sz w:val="16"/>
                <w:szCs w:val="16"/>
                <w:color w:val="auto"/>
              </w:rPr>
              <w:t>Republic Tool &amp; Manufacturing Corp:</w:t>
            </w:r>
          </w:p>
        </w:tc>
        <w:tc>
          <w:tcPr>
            <w:tcW w:w="3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Scotts Company</w:t>
            </w:r>
          </w:p>
        </w:tc>
      </w:tr>
      <w:tr>
        <w:trPr>
          <w:trHeight w:val="183"/>
        </w:trPr>
        <w:tc>
          <w:tcPr>
            <w:tcW w:w="3660" w:type="dxa"/>
            <w:vAlign w:val="bottom"/>
          </w:tcPr>
          <w:p>
            <w:pPr>
              <w:spacing w:after="0"/>
              <w:rPr>
                <w:sz w:val="15"/>
                <w:szCs w:val="15"/>
                <w:color w:val="auto"/>
              </w:rPr>
            </w:pPr>
          </w:p>
        </w:tc>
        <w:tc>
          <w:tcPr>
            <w:tcW w:w="19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14111 Scottslawn</w:t>
            </w:r>
          </w:p>
        </w:tc>
        <w:tc>
          <w:tcPr>
            <w:tcW w:w="1100" w:type="dxa"/>
            <w:vAlign w:val="bottom"/>
          </w:tcPr>
          <w:p>
            <w:pPr>
              <w:jc w:val="center"/>
              <w:ind w:right="561"/>
              <w:spacing w:after="0"/>
              <w:rPr>
                <w:sz w:val="20"/>
                <w:szCs w:val="20"/>
                <w:color w:val="auto"/>
              </w:rPr>
            </w:pPr>
            <w:r>
              <w:rPr>
                <w:rFonts w:ascii="Courier New" w:cs="Courier New" w:eastAsia="Courier New" w:hAnsi="Courier New"/>
                <w:sz w:val="16"/>
                <w:szCs w:val="16"/>
                <w:color w:val="auto"/>
                <w:w w:val="98"/>
              </w:rPr>
              <w:t>Road</w:t>
            </w:r>
          </w:p>
        </w:tc>
      </w:tr>
      <w:tr>
        <w:trPr>
          <w:trHeight w:val="183"/>
        </w:trPr>
        <w:tc>
          <w:tcPr>
            <w:tcW w:w="3660" w:type="dxa"/>
            <w:vAlign w:val="bottom"/>
          </w:tcPr>
          <w:p>
            <w:pPr>
              <w:spacing w:after="0"/>
              <w:rPr>
                <w:sz w:val="15"/>
                <w:szCs w:val="15"/>
                <w:color w:val="auto"/>
              </w:rPr>
            </w:pPr>
          </w:p>
        </w:tc>
        <w:tc>
          <w:tcPr>
            <w:tcW w:w="19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Marysville, Ohio</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43041</w:t>
            </w:r>
          </w:p>
        </w:tc>
      </w:tr>
      <w:tr>
        <w:trPr>
          <w:trHeight w:val="183"/>
        </w:trPr>
        <w:tc>
          <w:tcPr>
            <w:tcW w:w="3660" w:type="dxa"/>
            <w:vAlign w:val="bottom"/>
          </w:tcPr>
          <w:p>
            <w:pPr>
              <w:spacing w:after="0"/>
              <w:rPr>
                <w:sz w:val="15"/>
                <w:szCs w:val="15"/>
                <w:color w:val="auto"/>
              </w:rPr>
            </w:pPr>
          </w:p>
        </w:tc>
        <w:tc>
          <w:tcPr>
            <w:tcW w:w="302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8"/>
              </w:rPr>
              <w:t>Attn.:  Ms. Rebecca Bruening</w:t>
            </w:r>
          </w:p>
        </w:tc>
      </w:tr>
      <w:tr>
        <w:trPr>
          <w:trHeight w:val="183"/>
        </w:trPr>
        <w:tc>
          <w:tcPr>
            <w:tcW w:w="3660" w:type="dxa"/>
            <w:vAlign w:val="bottom"/>
          </w:tcPr>
          <w:p>
            <w:pPr>
              <w:spacing w:after="0"/>
              <w:rPr>
                <w:sz w:val="15"/>
                <w:szCs w:val="15"/>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6"/>
                <w:szCs w:val="16"/>
                <w:color w:val="auto"/>
              </w:rPr>
              <w:t>Telephone:</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(937) 644-7290</w:t>
            </w:r>
          </w:p>
        </w:tc>
      </w:tr>
      <w:tr>
        <w:trPr>
          <w:trHeight w:val="183"/>
        </w:trPr>
        <w:tc>
          <w:tcPr>
            <w:tcW w:w="3660" w:type="dxa"/>
            <w:vAlign w:val="bottom"/>
          </w:tcPr>
          <w:p>
            <w:pPr>
              <w:spacing w:after="0"/>
              <w:rPr>
                <w:sz w:val="15"/>
                <w:szCs w:val="15"/>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6"/>
                <w:szCs w:val="16"/>
                <w:color w:val="auto"/>
              </w:rPr>
              <w:t>Telecopy:</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(937)</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644-7184</w:t>
            </w:r>
          </w:p>
        </w:tc>
      </w:tr>
    </w:tbl>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Address: same as above</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Attn: G. Robert Lucas, Esq.</w:t>
      </w:r>
    </w:p>
    <w:p>
      <w:pPr>
        <w:sectPr>
          <w:pgSz w:w="11900" w:h="16838" w:orient="portrait"/>
          <w:cols w:equalWidth="0" w:num="1">
            <w:col w:w="10219"/>
          </w:cols>
          <w:pgMar w:left="240" w:top="298"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83</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98" w:right="1440" w:bottom="1440" w:gutter="0" w:footer="0" w:header="0"/>
        </w:sectPr>
      </w:pPr>
    </w:p>
    <w:p>
      <w:pPr>
        <w:spacing w:after="0" w:line="377"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Telephone:</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Telecopy:</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(937) 644-7450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(937) 644-7568</w:t>
      </w:r>
    </w:p>
    <w:p>
      <w:pPr>
        <w:spacing w:after="0" w:line="186" w:lineRule="exact"/>
        <w:rPr>
          <w:sz w:val="20"/>
          <w:szCs w:val="20"/>
          <w:color w:val="auto"/>
        </w:rPr>
      </w:pPr>
    </w:p>
    <w:p>
      <w:pPr>
        <w:sectPr>
          <w:pgSz w:w="11900" w:h="16838" w:orient="portrait"/>
          <w:cols w:equalWidth="0" w:num="2">
            <w:col w:w="5720" w:space="100"/>
            <w:col w:w="4399"/>
          </w:cols>
          <w:pgMar w:left="240" w:top="298"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Chase Manhattan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 LaSalle St., 23rd Fl.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Deborah Welles</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Telephone:</w:t>
        <w:tab/>
        <w:t>(312) 807-4088</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Telecopy:</w:t>
        <w:tab/>
        <w:t>(312) 807-4077</w:t>
      </w:r>
    </w:p>
    <w:p>
      <w:pPr>
        <w:spacing w:after="0" w:line="186" w:lineRule="exact"/>
        <w:rPr>
          <w:sz w:val="20"/>
          <w:szCs w:val="20"/>
          <w:color w:val="auto"/>
        </w:rPr>
      </w:pPr>
    </w:p>
    <w:p>
      <w:pPr>
        <w:sectPr>
          <w:pgSz w:w="11900" w:h="16838" w:orient="portrait"/>
          <w:cols w:equalWidth="0" w:num="2">
            <w:col w:w="3180" w:space="720"/>
            <w:col w:w="6319"/>
          </w:cols>
          <w:pgMar w:left="240" w:top="298" w:right="1440" w:bottom="1440" w:gutter="0" w:footer="0" w:header="0"/>
          <w:type w:val="continuous"/>
        </w:sectPr>
      </w:pPr>
    </w:p>
    <w:p>
      <w:pPr>
        <w:ind w:left="4760"/>
        <w:spacing w:after="0"/>
        <w:rPr>
          <w:sz w:val="20"/>
          <w:szCs w:val="20"/>
          <w:color w:val="auto"/>
        </w:rPr>
      </w:pPr>
      <w:r>
        <w:rPr>
          <w:rFonts w:ascii="Courier New" w:cs="Courier New" w:eastAsia="Courier New" w:hAnsi="Courier New"/>
          <w:sz w:val="16"/>
          <w:szCs w:val="16"/>
          <w:color w:val="auto"/>
        </w:rPr>
        <w:t>With a copy sent to:</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Chase Manhattan International</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6"/>
          <w:szCs w:val="16"/>
          <w:color w:val="auto"/>
        </w:rPr>
        <w:t>Limited</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9 Thomas More Street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London, England E1 9YT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Attn: Stephen Clarke</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Telecopy: 44-171-777-2360/2085</w:t>
      </w:r>
    </w:p>
    <w:p>
      <w:pPr>
        <w:sectPr>
          <w:pgSz w:w="11900" w:h="16838" w:orient="portrait"/>
          <w:cols w:equalWidth="0" w:num="1">
            <w:col w:w="10219"/>
          </w:cols>
          <w:pgMar w:left="240" w:top="298"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Chase Securities Incorporated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 8th Fl.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Loan and Agencies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Group/Rose Clinton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(212) 552-5662</w:t>
      </w:r>
    </w:p>
    <w:p>
      <w:pPr>
        <w:spacing w:after="0" w:line="188" w:lineRule="exact"/>
        <w:rPr>
          <w:sz w:val="20"/>
          <w:szCs w:val="20"/>
          <w:color w:val="auto"/>
        </w:rPr>
      </w:pPr>
    </w:p>
    <w:p>
      <w:pPr>
        <w:sectPr>
          <w:pgSz w:w="11900" w:h="16838" w:orient="portrait"/>
          <w:cols w:equalWidth="0" w:num="2">
            <w:col w:w="3180" w:space="720"/>
            <w:col w:w="6319"/>
          </w:cols>
          <w:pgMar w:left="240" w:top="298" w:right="1440" w:bottom="1440" w:gutter="0" w:footer="0" w:header="0"/>
          <w:type w:val="continuous"/>
        </w:sectPr>
      </w:pPr>
    </w:p>
    <w:p>
      <w:pPr>
        <w:ind w:right="2679"/>
        <w:spacing w:after="0" w:line="239" w:lineRule="auto"/>
        <w:rPr>
          <w:sz w:val="20"/>
          <w:szCs w:val="20"/>
          <w:color w:val="auto"/>
        </w:rPr>
      </w:pPr>
      <w:r>
        <w:rPr>
          <w:rFonts w:ascii="Courier New" w:cs="Courier New" w:eastAsia="Courier New" w:hAnsi="Courier New"/>
          <w:sz w:val="16"/>
          <w:szCs w:val="16"/>
          <w:color w:val="auto"/>
        </w:rPr>
        <w:t>provided that any notice, request or demand to or upon the Administrative Agent or the Lenders shall not be effective until received.</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10.3 No Waiver; Cumulative Remedies.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9"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10.4 Survival of Representations, Warranties and Indemnities. All representations and warranties made hereunder and in any document, certificate or statement delivered pursuant hereto or in connection herewith shall survive the execution and delivery of this Agreement and the making of the Loans hereunder. The obligation of the Borrower to make payments or to provide indemnities as provided for in this Agreement shall survive payment in full of the Loans, expiration of all Letters of Credit and termination of the Revolving Credit Commitments and this Agreement.</w:t>
      </w:r>
    </w:p>
    <w:p>
      <w:pPr>
        <w:spacing w:after="0" w:line="189" w:lineRule="exact"/>
        <w:rPr>
          <w:sz w:val="20"/>
          <w:szCs w:val="20"/>
          <w:color w:val="auto"/>
        </w:rPr>
      </w:pPr>
    </w:p>
    <w:p>
      <w:pPr>
        <w:ind w:right="2599" w:firstLine="1717"/>
        <w:spacing w:after="0"/>
        <w:rPr>
          <w:sz w:val="20"/>
          <w:szCs w:val="20"/>
          <w:color w:val="auto"/>
        </w:rPr>
      </w:pPr>
      <w:r>
        <w:rPr>
          <w:rFonts w:ascii="Courier New" w:cs="Courier New" w:eastAsia="Courier New" w:hAnsi="Courier New"/>
          <w:sz w:val="16"/>
          <w:szCs w:val="16"/>
          <w:color w:val="auto"/>
        </w:rPr>
        <w:t>10.5 Payment of Expenses and Taxes. The Borrower agrees (a) to pay or reimburse the Administrative Agent for all its reasonable out-of-pocket costs and expenses</w:t>
      </w:r>
    </w:p>
    <w:p>
      <w:pPr>
        <w:sectPr>
          <w:pgSz w:w="11900" w:h="16838" w:orient="portrait"/>
          <w:cols w:equalWidth="0" w:num="1">
            <w:col w:w="10219"/>
          </w:cols>
          <w:pgMar w:left="240" w:top="298"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84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79</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incurred in connection with the development, preparation and execution of, and any amendment, supplement or modification to, this Agreement, the Notes, the Scotts Guarantee, the Subsidiaries Guarantee and any other documents prepared in connection herewith or therewith, and the consummation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Notes, the Scotts Guarantee, the Subsidiaries Guarantee and any such other documents, including, without limitation, the reasonable fees and disbursements of counsel (including, without limitation, in-house counsel) to the Administrative Agent and to the several Lenders, (c) to pay, indemnify and hold each Lender and the Administrative Agent harmless from any and all recording and filing fees and any and all liabilities with respect to, or resulting from any delay in paying, stamp, excise and other similar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Notes, the Scotts Guarantee, the Subsidiaries Guarantee and any such other documents, and (d) to pay, indemnify, and hold each Lender and the Administrative Agent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Notes, the Scotts Guarantee, the Subsidiaries Guarantee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wilful misconduct of any such Lender. The agreements in this subsection shall survive repayment of the Loans, the Reimbursement Obligations and all other amounts payable hereunder.</w:t>
      </w:r>
    </w:p>
    <w:p>
      <w:pPr>
        <w:spacing w:after="0" w:line="204"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10.6 Successors and Assigns; Participants; Agency. (a) This Agreement shall be binding upon and inure to the benefit of the Borrower, the Lenders, the Administrative Agent, all future holders of the Loans and their respective successors and assigns, except that the Borrower may not assign or transfer any of its rights or obligations under this Agreement without the prior written consent of each Lender.</w:t>
      </w:r>
    </w:p>
    <w:p>
      <w:pPr>
        <w:spacing w:after="0" w:line="187" w:lineRule="exact"/>
        <w:rPr>
          <w:sz w:val="20"/>
          <w:szCs w:val="20"/>
          <w:color w:val="auto"/>
        </w:rPr>
      </w:pPr>
    </w:p>
    <w:p>
      <w:pPr>
        <w:ind w:right="2679" w:firstLine="1715"/>
        <w:spacing w:after="0" w:line="242" w:lineRule="auto"/>
        <w:tabs>
          <w:tab w:leader="none" w:pos="209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in the ordinary course of its commercial banking business and in accordance with applicable law, at any time sell to one or more banks or other financial institutions ("Participants") participating interests in any Loan owing to such Lender, any Reimbursement Obligation with respect to such Lender, any Revolving Credit Commitment of such Lender or any other interest of such Lender hereunder and under the other Loan Documents, provided however that any sale of a participating interest in any Revolving Credit Loan (i) which is made to any Subsidiary Borrower which is resident for taxation purposes in the United Kingdom or (ii) which is attributable to a branch or an agency of any Subsidiary Borrower which branch or agency is carrying on a trade in the United Kingdom to which the interest in question is attributable (x) shall be made by an Eligible U.K. Bank and (y) any interest payable in respect of such advance shall be beneficially owned by such Eligible U.K. Bank or another Person within</w:t>
      </w:r>
    </w:p>
    <w:p>
      <w:pPr>
        <w:sectPr>
          <w:pgSz w:w="11900" w:h="16838" w:orient="portrait"/>
          <w:cols w:equalWidth="0" w:num="1">
            <w:col w:w="10219"/>
          </w:cols>
          <w:pgMar w:left="240" w:top="298"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85</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80</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charge of United Kingdom corporation tax. In the event of any such sale by a Lender of participating interests to a Participant, such Lender's obligations under this Agreement to the other parties to this Agreement shall remain unchanged, such Lender shall remain solely responsible for the performance thereof, and such Lender shall remain the holder of any such Loan or Swing Line Participation Certificate for all purposes under this Agreement and the other Loan Documents, and the Borrower and the Administrative Agent shall continue to deal solely and directly with such Lender in connection with such Lender's rights and obligations under this Agreement and the other Loan Documents. The Borrower agrees that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interests were owing directly to it as a Lender under this Agreement; provided that such right of set-off shall be subject to the obligation of such Participant to share with the Lenders, and the Lenders agree to share with such Participant, as provided in subsection 10.7. The Borrower also agrees that each Participant shall be entitled to the benefits of subsections 2.16, 2.17, 2.18 and 2.19 as if it were a Lender; provided, that, no Participant shall be entitled to receive any greater amount pursuant to any such subsection than the transferor Lender would have been entitled to receive in respect of the amount of the participation transferred by such transferor Lender to such Participant had no such transfer occurred.</w:t>
      </w:r>
    </w:p>
    <w:p>
      <w:pPr>
        <w:spacing w:after="0" w:line="199" w:lineRule="exact"/>
        <w:rPr>
          <w:sz w:val="20"/>
          <w:szCs w:val="20"/>
          <w:color w:val="auto"/>
        </w:rPr>
      </w:pPr>
    </w:p>
    <w:p>
      <w:pPr>
        <w:ind w:right="2599" w:firstLine="1715"/>
        <w:spacing w:after="0" w:line="242" w:lineRule="auto"/>
        <w:tabs>
          <w:tab w:leader="none" w:pos="2098"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in the ordinary course of its commercial banking business and in accordance with applicable law, at any time sell to any Lender or any affiliate thereof and, with the consent of the Administrative Agent and, so long as no Event of Default has occurred and is continuing under subsection 8(a) or 8(f), the Borrower (which in each case shall not be unreasonably withheld), to one or more additional banks or financial institutions (including, without limitation, "prime rate" funds, insurance companies and other institutions which purchase performing bank loans in the ordinary course of business) ("Purchasing Lenders") all or any part of its rights and obligations under this Agreement and the other Loan Documents pursuant to an Assignment and Acceptance, executed by such Purchasing Lender, such transferor Lender (and, in the case of a Purchasing Lender that is not then a Lender or an affiliate thereof, by the Borrower and the Administrative Agent) and delivered to the Administrative Agent for its acceptance and recording in the Register; provided that any sale by any Lender of all or any part of its Revolving Credit Commitment and/or Loans need not be made ratably in accordance with the respective amounts of such Revolving Credit Commitment or Loans, if any, held by such Lender immediately prior to such sale. Upon such execution, delivery, acceptance and recording, from and after the Transfer Effective Date determined pursuant to such Assignment and Acceptance, (x) the Purchasing Lender thereunder shall be a party hereto and, to the extent provided in such Assignment and Acceptance, have the rights and obligations of a Lender hereunder with a Revolving Credit Commitment and/or Loans as set forth therein, and (y) the transferor Lender thereunder shall, to the extent provided in such Assignment and Acceptance, be released from its obligations under this Agreement (and, in the case of a Assignment and Acceptance covering all or the remaining portion of a transferor Lender's rights and obligations under this Agreement, such transferor Lender shall cease to be a party hereto). Such Assignment and Acceptance shall be deemed to amend this Agreement to the extent, and only to the extent,</w:t>
      </w:r>
    </w:p>
    <w:p>
      <w:pPr>
        <w:sectPr>
          <w:pgSz w:w="11900" w:h="16838" w:orient="portrait"/>
          <w:cols w:equalWidth="0" w:num="1">
            <w:col w:w="10219"/>
          </w:cols>
          <w:pgMar w:left="240" w:top="298"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86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81</w:t>
      </w:r>
    </w:p>
    <w:p>
      <w:pPr>
        <w:spacing w:after="0" w:line="372"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necessary to reflect the addition of such Purchasing Lender and the resulting adjustment of Commitment Percentages and amounts of affected Revolving Credit Commitments arising from the purchase by such Purchasing Lender of all or a portion of the rights and obligations of such transferor Lender under this Agreement and the other Loan Documents. Anything in this subsection 10.6(c) to the contrary notwithstanding, (i) no transfer to any Lender party to this Agreement on the Effective Date (an "Original Lender") shall require any consent of the Administrative Agent or the Borrower, (ii) except as provided in preceding clause (i), no transfer to a Purchasing Lender shall be made pursuant to this subsection 10.6(c) if such transfer is in respect of less than $10,000,000 in the aggregate of the Revolving Credit Commitment of such transferor Lender, (iii) no transfer to a Purchasing Lender of less than all of the transferor Lender's Revolving Credit Commitment shall be made pursuant to this subsection 10.6(c) if such transfer shall reduce the transferor Lender's Revolving Credit Commitment to less than $10,000,000 and (iv) the consent of the Borrower shall not be required, and, unless requested by the Purchasing Lender and/or the transferor Lender, new Notes shall not be required to be executed and delivered by the Borrower, for any assignment which occurs at any time when any of the events described in Section 8(f) shall have occurred and be continuing.</w:t>
      </w:r>
    </w:p>
    <w:p>
      <w:pPr>
        <w:spacing w:after="0" w:line="184" w:lineRule="exact"/>
        <w:rPr>
          <w:sz w:val="20"/>
          <w:szCs w:val="20"/>
          <w:color w:val="auto"/>
        </w:rPr>
      </w:pPr>
    </w:p>
    <w:p>
      <w:pPr>
        <w:ind w:right="2599" w:firstLine="1715"/>
        <w:spacing w:after="0" w:line="242" w:lineRule="auto"/>
        <w:tabs>
          <w:tab w:leader="none" w:pos="209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on behalf of the Borrower, shall maintain at its address referred to in subsection 10.2 a copy of each Assignment and Acceptance delivered to it and a register (the "Register") for the recordation of the names and addresses of the Lenders and the Revolving Credit Commitments of, and principal amount and types of Loans owing to, each Lender from time to time. The entries in the Register shall be conclusive, in the absence of manifest error, and the Borrower, the Administrative Agent and the Lenders may (and, in the case of any Loan or other obligation hereunder not evidenced by a Note, shall) treat each Person whose name is recorded in the Register as the owner of a Loan or other obligation hereunder as the owner thereof for all purposes of this Agreement and the other Loan Documents, notwithstanding any notice to the contrary. Any assignment of any Loan or other obligation hereunder not evidenced by a Note shall be effective only upon appropriate entries with respect thereto being made in the Register. The Register shall be available for inspection by the Borrower or any Lender at any reasonable time and from time to time upon reasonable prior notice.</w:t>
      </w:r>
    </w:p>
    <w:p>
      <w:pPr>
        <w:spacing w:after="0" w:line="193" w:lineRule="exact"/>
        <w:rPr>
          <w:rFonts w:ascii="Courier New" w:cs="Courier New" w:eastAsia="Courier New" w:hAnsi="Courier New"/>
          <w:sz w:val="16"/>
          <w:szCs w:val="16"/>
          <w:color w:val="auto"/>
        </w:rPr>
      </w:pPr>
    </w:p>
    <w:p>
      <w:pPr>
        <w:ind w:right="2679" w:firstLine="1715"/>
        <w:spacing w:after="0" w:line="242" w:lineRule="auto"/>
        <w:tabs>
          <w:tab w:leader="none" w:pos="209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an Assignment and Acceptance executed by a transferor Lender and a Purchasing Lender together with payment to the Administrative Agent (by the transferor Lender or the Purchasing Lender, as agreed between them) of a registration and processing fee of $3,000 for each Purchasing Lender listed in such Assignment and Acceptance, the Administrative Agent shall (i) accept such Assignment and Acceptance, (ii) record the information contained therein in the Register and (iii) give prompt notice of such acceptance and recordation to the Lenders and the Borrower.</w:t>
      </w:r>
    </w:p>
    <w:p>
      <w:pPr>
        <w:spacing w:after="0" w:line="188" w:lineRule="exact"/>
        <w:rPr>
          <w:rFonts w:ascii="Courier New" w:cs="Courier New" w:eastAsia="Courier New" w:hAnsi="Courier New"/>
          <w:sz w:val="16"/>
          <w:szCs w:val="16"/>
          <w:color w:val="auto"/>
        </w:rPr>
      </w:pPr>
    </w:p>
    <w:p>
      <w:pPr>
        <w:ind w:right="2679" w:firstLine="1715"/>
        <w:spacing w:after="0" w:line="242" w:lineRule="auto"/>
        <w:tabs>
          <w:tab w:leader="none" w:pos="209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authorizes each Lender to disclose to any Participant or Purchasing Lender (each a "Transferee") and any prospective Transferee any and all financial information in such Lender's possession concerning the Borrower which has been delivered to such Lender by the Borrower pursuant to this Agreement or which has been delivered to such Lender by the Borrower in connection with such Lender's credit evaluation of the Borrower prior</w:t>
      </w:r>
    </w:p>
    <w:p>
      <w:pPr>
        <w:sectPr>
          <w:pgSz w:w="11900" w:h="16838" w:orient="portrait"/>
          <w:cols w:equalWidth="0" w:num="1">
            <w:col w:w="10219"/>
          </w:cols>
          <w:pgMar w:left="240" w:top="298"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87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entering into this Agreement.</w:t>
      </w:r>
    </w:p>
    <w:p>
      <w:pPr>
        <w:spacing w:after="0" w:line="188" w:lineRule="exact"/>
        <w:rPr>
          <w:sz w:val="20"/>
          <w:szCs w:val="20"/>
          <w:color w:val="auto"/>
        </w:rPr>
      </w:pPr>
    </w:p>
    <w:p>
      <w:pPr>
        <w:ind w:right="2679" w:firstLine="1715"/>
        <w:spacing w:after="0" w:line="242" w:lineRule="auto"/>
        <w:tabs>
          <w:tab w:leader="none" w:pos="209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avoidance of doubt, the parties to this Agreement acknowledge that the provisions of this subsection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87"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10.7 Adjustments; Set-off. (a) If any Lender (a "Benefitted Lender") shall at any time receive any payment of all or part of its Loans or the Reimbursement Obligations owing to it, or interest thereon (whether voluntarily or involuntarily, by set-off, pursuant to events or proceedings of the nature referred to in clause (f) of Section 8, or otherwise), in a greater proportion than any such payment to any other Lender, if any, in respect of such other Lender's Loans or the Reimbursement Obligations owing to it, or interest thereon, such Benefitted Lender shall purchase for cash from the other Lenders such portion of each such other Lender's Loan or the Reimbursement Obligations owing to it as shall be necessary to cause such Benefitted Lender to share the excess payment ratably with each of the Lenders; provided, however, that if all or any portion of such excess payment is thereafter recovered from such Benefitted Lender, such purchase shall be rescinded and the purchase price returned to the extent of such recovery, but without interest. The Borrower agrees that each Lender so purchasing a portion of another Lender's Loan or the Reimbursement Obligations owing to it may exercise all rights of payment (including, without limitation, rights of set-off) with respect to such portion as fully as if such Lender were the direct holder of such portion.</w:t>
      </w:r>
    </w:p>
    <w:p>
      <w:pPr>
        <w:spacing w:after="0" w:line="367" w:lineRule="exact"/>
        <w:rPr>
          <w:sz w:val="20"/>
          <w:szCs w:val="20"/>
          <w:color w:val="auto"/>
        </w:rPr>
      </w:pPr>
    </w:p>
    <w:p>
      <w:pPr>
        <w:ind w:right="2599" w:firstLine="1715"/>
        <w:spacing w:after="0" w:line="242" w:lineRule="auto"/>
        <w:tabs>
          <w:tab w:leader="none" w:pos="2098"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and remedies of the Lenders provided by law, upon the occurrence of an Event of Default and acceleration of the obligations owing in connection with this Agreement, each Lender shall have the right, without prior notice to the Borrower, any such notice being expressly waived by the Borrower to the extent permitted by applicable law, to set off, appropriate and apply against any indebtedness, whether matured or unmatured, of the Borrower to such Lender, any amount held by or owing from such Lender to or for the credit or the account of the Borrower at, or at any time after, the happening of any of the above mentioned events, and the aforesaid right of set-off may be exercised by such Lender against the Borrower or against any trustee in bankruptcy, debtor in possession, assignee for the benefit of creditors, receiver, custodian or execution, judgment or attachment creditor of the Borrower, or against anyone else claiming through or against the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after any such set-off and application made by such Lender, provided that the failure to give such notice shall not affect the validity of such set-off and application.</w:t>
      </w:r>
    </w:p>
    <w:p>
      <w:pPr>
        <w:spacing w:after="0" w:line="19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10.8 Enforceability; Usury. In no event shall any provision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or</w:t>
      </w:r>
    </w:p>
    <w:p>
      <w:pPr>
        <w:sectPr>
          <w:pgSz w:w="11900" w:h="16838" w:orient="portrait"/>
          <w:cols w:equalWidth="0" w:num="1">
            <w:col w:w="10219"/>
          </w:cols>
          <w:pgMar w:left="240" w:top="298"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88</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83</w:t>
      </w:r>
    </w:p>
    <w:p>
      <w:pPr>
        <w:spacing w:after="0" w:line="372"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any other instrument evidencing or securing the indebtedness of the Borrower or any Subsidiary Borrower hereunder ever obligate the Borrower or any of the Subsidiary Borrowers to pay or allow any Lender to collect interest on the Loans or any other indebtedness of the Borrower or any of the Subsidiary Borrowers hereunder at a rate greater than the maximum non-usurious rate permitted by applicable law (herein referred to as the "Highest Lawful Rate"), or obligate the Borrower or any of the Subsidiary Borrowers to pay any taxes, assessments, charges, insurance premiums or other amounts to the extent that such payments, when added to the interest payable on the Loans or any other indebtedness hereunder, would be held to constitute the payment by the Borrower or such Subsidiary Borrower of interest at a rate greater than the Highest Lawful Rate; and this provision shall control over any provision to the contrary.</w:t>
      </w:r>
    </w:p>
    <w:p>
      <w:pPr>
        <w:spacing w:after="0" w:line="175" w:lineRule="exact"/>
        <w:rPr>
          <w:sz w:val="20"/>
          <w:szCs w:val="20"/>
          <w:color w:val="auto"/>
        </w:rPr>
      </w:pPr>
    </w:p>
    <w:p>
      <w:pPr>
        <w:ind w:right="2599" w:firstLine="1717"/>
        <w:spacing w:after="0" w:line="259" w:lineRule="auto"/>
        <w:rPr>
          <w:sz w:val="20"/>
          <w:szCs w:val="20"/>
          <w:color w:val="auto"/>
        </w:rPr>
      </w:pPr>
      <w:r>
        <w:rPr>
          <w:rFonts w:ascii="Courier New" w:cs="Courier New" w:eastAsia="Courier New" w:hAnsi="Courier New"/>
          <w:sz w:val="15"/>
          <w:szCs w:val="15"/>
          <w:color w:val="auto"/>
        </w:rPr>
        <w:t>Without limiting the generality of the foregoing, in the event the maturity of all or any part of the principal amount of the indebtedness of the Borrower or any of the Subsidiary Borrowers hereunder shall be accelerated for any reason, then such principal amount so accelerated shall be credited with any interest theretofore paid thereon in advance and remaining unearned at the time of such acceleration. If, pursuant to the terms of this Agreement, any funds are applied to the payment of any part of the principal amount of the indebtedness of the Borrower or any of the Subsidiary Borrowers hereunder prior to the maturity thereof, then (a) any interest which would otherwise thereafter accrue on the principal amount so paid by such application shall be canceled, and (b) the indebtedness of the Borrower or such Subsidiary Borrower hereunder remaining unpaid after such application shall be credited with the amount of all interest, if any, theretofore collected on the principal amount so paid by such application and remaining unearned at the date of said application; and if the funds so applied shall be sufficient to pay in full all the indebtedness of the Borrower or such Subsidiary Borrower hereunder, then the Lenders shall refund to the Borrower or such Subsidiary Borrower all interest theretofore paid thereon in advance and remaining unearned at the time of such acceleration. Regardless of any other provision in this Agreement, or in any of the written evidences of the indebtedness of the Borrower or any of the Subsidiary Borrowers hereunder, neither the Borrower nor any of the Subsidiary Borrowers shall be required to pay any unearned interest on such indebtedness or any portion thereof, and shall be required to pay interest thereon at a rate in excess of the Highest Lawful Rate construed by courts having competent jurisdiction thereof.</w:t>
      </w:r>
    </w:p>
    <w:p>
      <w:pPr>
        <w:spacing w:after="0" w:line="184"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10.9 Judgment. The obligations of the Borrower or any Subsidiary Borrower in respect of this Agreement and any Note due to any party hereto or any holder of any bond shall, notwithstanding any judgment in a currency (the "judgment currency") other than the currency in which the sum originally due to such party or such holder is denominated (the "original currency"), be discharged only to the extent that on the Business Day following receipt by such party or such holder (as the case may be) of any sum adjudged to be so due in the judgment currency such party or such holder (as the case may be) may in accordance with normal banking procedures purchase the original currency with the judgment currency; if the amount of the original currency so purchased is less than the sum originally due to such party or such holder (as the case may be) in the original currency, the Borrower or such Subsidiary Borrower, as the case may be, agrees, as a separate obligation and notwithstanding any such judgment, to indemnify such party or such holder (as the case may be) against such loss, and if the amount of the original currency so purchased exceeds the sum originally due to any party to this Agreement or any</w:t>
      </w:r>
    </w:p>
    <w:p>
      <w:pPr>
        <w:sectPr>
          <w:pgSz w:w="11900" w:h="16838" w:orient="portrait"/>
          <w:cols w:equalWidth="0" w:num="1">
            <w:col w:w="10219"/>
          </w:cols>
          <w:pgMar w:left="240" w:top="298"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89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84</w:t>
      </w:r>
    </w:p>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holder of Notes (as the case may be), such party or such holder (as the case may be), agrees to remit to the Borrower or such Subsidiary Borrower, as the case may be, such excess. This covenant shall survive the termination of this Agreement and payment of the Loans and all other amounts payable hereunder.</w:t>
      </w:r>
    </w:p>
    <w:p>
      <w:pPr>
        <w:spacing w:after="0" w:line="189" w:lineRule="exact"/>
        <w:rPr>
          <w:sz w:val="20"/>
          <w:szCs w:val="20"/>
          <w:color w:val="auto"/>
        </w:rPr>
      </w:pPr>
    </w:p>
    <w:p>
      <w:pPr>
        <w:ind w:right="2679" w:firstLine="1717"/>
        <w:spacing w:after="0" w:line="262" w:lineRule="auto"/>
        <w:rPr>
          <w:sz w:val="20"/>
          <w:szCs w:val="20"/>
          <w:color w:val="auto"/>
        </w:rPr>
      </w:pPr>
      <w:r>
        <w:rPr>
          <w:rFonts w:ascii="Courier New" w:cs="Courier New" w:eastAsia="Courier New" w:hAnsi="Courier New"/>
          <w:sz w:val="15"/>
          <w:szCs w:val="15"/>
          <w:color w:val="auto"/>
        </w:rPr>
        <w:t>10.10 Counterparts. This Agreement may be executed by one or more of the parties hereto on any number of separate counterparts and all of said counterparts taken together shall be deemed to constitute one and the same instrument. A set of the copies of this Agreement signed by all the parties hereto shall be delivered to the Borrower and the Administrative Agent.</w:t>
      </w:r>
    </w:p>
    <w:p>
      <w:pPr>
        <w:spacing w:after="0" w:line="173" w:lineRule="exact"/>
        <w:rPr>
          <w:sz w:val="20"/>
          <w:szCs w:val="20"/>
          <w:color w:val="auto"/>
        </w:rPr>
      </w:pPr>
    </w:p>
    <w:p>
      <w:pPr>
        <w:ind w:right="2599" w:firstLine="1717"/>
        <w:spacing w:after="0" w:line="242" w:lineRule="auto"/>
        <w:rPr>
          <w:sz w:val="20"/>
          <w:szCs w:val="20"/>
          <w:color w:val="auto"/>
        </w:rPr>
      </w:pPr>
      <w:r>
        <w:rPr>
          <w:rFonts w:ascii="Courier New" w:cs="Courier New" w:eastAsia="Courier New" w:hAnsi="Courier New"/>
          <w:sz w:val="16"/>
          <w:szCs w:val="16"/>
          <w:color w:val="auto"/>
        </w:rPr>
        <w:t>10.11 Governing Law; No Third Party Rights. This Agreement and the Notes and the rights and obligations of the parties under this Agreement and the Notes shall be governed by, and construed and interpreted in accordance with, the law of the State of New York. This Agreement is solely for the benefit of the parties hereto and their respective successors and assigns, and no other Person shall have any right, benefit, priority or interest under, or because of the existence of, this Agreement.</w:t>
      </w:r>
    </w:p>
    <w:p>
      <w:pPr>
        <w:spacing w:after="0" w:line="188" w:lineRule="exact"/>
        <w:rPr>
          <w:sz w:val="20"/>
          <w:szCs w:val="20"/>
          <w:color w:val="auto"/>
        </w:rPr>
      </w:pPr>
    </w:p>
    <w:p>
      <w:pPr>
        <w:jc w:val="both"/>
        <w:ind w:right="2779" w:firstLine="1717"/>
        <w:spacing w:after="0"/>
        <w:rPr>
          <w:sz w:val="20"/>
          <w:szCs w:val="20"/>
          <w:color w:val="auto"/>
        </w:rPr>
      </w:pPr>
      <w:r>
        <w:rPr>
          <w:rFonts w:ascii="Courier New" w:cs="Courier New" w:eastAsia="Courier New" w:hAnsi="Courier New"/>
          <w:sz w:val="16"/>
          <w:szCs w:val="16"/>
          <w:color w:val="auto"/>
        </w:rPr>
        <w:t>10.12 Headings. The headings of the Sections and subsections of this Agreement are inserted for convenience only and shall not be deemed to constitute a part hereof.</w:t>
      </w:r>
    </w:p>
    <w:p>
      <w:pPr>
        <w:spacing w:after="0" w:line="190" w:lineRule="exact"/>
        <w:rPr>
          <w:sz w:val="20"/>
          <w:szCs w:val="20"/>
          <w:color w:val="auto"/>
        </w:rPr>
      </w:pPr>
    </w:p>
    <w:p>
      <w:pPr>
        <w:jc w:val="both"/>
        <w:ind w:right="3359" w:firstLine="1717"/>
        <w:spacing w:after="0" w:line="271" w:lineRule="auto"/>
        <w:rPr>
          <w:sz w:val="20"/>
          <w:szCs w:val="20"/>
          <w:color w:val="auto"/>
        </w:rPr>
      </w:pPr>
      <w:r>
        <w:rPr>
          <w:rFonts w:ascii="Courier New" w:cs="Courier New" w:eastAsia="Courier New" w:hAnsi="Courier New"/>
          <w:sz w:val="15"/>
          <w:szCs w:val="15"/>
          <w:color w:val="auto"/>
        </w:rPr>
        <w:t>10.13 German Limitations on Liability. Notwithstanding anything to the contrary contained herein or in any other Loan Document:</w:t>
      </w:r>
    </w:p>
    <w:p>
      <w:pPr>
        <w:spacing w:after="0" w:line="166" w:lineRule="exact"/>
        <w:rPr>
          <w:sz w:val="20"/>
          <w:szCs w:val="20"/>
          <w:color w:val="auto"/>
        </w:rPr>
      </w:pPr>
    </w:p>
    <w:p>
      <w:pPr>
        <w:ind w:left="860" w:right="2599" w:firstLine="855"/>
        <w:spacing w:after="0" w:line="260" w:lineRule="auto"/>
        <w:tabs>
          <w:tab w:leader="none" w:pos="21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hereunder with respect to each Subsidiary Borrower which is a gesellschaft mit beschrankter Haftung organized under the laws of the Federal Republic of Germany (each, a "German GmbH Borrower") shall at all times be limited so that its liability as a Subsidiary Borrower under this Agreement and the other Loan Documents shall at no time require its payment of any moneys which are required to maintain its registered share capital (Stammkapital) to the extent solely that such share capital is protected by Sections 30 and 31 of the German Limited Liabilities Companies Act (the "GmbH-Gesetz"); and</w:t>
      </w:r>
    </w:p>
    <w:p>
      <w:pPr>
        <w:spacing w:after="0" w:line="177" w:lineRule="exact"/>
        <w:rPr>
          <w:rFonts w:ascii="Courier New" w:cs="Courier New" w:eastAsia="Courier New" w:hAnsi="Courier New"/>
          <w:sz w:val="15"/>
          <w:szCs w:val="15"/>
          <w:color w:val="auto"/>
        </w:rPr>
      </w:pPr>
    </w:p>
    <w:p>
      <w:pPr>
        <w:ind w:left="860" w:right="2679" w:firstLine="855"/>
        <w:spacing w:after="0" w:line="242" w:lineRule="auto"/>
        <w:tabs>
          <w:tab w:leader="none" w:pos="210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Administrative Agent nor any of the Lenders shall be entitled to enforce the obligations of any German GmbH Guarantor under Section 10 for so long as, and solely to the extent that, such enforcement would cause such German GmbH Guarantor's net assets (Reinvermogen) to be reduced below the amount of its registered share capital which is protected by Sections 30 and 31 of the GmbH-Gesetz;</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provided each guarantee provided by a Guarantor hereunder on account of the obligations of the German GmbH Borrowers shall be unimpaired by the provisions of this Section 10.14, such that each such Guarantor shall remain liable under the relevant Guarantees hereof for the obligations of the German GmbH Borrowers to the same extent as it would have been liable in the absence of this Section 10.14.</w:t>
      </w:r>
    </w:p>
    <w:p>
      <w:pPr>
        <w:spacing w:after="0" w:line="18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10.14 Submission To Jurisdiction; Waivers. Each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and the</w:t>
      </w:r>
    </w:p>
    <w:p>
      <w:pPr>
        <w:sectPr>
          <w:pgSz w:w="11900" w:h="16838" w:orient="portrait"/>
          <w:cols w:equalWidth="0" w:num="1">
            <w:col w:w="10219"/>
          </w:cols>
          <w:pgMar w:left="240" w:top="298"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90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85</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Borrowers hereby irrevocably and unconditionally:</w:t>
      </w:r>
    </w:p>
    <w:p>
      <w:pPr>
        <w:spacing w:after="0" w:line="188" w:lineRule="exact"/>
        <w:rPr>
          <w:sz w:val="20"/>
          <w:szCs w:val="20"/>
          <w:color w:val="auto"/>
        </w:rPr>
      </w:pPr>
    </w:p>
    <w:p>
      <w:pPr>
        <w:ind w:left="860" w:right="2599" w:firstLine="855"/>
        <w:spacing w:after="0" w:line="242" w:lineRule="auto"/>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87" w:lineRule="exact"/>
        <w:rPr>
          <w:rFonts w:ascii="Courier New" w:cs="Courier New" w:eastAsia="Courier New" w:hAnsi="Courier New"/>
          <w:sz w:val="16"/>
          <w:szCs w:val="16"/>
          <w:color w:val="auto"/>
        </w:rPr>
      </w:pPr>
    </w:p>
    <w:p>
      <w:pPr>
        <w:ind w:left="860" w:right="2599" w:firstLine="855"/>
        <w:spacing w:after="0" w:line="241" w:lineRule="auto"/>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90" w:lineRule="exact"/>
        <w:rPr>
          <w:rFonts w:ascii="Courier New" w:cs="Courier New" w:eastAsia="Courier New" w:hAnsi="Courier New"/>
          <w:sz w:val="16"/>
          <w:szCs w:val="16"/>
          <w:color w:val="auto"/>
        </w:rPr>
      </w:pPr>
    </w:p>
    <w:p>
      <w:pPr>
        <w:ind w:left="860" w:right="2779" w:firstLine="855"/>
        <w:spacing w:after="0" w:line="242" w:lineRule="auto"/>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service of process in any such action or proceeding may be effected by mailing a copy thereof by registered or certified mail (or any substantially similar form of mail), postage prepaid, to the Borrower and the Subsidiary Borrowers at their respective addresses set forth in subsection 10.2 or at such other address of which the Administrative Agent shall have been notified pursuant thereto;</w:t>
      </w:r>
    </w:p>
    <w:p>
      <w:pPr>
        <w:spacing w:after="0" w:line="187" w:lineRule="exact"/>
        <w:rPr>
          <w:rFonts w:ascii="Courier New" w:cs="Courier New" w:eastAsia="Courier New" w:hAnsi="Courier New"/>
          <w:sz w:val="16"/>
          <w:szCs w:val="16"/>
          <w:color w:val="auto"/>
        </w:rPr>
      </w:pPr>
    </w:p>
    <w:p>
      <w:pPr>
        <w:ind w:left="860" w:right="2599" w:firstLine="855"/>
        <w:spacing w:after="0"/>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9" w:lineRule="exact"/>
        <w:rPr>
          <w:rFonts w:ascii="Courier New" w:cs="Courier New" w:eastAsia="Courier New" w:hAnsi="Courier New"/>
          <w:sz w:val="16"/>
          <w:szCs w:val="16"/>
          <w:color w:val="auto"/>
        </w:rPr>
      </w:pPr>
    </w:p>
    <w:p>
      <w:pPr>
        <w:ind w:left="860" w:right="2599" w:firstLine="855"/>
        <w:spacing w:after="0" w:line="241" w:lineRule="auto"/>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subsection any special, exemplary, punitive or consequential damages.</w:t>
      </w:r>
    </w:p>
    <w:p>
      <w:pPr>
        <w:spacing w:after="0" w:line="189" w:lineRule="exact"/>
        <w:rPr>
          <w:rFonts w:ascii="Courier New" w:cs="Courier New" w:eastAsia="Courier New" w:hAnsi="Courier New"/>
          <w:sz w:val="16"/>
          <w:szCs w:val="16"/>
          <w:color w:val="auto"/>
        </w:rPr>
      </w:pPr>
    </w:p>
    <w:p>
      <w:pPr>
        <w:ind w:left="860" w:right="2599" w:firstLine="855"/>
        <w:spacing w:after="0" w:line="242" w:lineRule="auto"/>
        <w:tabs>
          <w:tab w:leader="none" w:pos="21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Foreign Subsidiary becoming a Foreign Subsidiary Borrower, such Foreign Subsidiary Borrower hereby agrees to irrevocably and unconditionally appoint the Borrower or an agent for service of process located in The City of New York (the "New York Process Administrative Agent"), reasonably satisfactory to the Administrative Agent, as its agent to receive on behalf of such Foreign Subsidiary Borrower and its property service of copies of the summons and complaint and any other process which may be served in any action or proceeding in any such New York State or Federal court described in paragraph (a) of this subsection and agrees promptly to appoint a successor New York Process Administrative Agent in The City of New York (which successor New York Process Administrative Agent shall accept such appointment in a writing reasonably satisfactory to the Administrative Agent) prior to the termination for any reason of the appointment of the initial New York Process Administrative Agent. In any such action or proceeding in such New York State or Federal court, such service may be made on such Foreign Subsidiary Borrower by delivering a copy of such process to such Foreign Subsidiary Borrower in care of the New York Process Administrative Agent at the New York Process Administrative Agent's address and by depositing a copy of such process in the mails by certified or registered air mail, addressed to such Foreign Subsidiary Borrower at its address specified in subsection 10.2 (such service to be effective upon</w:t>
      </w:r>
    </w:p>
    <w:p>
      <w:pPr>
        <w:sectPr>
          <w:pgSz w:w="11900" w:h="16838" w:orient="portrait"/>
          <w:cols w:equalWidth="0" w:num="1">
            <w:col w:w="10219"/>
          </w:cols>
          <w:pgMar w:left="240" w:top="29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91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86</w:t>
      </w:r>
    </w:p>
    <w:p>
      <w:pPr>
        <w:spacing w:after="0" w:line="372" w:lineRule="exact"/>
        <w:rPr>
          <w:sz w:val="20"/>
          <w:szCs w:val="20"/>
          <w:color w:val="auto"/>
        </w:rPr>
      </w:pPr>
    </w:p>
    <w:p>
      <w:pPr>
        <w:ind w:left="860" w:right="2679"/>
        <w:spacing w:after="0" w:line="242" w:lineRule="auto"/>
        <w:rPr>
          <w:sz w:val="20"/>
          <w:szCs w:val="20"/>
          <w:color w:val="auto"/>
        </w:rPr>
      </w:pPr>
      <w:r>
        <w:rPr>
          <w:rFonts w:ascii="Courier New" w:cs="Courier New" w:eastAsia="Courier New" w:hAnsi="Courier New"/>
          <w:sz w:val="16"/>
          <w:szCs w:val="16"/>
          <w:color w:val="auto"/>
        </w:rPr>
        <w:t>such receipt by the New York Process Administrative Agent and the depositing of such process in the mails as aforesaid). Each of the Foreign Subsidiary Borrowers hereby irrevocably and unconditionally authorizes and directs the New York Process Administrative Agent to accept such service on its behalf. As an alternate method of service, each of the Foreign Subsidiary Borrowers irrevocably and unconditionally consents to the service of any and all process in any such action or proceeding in such New York State or Federal court by mailing of copies of such process to such Foreign Subsidiary Borrower by certified or registered air mail at its address specified in subsection 10.2. Each of the Foreign Subsidiary Borrowers agrees that, to the fullest extent permitted by applicable law, a final judgment in any such action or proceeding shall be conclusive and may be enforced in other jurisdictions by suit on the judgment or in any other manner provided by law.</w:t>
      </w:r>
    </w:p>
    <w:p>
      <w:pPr>
        <w:spacing w:after="0" w:line="193" w:lineRule="exact"/>
        <w:rPr>
          <w:sz w:val="20"/>
          <w:szCs w:val="20"/>
          <w:color w:val="auto"/>
        </w:rPr>
      </w:pPr>
    </w:p>
    <w:p>
      <w:pPr>
        <w:ind w:left="860" w:right="2599" w:firstLine="855"/>
        <w:spacing w:after="0" w:line="242" w:lineRule="auto"/>
        <w:tabs>
          <w:tab w:leader="none" w:pos="21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Foreign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Foreign Subsidiary Borrower hereby irrevocably waives and agrees not to plead or claim such immunity in respect of its obligations under this Agreement and any Note.</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10.15 Acknowledgements. Each of the Borrower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Borrowers hereby acknowledges that:</w:t>
      </w:r>
    </w:p>
    <w:p>
      <w:pPr>
        <w:spacing w:after="0" w:line="188" w:lineRule="exact"/>
        <w:rPr>
          <w:sz w:val="20"/>
          <w:szCs w:val="20"/>
          <w:color w:val="auto"/>
        </w:rPr>
      </w:pPr>
    </w:p>
    <w:p>
      <w:pPr>
        <w:ind w:left="860" w:right="2879" w:firstLine="855"/>
        <w:spacing w:after="0"/>
        <w:tabs>
          <w:tab w:leader="none" w:pos="21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Notes and the other Loan Documents;</w:t>
      </w:r>
    </w:p>
    <w:p>
      <w:pPr>
        <w:spacing w:after="0" w:line="189" w:lineRule="exact"/>
        <w:rPr>
          <w:rFonts w:ascii="Courier New" w:cs="Courier New" w:eastAsia="Courier New" w:hAnsi="Courier New"/>
          <w:sz w:val="16"/>
          <w:szCs w:val="16"/>
          <w:color w:val="auto"/>
        </w:rPr>
      </w:pPr>
    </w:p>
    <w:p>
      <w:pPr>
        <w:ind w:left="860" w:right="2599" w:firstLine="855"/>
        <w:spacing w:after="0" w:line="241" w:lineRule="auto"/>
        <w:tabs>
          <w:tab w:leader="none" w:pos="21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Administrative Agent nor any Lender has any fiduciary relationship to the Borrower or any Subsidiary Borrower, and the relationship between Administrative Agent and Lenders, on one hand, and the Borrower or any Subsidiary Borrower, on the other hand, is solely that of debtor and creditor; and</w:t>
      </w:r>
    </w:p>
    <w:p>
      <w:pPr>
        <w:spacing w:after="0" w:line="190" w:lineRule="exact"/>
        <w:rPr>
          <w:rFonts w:ascii="Courier New" w:cs="Courier New" w:eastAsia="Courier New" w:hAnsi="Courier New"/>
          <w:sz w:val="16"/>
          <w:szCs w:val="16"/>
          <w:color w:val="auto"/>
        </w:rPr>
      </w:pPr>
    </w:p>
    <w:p>
      <w:pPr>
        <w:ind w:left="860" w:right="2979" w:firstLine="855"/>
        <w:spacing w:after="0" w:line="239" w:lineRule="auto"/>
        <w:tabs>
          <w:tab w:leader="none" w:pos="210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exists among the Lenders or among the Borrower or any Subsidiary Borrower and the Lenders.</w:t>
      </w:r>
    </w:p>
    <w:p>
      <w:pPr>
        <w:spacing w:after="0" w:line="189" w:lineRule="exact"/>
        <w:rPr>
          <w:sz w:val="20"/>
          <w:szCs w:val="20"/>
          <w:color w:val="auto"/>
        </w:rPr>
      </w:pPr>
    </w:p>
    <w:p>
      <w:pPr>
        <w:ind w:right="2779" w:firstLine="1717"/>
        <w:spacing w:after="0" w:line="241" w:lineRule="auto"/>
        <w:rPr>
          <w:sz w:val="20"/>
          <w:szCs w:val="20"/>
          <w:color w:val="auto"/>
        </w:rPr>
      </w:pPr>
      <w:r>
        <w:rPr>
          <w:rFonts w:ascii="Courier New" w:cs="Courier New" w:eastAsia="Courier New" w:hAnsi="Courier New"/>
          <w:sz w:val="16"/>
          <w:szCs w:val="16"/>
          <w:color w:val="auto"/>
        </w:rPr>
        <w:t>10.16 WAIVERS OF JURY TRIAL. THE BORROWER, THE SUBSIDIARY BORROWERS, THE ADMINISTRATIVE AGENT AND THE LENDERS HEREBY IRREVOCABLY AND UNCONDITIONALLY WAIVE TRIAL BY JURY IN ANY LEGAL ACTION OR PROCEEDING RELATING TO THIS AGREEMENT OR THE NOTES OR ANY LOAN DOCUMENT AND FOR ANY COUNTERCLAIM THEREIN.</w:t>
      </w:r>
    </w:p>
    <w:p>
      <w:pPr>
        <w:sectPr>
          <w:pgSz w:w="11900" w:h="16838" w:orient="portrait"/>
          <w:cols w:equalWidth="0" w:num="1">
            <w:col w:w="10219"/>
          </w:cols>
          <w:pgMar w:left="240" w:top="298"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92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87</w:t>
      </w:r>
    </w:p>
    <w:p>
      <w:pPr>
        <w:spacing w:after="0" w:line="372"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10.17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10219"/>
          </w:cols>
          <w:pgMar w:left="240" w:top="298"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93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679" w:firstLine="1717"/>
        <w:spacing w:after="0" w:line="26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delivered in New York, New York by their proper and duly authorized officers as of the day and year first above written.</w:t>
      </w:r>
    </w:p>
    <w:p>
      <w:pPr>
        <w:spacing w:after="0" w:line="16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Title: Sr. Vice President</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O.M. SCOTT INTERNATIONAL INVESTMENTS LIMITED</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Title: Authorized Signatory</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MIRACLE GARDEN CARE LIMITED</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Title: Authorized Signatory</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SCOTTS HOLDINGS LIMITED</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Title: Authorized Signatory</w:t>
      </w:r>
    </w:p>
    <w:p>
      <w:pPr>
        <w:spacing w:after="0" w:line="36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HYPONEX CORPORATION</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298"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6"/>
          <w:szCs w:val="16"/>
          <w:color w:val="auto"/>
        </w:rPr>
        <w:t>94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89</w:t>
      </w:r>
    </w:p>
    <w:p>
      <w:pPr>
        <w:spacing w:after="0" w:line="36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SCOTTS' MIRACLE-GRO PRODUCTS, INC.</w:t>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Vice President</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SCOTTS-SIERRA HORTICULTURAL PRODUCTS COMPANY</w:t>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Vice President</w:t>
      </w:r>
    </w:p>
    <w:p>
      <w:pPr>
        <w:spacing w:after="0" w:line="36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G. Robert Lucas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Vice President</w:t>
      </w:r>
    </w:p>
    <w:p>
      <w:pPr>
        <w:spacing w:after="0" w:line="36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CHASE MANHATTAN BANK, as</w:t>
      </w:r>
    </w:p>
    <w:p>
      <w:pPr>
        <w:spacing w:after="0" w:line="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Administrative Agent and as a Lender</w:t>
      </w:r>
    </w:p>
    <w:p>
      <w:pPr>
        <w:spacing w:after="0" w:line="200" w:lineRule="exact"/>
        <w:rPr>
          <w:sz w:val="20"/>
          <w:szCs w:val="20"/>
          <w:color w:val="auto"/>
        </w:rPr>
      </w:pPr>
    </w:p>
    <w:p>
      <w:pPr>
        <w:spacing w:after="0" w:line="35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John Mix</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6"/>
          <w:szCs w:val="16"/>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CREDIT LYONNAIS CHICAGO BRANCH</w:t>
      </w:r>
    </w:p>
    <w:p>
      <w:pPr>
        <w:spacing w:after="0" w:line="200" w:lineRule="exact"/>
        <w:rPr>
          <w:sz w:val="20"/>
          <w:szCs w:val="20"/>
          <w:color w:val="auto"/>
        </w:rPr>
      </w:pPr>
    </w:p>
    <w:p>
      <w:pPr>
        <w:spacing w:after="0" w:line="352"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Name: Mary Ann Klemm</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NBD BANK</w:t>
      </w:r>
    </w:p>
    <w:p>
      <w:pPr>
        <w:spacing w:after="0" w:line="200" w:lineRule="exact"/>
        <w:rPr>
          <w:sz w:val="20"/>
          <w:szCs w:val="20"/>
          <w:color w:val="auto"/>
        </w:rPr>
      </w:pPr>
    </w:p>
    <w:p>
      <w:pPr>
        <w:spacing w:after="0" w:line="352"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Name: Gary C. Wilson</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Title: First Vice President</w:t>
      </w:r>
    </w:p>
    <w:p>
      <w:pPr>
        <w:sectPr>
          <w:pgSz w:w="11900" w:h="16838" w:orient="portrait"/>
          <w:cols w:equalWidth="0" w:num="1">
            <w:col w:w="9939"/>
          </w:cols>
          <w:pgMar w:left="520" w:top="298"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KEYBANK NATIONAL ASSOCIATION</w:t>
      </w:r>
    </w:p>
    <w:p>
      <w:pPr>
        <w:spacing w:after="0" w:line="200" w:lineRule="exact"/>
        <w:rPr>
          <w:sz w:val="20"/>
          <w:szCs w:val="20"/>
          <w:color w:val="auto"/>
        </w:rPr>
      </w:pPr>
    </w:p>
    <w:p>
      <w:pPr>
        <w:spacing w:after="0" w:line="35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Name: Richard A. Pohle</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BANK ONE, N.A.</w:t>
      </w: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 Douglas H. Klanfoth</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6"/>
          <w:szCs w:val="16"/>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NATIONAL CITY BANK, COLUMBUS</w:t>
      </w:r>
    </w:p>
    <w:p>
      <w:pPr>
        <w:spacing w:after="0" w:line="200" w:lineRule="exact"/>
        <w:rPr>
          <w:sz w:val="20"/>
          <w:szCs w:val="20"/>
          <w:color w:val="auto"/>
        </w:rPr>
      </w:pPr>
    </w:p>
    <w:p>
      <w:pPr>
        <w:spacing w:after="0" w:line="35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Name: David B. Yates</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6"/>
          <w:szCs w:val="16"/>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COMERICA BANK</w:t>
      </w:r>
    </w:p>
    <w:p>
      <w:pPr>
        <w:spacing w:after="0" w:line="200" w:lineRule="exact"/>
        <w:rPr>
          <w:sz w:val="20"/>
          <w:szCs w:val="20"/>
          <w:color w:val="auto"/>
        </w:rPr>
      </w:pPr>
    </w:p>
    <w:p>
      <w:pPr>
        <w:spacing w:after="0" w:line="352"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Name: Anthony L. Davis</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Title: Account Officer</w:t>
      </w:r>
    </w:p>
    <w:p>
      <w:pPr>
        <w:sectPr>
          <w:pgSz w:w="11900" w:h="16838" w:orient="portrait"/>
          <w:cols w:equalWidth="0" w:num="1">
            <w:col w:w="9939"/>
          </w:cols>
          <w:pgMar w:left="520" w:top="298"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WACHOVIA BANK</w:t>
      </w: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 Henry H. Hagan</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Title: Sr. Vice President</w:t>
      </w:r>
    </w:p>
    <w:p>
      <w:pPr>
        <w:sectPr>
          <w:pgSz w:w="11900" w:h="16838" w:orient="portrait"/>
          <w:cols w:equalWidth="0" w:num="1">
            <w:col w:w="9939"/>
          </w:cols>
          <w:pgMar w:left="520" w:top="298"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THE BANK OF NOVA SCOTIA</w:t>
      </w:r>
    </w:p>
    <w:p>
      <w:pPr>
        <w:spacing w:after="0" w:line="36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Name: Claude Ashdy</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NATIONAL WESTMINSTER BANK PLC</w:t>
      </w:r>
    </w:p>
    <w:p>
      <w:pPr>
        <w:spacing w:after="0" w:line="200" w:lineRule="exact"/>
        <w:rPr>
          <w:sz w:val="20"/>
          <w:szCs w:val="20"/>
          <w:color w:val="auto"/>
        </w:rPr>
      </w:pPr>
    </w:p>
    <w:p>
      <w:pPr>
        <w:spacing w:after="0" w:line="352"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 Peter J. Stringer</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Title: Sr. Vice President</w:t>
      </w:r>
    </w:p>
    <w:p>
      <w:pPr>
        <w:sectPr>
          <w:pgSz w:w="11900" w:h="16838" w:orient="portrait"/>
          <w:cols w:equalWidth="0" w:num="1">
            <w:col w:w="9939"/>
          </w:cols>
          <w:pgMar w:left="520" w:top="298"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CREDIT AGRICOLE INDOSUEZ</w:t>
      </w:r>
    </w:p>
    <w:p>
      <w:pPr>
        <w:spacing w:after="0" w:line="200" w:lineRule="exact"/>
        <w:rPr>
          <w:sz w:val="20"/>
          <w:szCs w:val="20"/>
          <w:color w:val="auto"/>
        </w:rPr>
      </w:pP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Name: W. Leroy Startz</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 First Vice President</w:t>
      </w:r>
    </w:p>
    <w:p>
      <w:pPr>
        <w:spacing w:after="0" w:line="200" w:lineRule="exact"/>
        <w:rPr>
          <w:sz w:val="20"/>
          <w:szCs w:val="20"/>
          <w:color w:val="auto"/>
        </w:rPr>
      </w:pP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Name: Daniel Bouhl, F.V.P.</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Title: Head of Corporate Banking</w:t>
      </w:r>
    </w:p>
    <w:p>
      <w:pPr>
        <w:sectPr>
          <w:pgSz w:w="11900" w:h="16838" w:orient="portrait"/>
          <w:cols w:equalWidth="0" w:num="1">
            <w:col w:w="9939"/>
          </w:cols>
          <w:pgMar w:left="520" w:top="298"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CORESTATES BANK</w:t>
      </w:r>
    </w:p>
    <w:p>
      <w:pPr>
        <w:spacing w:after="0" w:line="200" w:lineRule="exact"/>
        <w:rPr>
          <w:sz w:val="20"/>
          <w:szCs w:val="20"/>
          <w:color w:val="auto"/>
        </w:rPr>
      </w:pP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Name: Martha M. Winters</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 Asst. Vice President</w:t>
      </w:r>
    </w:p>
    <w:p>
      <w:pPr>
        <w:sectPr>
          <w:pgSz w:w="11900" w:h="16838" w:orient="portrait"/>
          <w:cols w:equalWidth="0" w:num="1">
            <w:col w:w="9939"/>
          </w:cols>
          <w:pgMar w:left="520" w:top="298"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MELLON BANK, N.A.</w:t>
      </w: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Name: Mark F. Johnston</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3059"/>
        <w:spacing w:after="0"/>
        <w:rPr>
          <w:sz w:val="20"/>
          <w:szCs w:val="20"/>
          <w:color w:val="auto"/>
        </w:rPr>
      </w:pPr>
      <w:r>
        <w:rPr>
          <w:rFonts w:ascii="Courier New" w:cs="Courier New" w:eastAsia="Courier New" w:hAnsi="Courier New"/>
          <w:sz w:val="16"/>
          <w:szCs w:val="16"/>
          <w:color w:val="auto"/>
        </w:rPr>
        <w:t>Title: Asst. Vice President</w:t>
      </w:r>
    </w:p>
    <w:p>
      <w:pPr>
        <w:sectPr>
          <w:pgSz w:w="11900" w:h="16838" w:orient="portrait"/>
          <w:cols w:equalWidth="0" w:num="1">
            <w:col w:w="9939"/>
          </w:cols>
          <w:pgMar w:left="520" w:top="298"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BANK OF TOKYO-MITSUBISHI TRUST COMPANY</w:t>
      </w:r>
    </w:p>
    <w:p>
      <w:pPr>
        <w:spacing w:after="0" w:line="36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F. N. Wilms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UNION BANK OF CALIFORNIA, N.A.</w:t>
      </w:r>
    </w:p>
    <w:p>
      <w:pPr>
        <w:spacing w:after="0" w:line="200" w:lineRule="exact"/>
        <w:rPr>
          <w:sz w:val="20"/>
          <w:szCs w:val="20"/>
          <w:color w:val="auto"/>
        </w:rPr>
      </w:pP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Name: Henry G. Montgomery</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98"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PNC BANK, NATIONAL ASSOCIATION</w:t>
      </w: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Name: Toby B. Rau</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Title: Asst. Vice President</w:t>
      </w:r>
    </w:p>
    <w:p>
      <w:pPr>
        <w:sectPr>
          <w:pgSz w:w="11900" w:h="16838" w:orient="portrait"/>
          <w:cols w:equalWidth="0" w:num="1">
            <w:col w:w="9939"/>
          </w:cols>
          <w:pgMar w:left="520" w:top="298"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6"/>
          <w:szCs w:val="16"/>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THE SANWA BANK, LIMITED, CHICAGO BRANCH</w:t>
      </w:r>
    </w:p>
    <w:p>
      <w:pPr>
        <w:spacing w:after="0" w:line="200" w:lineRule="exact"/>
        <w:rPr>
          <w:sz w:val="20"/>
          <w:szCs w:val="20"/>
          <w:color w:val="auto"/>
        </w:rPr>
      </w:pP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Name: James P. Byrnes</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 First Vice President</w:t>
      </w:r>
    </w:p>
    <w:p>
      <w:pPr>
        <w:sectPr>
          <w:pgSz w:w="11900" w:h="16838" w:orient="portrait"/>
          <w:cols w:equalWidth="0" w:num="1">
            <w:col w:w="9939"/>
          </w:cols>
          <w:pgMar w:left="520" w:top="298"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1</w:t>
      </w:r>
    </w:p>
    <w:p>
      <w:pPr>
        <w:spacing w:after="0" w:line="369"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1996 STOCK OPTION PLAN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(REFLECTS AMENDMENTS THROUGH MAY 15, 1998)</w:t>
      </w:r>
    </w:p>
    <w:p>
      <w:pPr>
        <w:sectPr>
          <w:pgSz w:w="11900" w:h="16838" w:orient="portrait"/>
          <w:cols w:equalWidth="0" w:num="1">
            <w:col w:w="9939"/>
          </w:cols>
          <w:pgMar w:left="520" w:top="139" w:right="1440" w:bottom="1440" w:gutter="0" w:footer="0" w:header="0"/>
        </w:sectPr>
      </w:pPr>
    </w:p>
    <w:bookmarkStart w:id="135" w:name="page136"/>
    <w:bookmarkEnd w:id="135"/>
    <w:p>
      <w:pPr>
        <w:ind w:left="282"/>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THE SCOTTS COMPANY</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1996 STOCK OPTION PLAN</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(REFLECTS AMENDMENTS THROUGH MAY 15, 1998)</w:t>
      </w:r>
    </w:p>
    <w:p>
      <w:pPr>
        <w:spacing w:after="0" w:line="369"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SECTION l.</w:t>
      </w:r>
    </w:p>
    <w:p>
      <w:pPr>
        <w:spacing w:after="0" w:line="186"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ind w:left="2" w:right="2879" w:firstLine="858"/>
        <w:spacing w:after="0" w:line="259" w:lineRule="auto"/>
        <w:rPr>
          <w:sz w:val="20"/>
          <w:szCs w:val="20"/>
          <w:color w:val="auto"/>
        </w:rPr>
      </w:pPr>
      <w:r>
        <w:rPr>
          <w:rFonts w:ascii="Courier New" w:cs="Courier New" w:eastAsia="Courier New" w:hAnsi="Courier New"/>
          <w:sz w:val="15"/>
          <w:szCs w:val="15"/>
          <w:color w:val="auto"/>
        </w:rPr>
        <w:t>The purpose of the Plan is to foster and promote the long-term financial success of the Company and materially increase shareholder value by</w:t>
      </w:r>
    </w:p>
    <w:p>
      <w:pPr>
        <w:ind w:left="2" w:right="2599" w:hanging="2"/>
        <w:spacing w:after="0" w:line="241" w:lineRule="auto"/>
        <w:tabs>
          <w:tab w:leader="none" w:pos="3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88"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SECTION 2.</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left="2" w:right="2779" w:firstLine="858"/>
        <w:spacing w:after="0" w:line="239"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spacing w:after="0" w:line="186" w:lineRule="exact"/>
        <w:rPr>
          <w:sz w:val="20"/>
          <w:szCs w:val="20"/>
          <w:color w:val="auto"/>
        </w:rPr>
      </w:pPr>
    </w:p>
    <w:p>
      <w:pPr>
        <w:ind w:left="1242" w:hanging="384"/>
        <w:spacing w:after="0"/>
        <w:tabs>
          <w:tab w:leader="none" w:pos="124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85" w:lineRule="exact"/>
        <w:rPr>
          <w:rFonts w:ascii="Courier New" w:cs="Courier New" w:eastAsia="Courier New" w:hAnsi="Courier New"/>
          <w:sz w:val="16"/>
          <w:szCs w:val="16"/>
          <w:color w:val="auto"/>
        </w:rPr>
      </w:pPr>
    </w:p>
    <w:p>
      <w:pPr>
        <w:ind w:left="1242" w:hanging="384"/>
        <w:spacing w:after="0"/>
        <w:tabs>
          <w:tab w:leader="none" w:pos="124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85" w:lineRule="exact"/>
        <w:rPr>
          <w:rFonts w:ascii="Courier New" w:cs="Courier New" w:eastAsia="Courier New" w:hAnsi="Courier New"/>
          <w:sz w:val="16"/>
          <w:szCs w:val="16"/>
          <w:color w:val="auto"/>
        </w:rPr>
      </w:pPr>
    </w:p>
    <w:p>
      <w:pPr>
        <w:ind w:left="1242" w:hanging="384"/>
        <w:spacing w:after="0"/>
        <w:tabs>
          <w:tab w:leader="none" w:pos="124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8" w:lineRule="exact"/>
        <w:rPr>
          <w:rFonts w:ascii="Courier New" w:cs="Courier New" w:eastAsia="Courier New" w:hAnsi="Courier New"/>
          <w:sz w:val="16"/>
          <w:szCs w:val="16"/>
          <w:color w:val="auto"/>
        </w:rPr>
      </w:pPr>
    </w:p>
    <w:p>
      <w:pPr>
        <w:ind w:left="2" w:right="2599" w:firstLine="856"/>
        <w:spacing w:after="0" w:line="242" w:lineRule="auto"/>
        <w:tabs>
          <w:tab w:leader="none" w:pos="124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87" w:lineRule="exact"/>
        <w:rPr>
          <w:rFonts w:ascii="Courier New" w:cs="Courier New" w:eastAsia="Courier New" w:hAnsi="Courier New"/>
          <w:sz w:val="16"/>
          <w:szCs w:val="16"/>
          <w:color w:val="auto"/>
        </w:rPr>
      </w:pPr>
    </w:p>
    <w:p>
      <w:pPr>
        <w:ind w:left="1242" w:hanging="384"/>
        <w:spacing w:after="0"/>
        <w:tabs>
          <w:tab w:leader="none" w:pos="124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 following</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88" w:lineRule="exact"/>
        <w:rPr>
          <w:rFonts w:ascii="Courier New" w:cs="Courier New" w:eastAsia="Courier New" w:hAnsi="Courier New"/>
          <w:sz w:val="16"/>
          <w:szCs w:val="16"/>
          <w:color w:val="auto"/>
        </w:rPr>
      </w:pPr>
    </w:p>
    <w:p>
      <w:pPr>
        <w:ind w:left="862" w:right="2599" w:firstLine="855"/>
        <w:spacing w:after="0" w:line="242" w:lineRule="auto"/>
        <w:tabs>
          <w:tab w:leader="none" w:pos="2102"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89" w:lineRule="exact"/>
        <w:rPr>
          <w:rFonts w:ascii="Courier New" w:cs="Courier New" w:eastAsia="Courier New" w:hAnsi="Courier New"/>
          <w:sz w:val="16"/>
          <w:szCs w:val="16"/>
          <w:color w:val="auto"/>
        </w:rPr>
      </w:pPr>
    </w:p>
    <w:p>
      <w:pPr>
        <w:ind w:left="862" w:right="2599" w:firstLine="855"/>
        <w:spacing w:after="0" w:line="261" w:lineRule="auto"/>
        <w:tabs>
          <w:tab w:leader="none" w:pos="219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73" w:lineRule="exact"/>
        <w:rPr>
          <w:rFonts w:ascii="Courier New" w:cs="Courier New" w:eastAsia="Courier New" w:hAnsi="Courier New"/>
          <w:sz w:val="15"/>
          <w:szCs w:val="15"/>
          <w:color w:val="auto"/>
        </w:rPr>
      </w:pPr>
    </w:p>
    <w:p>
      <w:pPr>
        <w:ind w:left="862" w:right="2779" w:firstLine="855"/>
        <w:spacing w:after="0" w:line="241" w:lineRule="auto"/>
        <w:tabs>
          <w:tab w:leader="none" w:pos="229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w:t>
      </w:r>
    </w:p>
    <w:p>
      <w:pPr>
        <w:sectPr>
          <w:pgSz w:w="11900" w:h="16838" w:orient="portrait"/>
          <w:cols w:equalWidth="0" w:num="1">
            <w:col w:w="10221"/>
          </w:cols>
          <w:pgMar w:left="238"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62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1"/>
          </w:cols>
          <w:pgMar w:left="238" w:top="298" w:right="1440" w:bottom="1440" w:gutter="0" w:footer="0" w:header="0"/>
          <w:type w:val="continuous"/>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left="580" w:right="2679"/>
        <w:spacing w:after="0" w:line="241" w:lineRule="auto"/>
        <w:rPr>
          <w:sz w:val="20"/>
          <w:szCs w:val="20"/>
          <w:color w:val="auto"/>
        </w:rPr>
      </w:pPr>
      <w:r>
        <w:rPr>
          <w:rFonts w:ascii="Courier New" w:cs="Courier New" w:eastAsia="Courier New" w:hAnsi="Courier New"/>
          <w:sz w:val="16"/>
          <w:szCs w:val="16"/>
          <w:color w:val="auto"/>
        </w:rPr>
        <w:t>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90" w:lineRule="exact"/>
        <w:rPr>
          <w:sz w:val="20"/>
          <w:szCs w:val="20"/>
          <w:color w:val="auto"/>
        </w:rPr>
      </w:pPr>
    </w:p>
    <w:p>
      <w:pPr>
        <w:ind w:left="580" w:right="2599" w:firstLine="855"/>
        <w:spacing w:after="0" w:line="262" w:lineRule="auto"/>
        <w:tabs>
          <w:tab w:leader="none" w:pos="1915"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172" w:lineRule="exact"/>
        <w:rPr>
          <w:rFonts w:ascii="Courier New" w:cs="Courier New" w:eastAsia="Courier New" w:hAnsi="Courier New"/>
          <w:sz w:val="15"/>
          <w:szCs w:val="15"/>
          <w:color w:val="auto"/>
        </w:rPr>
      </w:pPr>
    </w:p>
    <w:p>
      <w:pPr>
        <w:ind w:left="-280" w:right="2599" w:firstLine="856"/>
        <w:spacing w:after="0" w:line="242"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85" w:lineRule="exact"/>
        <w:rPr>
          <w:rFonts w:ascii="Courier New" w:cs="Courier New" w:eastAsia="Courier New" w:hAnsi="Courier New"/>
          <w:sz w:val="16"/>
          <w:szCs w:val="16"/>
          <w:color w:val="auto"/>
        </w:rPr>
      </w:pPr>
    </w:p>
    <w:p>
      <w:pPr>
        <w:ind w:left="960" w:hanging="384"/>
        <w:spacing w:after="0"/>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8" w:lineRule="exact"/>
        <w:rPr>
          <w:rFonts w:ascii="Courier New" w:cs="Courier New" w:eastAsia="Courier New" w:hAnsi="Courier New"/>
          <w:sz w:val="16"/>
          <w:szCs w:val="16"/>
          <w:color w:val="auto"/>
        </w:rPr>
      </w:pPr>
    </w:p>
    <w:p>
      <w:pPr>
        <w:ind w:left="-280" w:right="2599" w:firstLine="856"/>
        <w:spacing w:after="0" w:line="242"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89" w:lineRule="exact"/>
        <w:rPr>
          <w:rFonts w:ascii="Courier New" w:cs="Courier New" w:eastAsia="Courier New" w:hAnsi="Courier New"/>
          <w:sz w:val="16"/>
          <w:szCs w:val="16"/>
          <w:color w:val="auto"/>
        </w:rPr>
      </w:pPr>
    </w:p>
    <w:p>
      <w:pPr>
        <w:ind w:left="-280" w:right="2879" w:firstLine="856"/>
        <w:spacing w:after="0" w:line="239"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spacing w:after="0" w:line="189" w:lineRule="exact"/>
        <w:rPr>
          <w:rFonts w:ascii="Courier New" w:cs="Courier New" w:eastAsia="Courier New" w:hAnsi="Courier New"/>
          <w:sz w:val="16"/>
          <w:szCs w:val="16"/>
          <w:color w:val="auto"/>
        </w:rPr>
      </w:pPr>
    </w:p>
    <w:p>
      <w:pPr>
        <w:jc w:val="both"/>
        <w:ind w:left="-280" w:right="2599" w:firstLine="856"/>
        <w:spacing w:after="0"/>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granted to each Eligible Director pursuant to Section 6.6 without any action by the Board or the Committee.</w:t>
      </w:r>
    </w:p>
    <w:p>
      <w:pPr>
        <w:spacing w:after="0" w:line="189" w:lineRule="exact"/>
        <w:rPr>
          <w:rFonts w:ascii="Courier New" w:cs="Courier New" w:eastAsia="Courier New" w:hAnsi="Courier New"/>
          <w:sz w:val="16"/>
          <w:szCs w:val="16"/>
          <w:color w:val="auto"/>
        </w:rPr>
      </w:pPr>
    </w:p>
    <w:p>
      <w:pPr>
        <w:ind w:left="-280" w:right="2679" w:firstLine="856"/>
        <w:spacing w:after="0" w:line="241"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90" w:lineRule="exact"/>
        <w:rPr>
          <w:rFonts w:ascii="Courier New" w:cs="Courier New" w:eastAsia="Courier New" w:hAnsi="Courier New"/>
          <w:sz w:val="16"/>
          <w:szCs w:val="16"/>
          <w:color w:val="auto"/>
        </w:rPr>
      </w:pPr>
    </w:p>
    <w:p>
      <w:pPr>
        <w:ind w:left="-280" w:right="2679" w:firstLine="856"/>
        <w:spacing w:after="0" w:line="239"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spacing w:after="0" w:line="189" w:lineRule="exact"/>
        <w:rPr>
          <w:rFonts w:ascii="Courier New" w:cs="Courier New" w:eastAsia="Courier New" w:hAnsi="Courier New"/>
          <w:sz w:val="16"/>
          <w:szCs w:val="16"/>
          <w:color w:val="auto"/>
        </w:rPr>
      </w:pPr>
    </w:p>
    <w:p>
      <w:pPr>
        <w:ind w:left="-280" w:right="2679" w:firstLine="856"/>
        <w:spacing w:after="0" w:line="239"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189" w:lineRule="exact"/>
        <w:rPr>
          <w:rFonts w:ascii="Courier New" w:cs="Courier New" w:eastAsia="Courier New" w:hAnsi="Courier New"/>
          <w:sz w:val="16"/>
          <w:szCs w:val="16"/>
          <w:color w:val="auto"/>
        </w:rPr>
      </w:pPr>
    </w:p>
    <w:p>
      <w:pPr>
        <w:ind w:left="-280" w:right="2599" w:firstLine="856"/>
        <w:spacing w:after="0" w:line="242"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87" w:lineRule="exact"/>
        <w:rPr>
          <w:rFonts w:ascii="Courier New" w:cs="Courier New" w:eastAsia="Courier New" w:hAnsi="Courier New"/>
          <w:sz w:val="16"/>
          <w:szCs w:val="16"/>
          <w:color w:val="auto"/>
        </w:rPr>
      </w:pPr>
    </w:p>
    <w:p>
      <w:pPr>
        <w:ind w:left="-280" w:right="2599" w:firstLine="856"/>
        <w:spacing w:after="0" w:line="241"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 (i) an "Incentive Stock Option" (ISO) within the meaning of Section 422 of the Code or (ii) a "Nonstatutory Stock Option" (NSO) which does not qualify for treatment as an "Incentive Stock Option."</w:t>
      </w:r>
    </w:p>
    <w:p>
      <w:pPr>
        <w:spacing w:after="0" w:line="190" w:lineRule="exact"/>
        <w:rPr>
          <w:rFonts w:ascii="Courier New" w:cs="Courier New" w:eastAsia="Courier New" w:hAnsi="Courier New"/>
          <w:sz w:val="16"/>
          <w:szCs w:val="16"/>
          <w:color w:val="auto"/>
        </w:rPr>
      </w:pPr>
    </w:p>
    <w:p>
      <w:pPr>
        <w:ind w:left="-280" w:right="2979" w:firstLine="856"/>
        <w:spacing w:after="0" w:line="239" w:lineRule="auto"/>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39"/>
          </w:cols>
          <w:pgMar w:left="520" w:top="298" w:right="1440" w:bottom="1440" w:gutter="0" w:footer="0" w:header="0"/>
          <w:type w:val="continuous"/>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right="3159" w:firstLine="856"/>
        <w:spacing w:after="0" w:line="239" w:lineRule="auto"/>
        <w:tabs>
          <w:tab w:leader="none" w:pos="12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spacing w:after="0" w:line="189" w:lineRule="exact"/>
        <w:rPr>
          <w:rFonts w:ascii="Courier New" w:cs="Courier New" w:eastAsia="Courier New" w:hAnsi="Courier New"/>
          <w:sz w:val="16"/>
          <w:szCs w:val="16"/>
          <w:color w:val="auto"/>
        </w:rPr>
      </w:pPr>
    </w:p>
    <w:p>
      <w:pPr>
        <w:jc w:val="both"/>
        <w:ind w:right="2679" w:firstLine="856"/>
        <w:spacing w:after="0" w:line="263" w:lineRule="auto"/>
        <w:tabs>
          <w:tab w:leader="none" w:pos="12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72" w:lineRule="exact"/>
        <w:rPr>
          <w:rFonts w:ascii="Courier New" w:cs="Courier New" w:eastAsia="Courier New" w:hAnsi="Courier New"/>
          <w:sz w:val="15"/>
          <w:szCs w:val="15"/>
          <w:color w:val="auto"/>
        </w:rPr>
      </w:pPr>
    </w:p>
    <w:p>
      <w:pPr>
        <w:ind w:left="1240" w:hanging="384"/>
        <w:spacing w:after="0"/>
        <w:tabs>
          <w:tab w:leader="none" w:pos="12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 the Company.</w:t>
      </w:r>
    </w:p>
    <w:p>
      <w:pPr>
        <w:spacing w:after="0" w:line="196" w:lineRule="exact"/>
        <w:rPr>
          <w:rFonts w:ascii="Courier New" w:cs="Courier New" w:eastAsia="Courier New" w:hAnsi="Courier New"/>
          <w:sz w:val="15"/>
          <w:szCs w:val="15"/>
          <w:color w:val="auto"/>
        </w:rPr>
      </w:pPr>
    </w:p>
    <w:p>
      <w:pPr>
        <w:ind w:right="2679" w:firstLine="856"/>
        <w:spacing w:after="0" w:line="241" w:lineRule="auto"/>
        <w:tabs>
          <w:tab w:leader="none" w:pos="12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3.</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ELIGIBILITY AND PARTICIPATION</w:t>
      </w:r>
    </w:p>
    <w:p>
      <w:pPr>
        <w:spacing w:after="0" w:line="188" w:lineRule="exact"/>
        <w:rPr>
          <w:sz w:val="20"/>
          <w:szCs w:val="20"/>
          <w:color w:val="auto"/>
        </w:rPr>
      </w:pPr>
    </w:p>
    <w:p>
      <w:pPr>
        <w:ind w:right="2599" w:firstLine="858"/>
        <w:spacing w:after="0"/>
        <w:rPr>
          <w:sz w:val="20"/>
          <w:szCs w:val="20"/>
          <w:color w:val="auto"/>
        </w:rPr>
      </w:pPr>
      <w:r>
        <w:rPr>
          <w:rFonts w:ascii="Courier New" w:cs="Courier New" w:eastAsia="Courier New" w:hAnsi="Courier New"/>
          <w:sz w:val="16"/>
          <w:szCs w:val="16"/>
          <w:color w:val="auto"/>
        </w:rPr>
        <w:t>Except as otherwise provided in Section 6.6, the only persons eligible to participate in the Plan shall be those Employees selected by the Committee as Participants.</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4.</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POWERS OF THE COMMITTEE</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188" w:lineRule="exact"/>
        <w:rPr>
          <w:sz w:val="20"/>
          <w:szCs w:val="20"/>
          <w:color w:val="auto"/>
        </w:rPr>
      </w:pPr>
    </w:p>
    <w:p>
      <w:pPr>
        <w:ind w:right="2599" w:firstLine="858"/>
        <w:spacing w:after="0" w:line="260" w:lineRule="auto"/>
        <w:rPr>
          <w:sz w:val="20"/>
          <w:szCs w:val="20"/>
          <w:color w:val="auto"/>
        </w:rPr>
      </w:pPr>
      <w:r>
        <w:rPr>
          <w:rFonts w:ascii="Courier New" w:cs="Courier New" w:eastAsia="Courier New" w:hAnsi="Courier New"/>
          <w:sz w:val="15"/>
          <w:szCs w:val="15"/>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5.</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STOCK SUBJECT TO PLAN</w:t>
      </w:r>
    </w:p>
    <w:p>
      <w:pPr>
        <w:spacing w:after="0" w:line="188"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5.1 Number. Subject to the provisions of Section 5.3, the number of shares of Stock subject to Awards under the Plan may not exceed 3,000,000 shares of Stock. Subject to the provisions of Section 5.3, no Employee shall receive Awards for more than 150,000 shares of Stock over any one-year period. For this purpose, to the extent that any Award is cancelled (as described in Section</w:t>
      </w:r>
    </w:p>
    <w:p>
      <w:pPr>
        <w:ind w:right="2599"/>
        <w:spacing w:after="0" w:line="242" w:lineRule="auto"/>
        <w:rPr>
          <w:sz w:val="20"/>
          <w:szCs w:val="20"/>
          <w:color w:val="auto"/>
        </w:rPr>
      </w:pPr>
      <w:r>
        <w:rPr>
          <w:rFonts w:ascii="Courier New" w:cs="Courier New" w:eastAsia="Courier New" w:hAnsi="Courier New"/>
          <w:sz w:val="16"/>
          <w:szCs w:val="16"/>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200" w:lineRule="exact"/>
        <w:rPr>
          <w:sz w:val="20"/>
          <w:szCs w:val="20"/>
          <w:color w:val="auto"/>
        </w:rPr>
      </w:pPr>
    </w:p>
    <w:p>
      <w:pPr>
        <w:spacing w:after="0" w:line="3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189"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18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6.</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OPTIONS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6.2 Option Price. Nonstatutory Stock Options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94" w:lineRule="exact"/>
        <w:rPr>
          <w:sz w:val="20"/>
          <w:szCs w:val="20"/>
          <w:color w:val="auto"/>
        </w:rPr>
      </w:pPr>
    </w:p>
    <w:p>
      <w:pPr>
        <w:ind w:right="2979" w:firstLine="858"/>
        <w:spacing w:after="0" w:line="261"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8"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91"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6.6 Director Options. Notwithstanding anything else contained herein to the contrary, on the first business day following the date of each annual meeting of shareholders during the 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6,000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6.3.</w:t>
      </w:r>
    </w:p>
    <w:p>
      <w:pPr>
        <w:spacing w:after="0" w:line="19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7.</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TERMINATION OF EMPLOYMENT</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9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94" w:lineRule="exact"/>
        <w:rPr>
          <w:sz w:val="20"/>
          <w:szCs w:val="20"/>
          <w:color w:val="auto"/>
        </w:rPr>
      </w:pPr>
    </w:p>
    <w:p>
      <w:pPr>
        <w:ind w:right="2599" w:firstLine="858"/>
        <w:spacing w:after="0"/>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 any Options granted to such</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8" w:right="1440" w:bottom="1440" w:gutter="0" w:footer="0" w:header="0"/>
          <w:type w:val="continuous"/>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Participant which are then outstanding (whether or not exercisable prior to the date of such termination) shall be forfeited.</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Participant shall forfeit all rights to any Options which have not been exercised prior to the date of the breach of the condition.</w:t>
      </w:r>
    </w:p>
    <w:p>
      <w:pPr>
        <w:spacing w:after="0" w:line="19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8.</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CHANGE IN CONTROL</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190" w:lineRule="exact"/>
        <w:rPr>
          <w:sz w:val="20"/>
          <w:szCs w:val="20"/>
          <w:color w:val="auto"/>
        </w:rPr>
      </w:pPr>
    </w:p>
    <w:p>
      <w:pPr>
        <w:ind w:right="2599" w:firstLine="858"/>
        <w:spacing w:after="0" w:line="260"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78" w:lineRule="exact"/>
        <w:rPr>
          <w:sz w:val="20"/>
          <w:szCs w:val="20"/>
          <w:color w:val="auto"/>
        </w:rPr>
      </w:pPr>
    </w:p>
    <w:p>
      <w:pPr>
        <w:jc w:val="both"/>
        <w:ind w:right="3059" w:firstLine="856"/>
        <w:spacing w:after="0" w:line="271" w:lineRule="auto"/>
        <w:tabs>
          <w:tab w:leader="none" w:pos="12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66" w:lineRule="exact"/>
        <w:rPr>
          <w:rFonts w:ascii="Courier New" w:cs="Courier New" w:eastAsia="Courier New" w:hAnsi="Courier New"/>
          <w:sz w:val="15"/>
          <w:szCs w:val="15"/>
          <w:color w:val="auto"/>
        </w:rPr>
      </w:pPr>
    </w:p>
    <w:p>
      <w:pPr>
        <w:ind w:right="2599" w:firstLine="856"/>
        <w:spacing w:after="0" w:line="241" w:lineRule="auto"/>
        <w:tabs>
          <w:tab w:leader="none" w:pos="133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90" w:lineRule="exact"/>
        <w:rPr>
          <w:rFonts w:ascii="Courier New" w:cs="Courier New" w:eastAsia="Courier New" w:hAnsi="Courier New"/>
          <w:sz w:val="16"/>
          <w:szCs w:val="16"/>
          <w:color w:val="auto"/>
        </w:rPr>
      </w:pPr>
    </w:p>
    <w:p>
      <w:pPr>
        <w:ind w:right="3259" w:firstLine="856"/>
        <w:spacing w:after="0" w:line="239" w:lineRule="auto"/>
        <w:tabs>
          <w:tab w:leader="none" w:pos="143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spacing w:after="0" w:line="189" w:lineRule="exact"/>
        <w:rPr>
          <w:rFonts w:ascii="Courier New" w:cs="Courier New" w:eastAsia="Courier New" w:hAnsi="Courier New"/>
          <w:sz w:val="16"/>
          <w:szCs w:val="16"/>
          <w:color w:val="auto"/>
        </w:rPr>
      </w:pPr>
    </w:p>
    <w:p>
      <w:pPr>
        <w:ind w:right="2599" w:firstLine="856"/>
        <w:spacing w:after="0" w:line="241" w:lineRule="auto"/>
        <w:tabs>
          <w:tab w:leader="none" w:pos="133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200" w:lineRule="exact"/>
        <w:rPr>
          <w:sz w:val="20"/>
          <w:szCs w:val="20"/>
          <w:color w:val="auto"/>
        </w:rPr>
      </w:pP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90"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5"/>
          <w:szCs w:val="15"/>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7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9.</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19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10</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MISCELLANEOUS PROVISIONS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10.1 Assignability. With the permission of the Committee, a Participant who has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whose only partners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pacing w:after="0" w:line="194"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8" w:right="1440" w:bottom="144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74"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91"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93"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190" w:lineRule="exact"/>
        <w:rPr>
          <w:sz w:val="20"/>
          <w:szCs w:val="20"/>
          <w:color w:val="auto"/>
        </w:rPr>
      </w:pPr>
    </w:p>
    <w:p>
      <w:pPr>
        <w:ind w:right="2599" w:firstLine="858"/>
        <w:spacing w:after="0" w:line="260" w:lineRule="auto"/>
        <w:rPr>
          <w:sz w:val="20"/>
          <w:szCs w:val="20"/>
          <w:color w:val="auto"/>
        </w:rPr>
      </w:pPr>
      <w:r>
        <w:rPr>
          <w:rFonts w:ascii="Courier New" w:cs="Courier New" w:eastAsia="Courier New" w:hAnsi="Courier New"/>
          <w:sz w:val="15"/>
          <w:szCs w:val="15"/>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8" w:right="1440" w:bottom="1440"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Nasdaq National Market or any applicable federal or state securities law. The Committee may cause a legend or legends to be placed on any such certificates to make appropriate reference to such restrictions.</w:t>
      </w:r>
    </w:p>
    <w:p>
      <w:pPr>
        <w:spacing w:after="0" w:line="190"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87"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5"/>
          <w:szCs w:val="15"/>
          <w:color w:val="auto"/>
        </w:rPr>
        <w:t>10.10 Governing Law. The Plan, and all agreements hereunder, shall be construed in accordance with and governed by the laws of the State of Ohio.</w:t>
      </w:r>
    </w:p>
    <w:p>
      <w:pPr>
        <w:spacing w:after="0" w:line="166"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10.11 No Impact On Benefits. Plan Awards are not compensation for purposes of calculating an Employee's rights under any employee benefit plan.</w:t>
      </w:r>
    </w:p>
    <w:p>
      <w:pPr>
        <w:spacing w:after="0" w:line="3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44" w:name="page145"/>
    <w:bookmarkEnd w:id="144"/>
    <w:p>
      <w:pPr>
        <w:ind w:left="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3860"/>
        <w:spacing w:after="0" w:line="241" w:lineRule="auto"/>
        <w:rPr>
          <w:sz w:val="20"/>
          <w:szCs w:val="20"/>
          <w:color w:val="auto"/>
        </w:rPr>
      </w:pPr>
      <w:r>
        <w:rPr>
          <w:rFonts w:ascii="Courier New" w:cs="Courier New" w:eastAsia="Courier New" w:hAnsi="Courier New"/>
          <w:sz w:val="16"/>
          <w:szCs w:val="16"/>
          <w:color w:val="auto"/>
        </w:rPr>
        <w:t>This schedule contains summary information extracted from the consolidated balance sheet and consolidated statement of operations of the Scotts Company and is qualified in its entirety by reference to the Form 10-Q for the quarter ended April 4, 1998.</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69" w:lineRule="exact"/>
        <w:rPr>
          <w:sz w:val="20"/>
          <w:szCs w:val="20"/>
          <w:color w:val="auto"/>
        </w:rPr>
      </w:pPr>
    </w:p>
    <w:tbl>
      <w:tblPr>
        <w:tblLayout w:type="fixed"/>
        <w:tblInd w:w="1220" w:type="dxa"/>
        <w:tblCellMar>
          <w:top w:w="0" w:type="dxa"/>
          <w:left w:w="0" w:type="dxa"/>
          <w:bottom w:w="0" w:type="dxa"/>
          <w:right w:w="0" w:type="dxa"/>
        </w:tblCellMar>
      </w:tblPr>
      <w:tr>
        <w:trPr>
          <w:trHeight w:val="181"/>
        </w:trPr>
        <w:tc>
          <w:tcPr>
            <w:tcW w:w="1900" w:type="dxa"/>
            <w:vAlign w:val="bottom"/>
          </w:tcPr>
          <w:p>
            <w:pPr>
              <w:ind w:left="560"/>
              <w:spacing w:after="0"/>
              <w:rPr>
                <w:sz w:val="20"/>
                <w:szCs w:val="20"/>
                <w:color w:val="auto"/>
              </w:rPr>
            </w:pPr>
            <w:r>
              <w:rPr>
                <w:rFonts w:ascii="Courier New" w:cs="Courier New" w:eastAsia="Courier New" w:hAnsi="Courier New"/>
                <w:sz w:val="16"/>
                <w:szCs w:val="16"/>
                <w:color w:val="auto"/>
              </w:rPr>
              <w:t>3-MOS</w:t>
            </w:r>
          </w:p>
        </w:tc>
        <w:tc>
          <w:tcPr>
            <w:tcW w:w="1540" w:type="dxa"/>
            <w:vAlign w:val="bottom"/>
          </w:tcPr>
          <w:p>
            <w:pPr>
              <w:ind w:left="960"/>
              <w:spacing w:after="0"/>
              <w:rPr>
                <w:sz w:val="20"/>
                <w:szCs w:val="20"/>
                <w:color w:val="auto"/>
              </w:rPr>
            </w:pPr>
            <w:r>
              <w:rPr>
                <w:rFonts w:ascii="Courier New" w:cs="Courier New" w:eastAsia="Courier New" w:hAnsi="Courier New"/>
                <w:sz w:val="16"/>
                <w:szCs w:val="16"/>
                <w:color w:val="auto"/>
              </w:rPr>
              <w:t>3-MOS</w:t>
            </w:r>
          </w:p>
        </w:tc>
        <w:tc>
          <w:tcPr>
            <w:tcW w:w="760" w:type="dxa"/>
            <w:vAlign w:val="bottom"/>
          </w:tcPr>
          <w:p>
            <w:pPr>
              <w:spacing w:after="0"/>
              <w:rPr>
                <w:sz w:val="15"/>
                <w:szCs w:val="15"/>
                <w:color w:val="auto"/>
              </w:rPr>
            </w:pPr>
          </w:p>
        </w:tc>
        <w:tc>
          <w:tcPr>
            <w:tcW w:w="1520" w:type="dxa"/>
            <w:vAlign w:val="bottom"/>
          </w:tcPr>
          <w:p>
            <w:pPr>
              <w:ind w:left="940"/>
              <w:spacing w:after="0"/>
              <w:rPr>
                <w:sz w:val="20"/>
                <w:szCs w:val="20"/>
                <w:color w:val="auto"/>
              </w:rPr>
            </w:pPr>
            <w:r>
              <w:rPr>
                <w:rFonts w:ascii="Courier New" w:cs="Courier New" w:eastAsia="Courier New" w:hAnsi="Courier New"/>
                <w:sz w:val="16"/>
                <w:szCs w:val="16"/>
                <w:color w:val="auto"/>
              </w:rPr>
              <w:t>6-MOS</w:t>
            </w:r>
          </w:p>
        </w:tc>
        <w:tc>
          <w:tcPr>
            <w:tcW w:w="760" w:type="dxa"/>
            <w:vAlign w:val="bottom"/>
          </w:tcPr>
          <w:p>
            <w:pPr>
              <w:spacing w:after="0"/>
              <w:rPr>
                <w:sz w:val="15"/>
                <w:szCs w:val="15"/>
                <w:color w:val="auto"/>
              </w:rPr>
            </w:pPr>
          </w:p>
        </w:tc>
        <w:tc>
          <w:tcPr>
            <w:tcW w:w="1520" w:type="dxa"/>
            <w:vAlign w:val="bottom"/>
          </w:tcPr>
          <w:p>
            <w:pPr>
              <w:ind w:left="960"/>
              <w:spacing w:after="0"/>
              <w:rPr>
                <w:sz w:val="20"/>
                <w:szCs w:val="20"/>
                <w:color w:val="auto"/>
              </w:rPr>
            </w:pPr>
            <w:r>
              <w:rPr>
                <w:rFonts w:ascii="Courier New" w:cs="Courier New" w:eastAsia="Courier New" w:hAnsi="Courier New"/>
                <w:sz w:val="16"/>
                <w:szCs w:val="16"/>
                <w:color w:val="auto"/>
              </w:rPr>
              <w:t>6-MOS</w:t>
            </w:r>
          </w:p>
        </w:tc>
        <w:tc>
          <w:tcPr>
            <w:tcW w:w="2280" w:type="dxa"/>
            <w:vAlign w:val="bottom"/>
          </w:tcPr>
          <w:p>
            <w:pPr>
              <w:spacing w:after="0"/>
              <w:rPr>
                <w:sz w:val="15"/>
                <w:szCs w:val="15"/>
                <w:color w:val="auto"/>
              </w:rPr>
            </w:pPr>
          </w:p>
        </w:tc>
      </w:tr>
      <w:tr>
        <w:trPr>
          <w:trHeight w:val="183"/>
        </w:trPr>
        <w:tc>
          <w:tcPr>
            <w:tcW w:w="344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SEP-30-1998</w:t>
            </w:r>
          </w:p>
        </w:tc>
        <w:tc>
          <w:tcPr>
            <w:tcW w:w="22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SEP-30-1997</w:t>
            </w:r>
          </w:p>
        </w:tc>
        <w:tc>
          <w:tcPr>
            <w:tcW w:w="2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SEP-30-1998</w:t>
            </w:r>
          </w:p>
        </w:tc>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SEP-30-1997</w:t>
            </w:r>
          </w:p>
        </w:tc>
      </w:tr>
      <w:tr>
        <w:trPr>
          <w:trHeight w:val="183"/>
        </w:trPr>
        <w:tc>
          <w:tcPr>
            <w:tcW w:w="344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OCT-01-1997</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OCT-01-1996</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OCT-01-1997</w:t>
            </w:r>
          </w:p>
        </w:tc>
        <w:tc>
          <w:tcPr>
            <w:tcW w:w="2280" w:type="dxa"/>
            <w:vAlign w:val="bottom"/>
          </w:tcPr>
          <w:p>
            <w:pPr>
              <w:ind w:left="400"/>
              <w:spacing w:after="0"/>
              <w:rPr>
                <w:sz w:val="20"/>
                <w:szCs w:val="20"/>
                <w:color w:val="auto"/>
              </w:rPr>
            </w:pPr>
            <w:r>
              <w:rPr>
                <w:rFonts w:ascii="Courier New" w:cs="Courier New" w:eastAsia="Courier New" w:hAnsi="Courier New"/>
                <w:sz w:val="16"/>
                <w:szCs w:val="16"/>
                <w:color w:val="auto"/>
              </w:rPr>
              <w:t>OCT-01-1996</w:t>
            </w:r>
          </w:p>
        </w:tc>
      </w:tr>
      <w:tr>
        <w:trPr>
          <w:trHeight w:val="183"/>
        </w:trPr>
        <w:tc>
          <w:tcPr>
            <w:tcW w:w="3440" w:type="dxa"/>
            <w:vAlign w:val="bottom"/>
            <w:gridSpan w:val="2"/>
          </w:tcPr>
          <w:p>
            <w:pPr>
              <w:ind w:left="1720"/>
              <w:spacing w:after="0"/>
              <w:rPr>
                <w:sz w:val="20"/>
                <w:szCs w:val="20"/>
                <w:color w:val="auto"/>
              </w:rPr>
            </w:pPr>
            <w:r>
              <w:rPr>
                <w:rFonts w:ascii="Courier New" w:cs="Courier New" w:eastAsia="Courier New" w:hAnsi="Courier New"/>
                <w:sz w:val="16"/>
                <w:szCs w:val="16"/>
                <w:color w:val="auto"/>
              </w:rPr>
              <w:t>APR-04-1998</w:t>
            </w:r>
          </w:p>
        </w:tc>
        <w:tc>
          <w:tcPr>
            <w:tcW w:w="22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MAR-29-1997</w:t>
            </w:r>
          </w:p>
        </w:tc>
        <w:tc>
          <w:tcPr>
            <w:tcW w:w="22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APR-04-1998</w:t>
            </w:r>
          </w:p>
        </w:tc>
        <w:tc>
          <w:tcPr>
            <w:tcW w:w="22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MAR-29-1997</w:t>
            </w:r>
          </w:p>
        </w:tc>
      </w:tr>
      <w:tr>
        <w:trPr>
          <w:trHeight w:val="183"/>
        </w:trPr>
        <w:tc>
          <w:tcPr>
            <w:tcW w:w="1900" w:type="dxa"/>
            <w:vAlign w:val="bottom"/>
          </w:tcPr>
          <w:p>
            <w:pPr>
              <w:spacing w:after="0"/>
              <w:rPr>
                <w:sz w:val="15"/>
                <w:szCs w:val="15"/>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1</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1</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1</w:t>
            </w:r>
          </w:p>
        </w:tc>
        <w:tc>
          <w:tcPr>
            <w:tcW w:w="2280" w:type="dxa"/>
            <w:vAlign w:val="bottom"/>
          </w:tcPr>
          <w:p>
            <w:pPr>
              <w:ind w:left="1240"/>
              <w:spacing w:after="0"/>
              <w:rPr>
                <w:sz w:val="20"/>
                <w:szCs w:val="20"/>
                <w:color w:val="auto"/>
              </w:rPr>
            </w:pPr>
            <w:r>
              <w:rPr>
                <w:rFonts w:ascii="Courier New" w:cs="Courier New" w:eastAsia="Courier New" w:hAnsi="Courier New"/>
                <w:sz w:val="16"/>
                <w:szCs w:val="16"/>
                <w:color w:val="auto"/>
              </w:rPr>
              <w:t>1</w:t>
            </w:r>
          </w:p>
        </w:tc>
      </w:tr>
      <w:tr>
        <w:trPr>
          <w:trHeight w:val="183"/>
        </w:trPr>
        <w:tc>
          <w:tcPr>
            <w:tcW w:w="1900" w:type="dxa"/>
            <w:vAlign w:val="bottom"/>
          </w:tcPr>
          <w:p>
            <w:pPr>
              <w:spacing w:after="0"/>
              <w:rPr>
                <w:sz w:val="15"/>
                <w:szCs w:val="15"/>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11,300,000</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12,000,000</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11,300,000</w:t>
            </w:r>
          </w:p>
        </w:tc>
        <w:tc>
          <w:tcPr>
            <w:tcW w:w="2280" w:type="dxa"/>
            <w:vAlign w:val="bottom"/>
          </w:tcPr>
          <w:p>
            <w:pPr>
              <w:ind w:left="1240"/>
              <w:spacing w:after="0"/>
              <w:rPr>
                <w:sz w:val="20"/>
                <w:szCs w:val="20"/>
                <w:color w:val="auto"/>
              </w:rPr>
            </w:pPr>
            <w:r>
              <w:rPr>
                <w:rFonts w:ascii="Courier New" w:cs="Courier New" w:eastAsia="Courier New" w:hAnsi="Courier New"/>
                <w:sz w:val="16"/>
                <w:szCs w:val="16"/>
                <w:color w:val="auto"/>
              </w:rPr>
              <w:t>12,000,000</w:t>
            </w:r>
          </w:p>
        </w:tc>
      </w:tr>
      <w:tr>
        <w:trPr>
          <w:trHeight w:val="183"/>
        </w:trPr>
        <w:tc>
          <w:tcPr>
            <w:tcW w:w="1900" w:type="dxa"/>
            <w:vAlign w:val="bottom"/>
          </w:tcPr>
          <w:p>
            <w:pPr>
              <w:spacing w:after="0"/>
              <w:rPr>
                <w:sz w:val="15"/>
                <w:szCs w:val="15"/>
                <w:color w:val="auto"/>
              </w:rPr>
            </w:pPr>
          </w:p>
        </w:tc>
        <w:tc>
          <w:tcPr>
            <w:tcW w:w="15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0</w:t>
            </w:r>
          </w:p>
        </w:tc>
      </w:tr>
      <w:tr>
        <w:trPr>
          <w:trHeight w:val="183"/>
        </w:trPr>
        <w:tc>
          <w:tcPr>
            <w:tcW w:w="34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420,000,000</w:t>
            </w: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355,900,000</w:t>
            </w:r>
          </w:p>
        </w:tc>
        <w:tc>
          <w:tcPr>
            <w:tcW w:w="2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420,000,000</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356,900,000</w:t>
            </w:r>
          </w:p>
        </w:tc>
      </w:tr>
      <w:tr>
        <w:trPr>
          <w:trHeight w:val="183"/>
        </w:trPr>
        <w:tc>
          <w:tcPr>
            <w:tcW w:w="190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6,200,000</w:t>
            </w:r>
          </w:p>
        </w:tc>
        <w:tc>
          <w:tcPr>
            <w:tcW w:w="7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6,200,000</w:t>
            </w:r>
          </w:p>
        </w:tc>
        <w:tc>
          <w:tcPr>
            <w:tcW w:w="7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6,200,000</w:t>
            </w:r>
          </w:p>
        </w:tc>
        <w:tc>
          <w:tcPr>
            <w:tcW w:w="2280" w:type="dxa"/>
            <w:vAlign w:val="bottom"/>
          </w:tcPr>
          <w:p>
            <w:pPr>
              <w:ind w:left="780"/>
              <w:spacing w:after="0"/>
              <w:rPr>
                <w:sz w:val="20"/>
                <w:szCs w:val="20"/>
                <w:color w:val="auto"/>
              </w:rPr>
            </w:pPr>
            <w:r>
              <w:rPr>
                <w:rFonts w:ascii="Courier New" w:cs="Courier New" w:eastAsia="Courier New" w:hAnsi="Courier New"/>
                <w:sz w:val="16"/>
                <w:szCs w:val="16"/>
                <w:color w:val="auto"/>
              </w:rPr>
              <w:t>6,200,000</w:t>
            </w:r>
          </w:p>
        </w:tc>
      </w:tr>
      <w:tr>
        <w:trPr>
          <w:trHeight w:val="183"/>
        </w:trPr>
        <w:tc>
          <w:tcPr>
            <w:tcW w:w="344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194,300,000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188,300,000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194,300,000</w:t>
            </w:r>
          </w:p>
        </w:tc>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188,300,000</w:t>
            </w:r>
          </w:p>
        </w:tc>
      </w:tr>
      <w:tr>
        <w:trPr>
          <w:trHeight w:val="183"/>
        </w:trPr>
        <w:tc>
          <w:tcPr>
            <w:tcW w:w="3440" w:type="dxa"/>
            <w:vAlign w:val="bottom"/>
            <w:gridSpan w:val="2"/>
          </w:tcPr>
          <w:p>
            <w:pPr>
              <w:ind w:left="1340"/>
              <w:spacing w:after="0"/>
              <w:rPr>
                <w:sz w:val="20"/>
                <w:szCs w:val="20"/>
                <w:color w:val="auto"/>
              </w:rPr>
            </w:pPr>
            <w:r>
              <w:rPr>
                <w:rFonts w:ascii="Courier New" w:cs="Courier New" w:eastAsia="Courier New" w:hAnsi="Courier New"/>
                <w:sz w:val="16"/>
                <w:szCs w:val="16"/>
                <w:color w:val="auto"/>
              </w:rPr>
              <w:t>649,500,000</w:t>
            </w:r>
          </w:p>
        </w:tc>
        <w:tc>
          <w:tcPr>
            <w:tcW w:w="2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572,400,000</w:t>
            </w:r>
          </w:p>
        </w:tc>
        <w:tc>
          <w:tcPr>
            <w:tcW w:w="2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649,500,000</w:t>
            </w:r>
          </w:p>
        </w:tc>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572,400,000</w:t>
            </w:r>
          </w:p>
        </w:tc>
      </w:tr>
      <w:tr>
        <w:trPr>
          <w:trHeight w:val="183"/>
        </w:trPr>
        <w:tc>
          <w:tcPr>
            <w:tcW w:w="1900" w:type="dxa"/>
            <w:vAlign w:val="bottom"/>
          </w:tcPr>
          <w:p>
            <w:pPr>
              <w:spacing w:after="0"/>
              <w:rPr>
                <w:sz w:val="15"/>
                <w:szCs w:val="15"/>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317,400,000</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235,300,000</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317,400,000</w:t>
            </w:r>
          </w:p>
        </w:tc>
        <w:tc>
          <w:tcPr>
            <w:tcW w:w="2280" w:type="dxa"/>
            <w:vAlign w:val="bottom"/>
          </w:tcPr>
          <w:p>
            <w:pPr>
              <w:ind w:left="1160"/>
              <w:spacing w:after="0"/>
              <w:rPr>
                <w:sz w:val="20"/>
                <w:szCs w:val="20"/>
                <w:color w:val="auto"/>
              </w:rPr>
            </w:pPr>
            <w:r>
              <w:rPr>
                <w:rFonts w:ascii="Courier New" w:cs="Courier New" w:eastAsia="Courier New" w:hAnsi="Courier New"/>
                <w:sz w:val="16"/>
                <w:szCs w:val="16"/>
                <w:color w:val="auto"/>
              </w:rPr>
              <w:t>235,300,000</w:t>
            </w:r>
          </w:p>
        </w:tc>
      </w:tr>
      <w:tr>
        <w:trPr>
          <w:trHeight w:val="183"/>
        </w:trPr>
        <w:tc>
          <w:tcPr>
            <w:tcW w:w="344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131,300,000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100,500,000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131,300,000</w:t>
            </w:r>
          </w:p>
        </w:tc>
        <w:tc>
          <w:tcPr>
            <w:tcW w:w="2280" w:type="dxa"/>
            <w:vAlign w:val="bottom"/>
          </w:tcPr>
          <w:p>
            <w:pPr>
              <w:ind w:left="400"/>
              <w:spacing w:after="0"/>
              <w:rPr>
                <w:sz w:val="20"/>
                <w:szCs w:val="20"/>
                <w:color w:val="auto"/>
              </w:rPr>
            </w:pPr>
            <w:r>
              <w:rPr>
                <w:rFonts w:ascii="Courier New" w:cs="Courier New" w:eastAsia="Courier New" w:hAnsi="Courier New"/>
                <w:sz w:val="16"/>
                <w:szCs w:val="16"/>
                <w:color w:val="auto"/>
              </w:rPr>
              <w:t>100,500,000</w:t>
            </w:r>
          </w:p>
        </w:tc>
      </w:tr>
      <w:tr>
        <w:trPr>
          <w:trHeight w:val="183"/>
        </w:trPr>
        <w:tc>
          <w:tcPr>
            <w:tcW w:w="3440" w:type="dxa"/>
            <w:vAlign w:val="bottom"/>
            <w:gridSpan w:val="2"/>
          </w:tcPr>
          <w:p>
            <w:pPr>
              <w:ind w:left="1340"/>
              <w:spacing w:after="0"/>
              <w:rPr>
                <w:sz w:val="20"/>
                <w:szCs w:val="20"/>
                <w:color w:val="auto"/>
              </w:rPr>
            </w:pPr>
            <w:r>
              <w:rPr>
                <w:rFonts w:ascii="Courier New" w:cs="Courier New" w:eastAsia="Courier New" w:hAnsi="Courier New"/>
                <w:sz w:val="16"/>
                <w:szCs w:val="16"/>
                <w:color w:val="auto"/>
              </w:rPr>
              <w:t>1,271,800,000</w:t>
            </w:r>
          </w:p>
        </w:tc>
        <w:tc>
          <w:tcPr>
            <w:tcW w:w="2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1,064,100,000</w:t>
            </w:r>
          </w:p>
        </w:tc>
        <w:tc>
          <w:tcPr>
            <w:tcW w:w="2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1,271,800,000</w:t>
            </w:r>
          </w:p>
        </w:tc>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1,064,100,000</w:t>
            </w:r>
          </w:p>
        </w:tc>
      </w:tr>
      <w:tr>
        <w:trPr>
          <w:trHeight w:val="183"/>
        </w:trPr>
        <w:tc>
          <w:tcPr>
            <w:tcW w:w="1900" w:type="dxa"/>
            <w:vAlign w:val="bottom"/>
          </w:tcPr>
          <w:p>
            <w:pPr>
              <w:ind w:left="860"/>
              <w:spacing w:after="0"/>
              <w:rPr>
                <w:sz w:val="20"/>
                <w:szCs w:val="20"/>
                <w:color w:val="auto"/>
              </w:rPr>
            </w:pPr>
            <w:r>
              <w:rPr>
                <w:rFonts w:ascii="Courier New" w:cs="Courier New" w:eastAsia="Courier New" w:hAnsi="Courier New"/>
                <w:sz w:val="16"/>
                <w:szCs w:val="16"/>
                <w:color w:val="auto"/>
                <w:w w:val="96"/>
              </w:rPr>
              <w:t>254,500,000</w:t>
            </w:r>
          </w:p>
        </w:tc>
        <w:tc>
          <w:tcPr>
            <w:tcW w:w="2300" w:type="dxa"/>
            <w:vAlign w:val="bottom"/>
            <w:gridSpan w:val="2"/>
          </w:tcPr>
          <w:p>
            <w:pPr>
              <w:ind w:left="1240"/>
              <w:spacing w:after="0"/>
              <w:rPr>
                <w:sz w:val="20"/>
                <w:szCs w:val="20"/>
                <w:color w:val="auto"/>
              </w:rPr>
            </w:pPr>
            <w:r>
              <w:rPr>
                <w:rFonts w:ascii="Courier New" w:cs="Courier New" w:eastAsia="Courier New" w:hAnsi="Courier New"/>
                <w:sz w:val="16"/>
                <w:szCs w:val="16"/>
                <w:color w:val="auto"/>
                <w:w w:val="98"/>
              </w:rPr>
              <w:t>328,100,000</w:t>
            </w:r>
          </w:p>
        </w:tc>
        <w:tc>
          <w:tcPr>
            <w:tcW w:w="2280" w:type="dxa"/>
            <w:vAlign w:val="bottom"/>
            <w:gridSpan w:val="2"/>
          </w:tcPr>
          <w:p>
            <w:pPr>
              <w:ind w:left="1240"/>
              <w:spacing w:after="0"/>
              <w:rPr>
                <w:sz w:val="20"/>
                <w:szCs w:val="20"/>
                <w:color w:val="auto"/>
              </w:rPr>
            </w:pPr>
            <w:r>
              <w:rPr>
                <w:rFonts w:ascii="Courier New" w:cs="Courier New" w:eastAsia="Courier New" w:hAnsi="Courier New"/>
                <w:sz w:val="16"/>
                <w:szCs w:val="16"/>
                <w:color w:val="auto"/>
                <w:w w:val="96"/>
              </w:rPr>
              <w:t>254,500,000</w:t>
            </w:r>
          </w:p>
        </w:tc>
        <w:tc>
          <w:tcPr>
            <w:tcW w:w="38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328,100,000</w:t>
            </w:r>
          </w:p>
        </w:tc>
      </w:tr>
      <w:tr>
        <w:trPr>
          <w:trHeight w:val="183"/>
        </w:trPr>
        <w:tc>
          <w:tcPr>
            <w:tcW w:w="1900" w:type="dxa"/>
            <w:vAlign w:val="bottom"/>
          </w:tcPr>
          <w:p>
            <w:pPr>
              <w:spacing w:after="0"/>
              <w:rPr>
                <w:sz w:val="15"/>
                <w:szCs w:val="15"/>
                <w:color w:val="auto"/>
              </w:rPr>
            </w:pPr>
          </w:p>
        </w:tc>
        <w:tc>
          <w:tcPr>
            <w:tcW w:w="154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r>
      <w:tr>
        <w:trPr>
          <w:trHeight w:val="183"/>
        </w:trPr>
        <w:tc>
          <w:tcPr>
            <w:tcW w:w="1900" w:type="dxa"/>
            <w:vAlign w:val="bottom"/>
          </w:tcPr>
          <w:p>
            <w:pPr>
              <w:ind w:left="1800"/>
              <w:spacing w:after="0"/>
              <w:rPr>
                <w:sz w:val="20"/>
                <w:szCs w:val="20"/>
                <w:color w:val="auto"/>
              </w:rPr>
            </w:pPr>
            <w:r>
              <w:rPr>
                <w:rFonts w:ascii="Courier New" w:cs="Courier New" w:eastAsia="Courier New" w:hAnsi="Courier New"/>
                <w:sz w:val="16"/>
                <w:szCs w:val="16"/>
                <w:color w:val="auto"/>
                <w:w w:val="82"/>
              </w:rPr>
              <w:t>0</w:t>
            </w:r>
          </w:p>
        </w:tc>
        <w:tc>
          <w:tcPr>
            <w:tcW w:w="1540" w:type="dxa"/>
            <w:vAlign w:val="bottom"/>
          </w:tcPr>
          <w:p>
            <w:pPr>
              <w:spacing w:after="0"/>
              <w:rPr>
                <w:sz w:val="15"/>
                <w:szCs w:val="15"/>
                <w:color w:val="auto"/>
              </w:rPr>
            </w:pPr>
          </w:p>
        </w:tc>
        <w:tc>
          <w:tcPr>
            <w:tcW w:w="760" w:type="dxa"/>
            <w:vAlign w:val="bottom"/>
          </w:tcPr>
          <w:p>
            <w:pPr>
              <w:ind w:left="660"/>
              <w:spacing w:after="0"/>
              <w:rPr>
                <w:sz w:val="20"/>
                <w:szCs w:val="20"/>
                <w:color w:val="auto"/>
              </w:rPr>
            </w:pPr>
            <w:r>
              <w:rPr>
                <w:rFonts w:ascii="Courier New" w:cs="Courier New" w:eastAsia="Courier New" w:hAnsi="Courier New"/>
                <w:sz w:val="16"/>
                <w:szCs w:val="16"/>
                <w:color w:val="auto"/>
                <w:w w:val="82"/>
              </w:rPr>
              <w:t>0</w:t>
            </w:r>
          </w:p>
        </w:tc>
        <w:tc>
          <w:tcPr>
            <w:tcW w:w="1520" w:type="dxa"/>
            <w:vAlign w:val="bottom"/>
          </w:tcPr>
          <w:p>
            <w:pPr>
              <w:spacing w:after="0"/>
              <w:rPr>
                <w:sz w:val="15"/>
                <w:szCs w:val="15"/>
                <w:color w:val="auto"/>
              </w:rPr>
            </w:pPr>
          </w:p>
        </w:tc>
        <w:tc>
          <w:tcPr>
            <w:tcW w:w="760" w:type="dxa"/>
            <w:vAlign w:val="bottom"/>
          </w:tcPr>
          <w:p>
            <w:pPr>
              <w:ind w:left="660"/>
              <w:spacing w:after="0"/>
              <w:rPr>
                <w:sz w:val="20"/>
                <w:szCs w:val="20"/>
                <w:color w:val="auto"/>
              </w:rPr>
            </w:pPr>
            <w:r>
              <w:rPr>
                <w:rFonts w:ascii="Courier New" w:cs="Courier New" w:eastAsia="Courier New" w:hAnsi="Courier New"/>
                <w:sz w:val="16"/>
                <w:szCs w:val="16"/>
                <w:color w:val="auto"/>
                <w:w w:val="82"/>
              </w:rPr>
              <w:t>0</w:t>
            </w:r>
          </w:p>
        </w:tc>
        <w:tc>
          <w:tcPr>
            <w:tcW w:w="1520" w:type="dxa"/>
            <w:vAlign w:val="bottom"/>
          </w:tcPr>
          <w:p>
            <w:pPr>
              <w:spacing w:after="0"/>
              <w:rPr>
                <w:sz w:val="15"/>
                <w:szCs w:val="15"/>
                <w:color w:val="auto"/>
              </w:rPr>
            </w:pPr>
          </w:p>
        </w:tc>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0</w:t>
            </w:r>
          </w:p>
        </w:tc>
      </w:tr>
      <w:tr>
        <w:trPr>
          <w:trHeight w:val="183"/>
        </w:trPr>
        <w:tc>
          <w:tcPr>
            <w:tcW w:w="344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177,300,000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177,300,000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177,300,000</w:t>
            </w:r>
          </w:p>
        </w:tc>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177,300,000</w:t>
            </w:r>
          </w:p>
        </w:tc>
      </w:tr>
      <w:tr>
        <w:trPr>
          <w:trHeight w:val="183"/>
        </w:trPr>
        <w:tc>
          <w:tcPr>
            <w:tcW w:w="1900" w:type="dxa"/>
            <w:vAlign w:val="bottom"/>
          </w:tcPr>
          <w:p>
            <w:pPr>
              <w:spacing w:after="0"/>
              <w:rPr>
                <w:sz w:val="15"/>
                <w:szCs w:val="15"/>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200,000</w:t>
            </w:r>
          </w:p>
        </w:tc>
        <w:tc>
          <w:tcPr>
            <w:tcW w:w="760" w:type="dxa"/>
            <w:vAlign w:val="bottom"/>
          </w:tcPr>
          <w:p>
            <w:pPr>
              <w:spacing w:after="0"/>
              <w:rPr>
                <w:sz w:val="15"/>
                <w:szCs w:val="15"/>
                <w:color w:val="auto"/>
              </w:rPr>
            </w:pPr>
          </w:p>
        </w:tc>
        <w:tc>
          <w:tcPr>
            <w:tcW w:w="1520" w:type="dxa"/>
            <w:vAlign w:val="bottom"/>
          </w:tcPr>
          <w:p>
            <w:pPr>
              <w:ind w:left="560"/>
              <w:spacing w:after="0"/>
              <w:rPr>
                <w:sz w:val="20"/>
                <w:szCs w:val="20"/>
                <w:color w:val="auto"/>
              </w:rPr>
            </w:pPr>
            <w:r>
              <w:rPr>
                <w:rFonts w:ascii="Courier New" w:cs="Courier New" w:eastAsia="Courier New" w:hAnsi="Courier New"/>
                <w:sz w:val="16"/>
                <w:szCs w:val="16"/>
                <w:color w:val="auto"/>
              </w:rPr>
              <w:t>200,000</w:t>
            </w:r>
          </w:p>
        </w:tc>
        <w:tc>
          <w:tcPr>
            <w:tcW w:w="760" w:type="dxa"/>
            <w:vAlign w:val="bottom"/>
          </w:tcPr>
          <w:p>
            <w:pPr>
              <w:spacing w:after="0"/>
              <w:rPr>
                <w:sz w:val="15"/>
                <w:szCs w:val="15"/>
                <w:color w:val="auto"/>
              </w:rPr>
            </w:pP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200,000</w:t>
            </w:r>
          </w:p>
        </w:tc>
        <w:tc>
          <w:tcPr>
            <w:tcW w:w="2280" w:type="dxa"/>
            <w:vAlign w:val="bottom"/>
          </w:tcPr>
          <w:p>
            <w:pPr>
              <w:ind w:left="1340"/>
              <w:spacing w:after="0"/>
              <w:rPr>
                <w:sz w:val="20"/>
                <w:szCs w:val="20"/>
                <w:color w:val="auto"/>
              </w:rPr>
            </w:pPr>
            <w:r>
              <w:rPr>
                <w:rFonts w:ascii="Courier New" w:cs="Courier New" w:eastAsia="Courier New" w:hAnsi="Courier New"/>
                <w:sz w:val="16"/>
                <w:szCs w:val="16"/>
                <w:color w:val="auto"/>
              </w:rPr>
              <w:t>200,000</w:t>
            </w:r>
          </w:p>
        </w:tc>
      </w:tr>
      <w:tr>
        <w:trPr>
          <w:trHeight w:val="183"/>
        </w:trPr>
        <w:tc>
          <w:tcPr>
            <w:tcW w:w="190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233,000,000</w:t>
            </w:r>
          </w:p>
        </w:tc>
        <w:tc>
          <w:tcPr>
            <w:tcW w:w="7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200,900,000</w:t>
            </w:r>
          </w:p>
        </w:tc>
        <w:tc>
          <w:tcPr>
            <w:tcW w:w="7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233,000,000</w:t>
            </w:r>
          </w:p>
        </w:tc>
        <w:tc>
          <w:tcPr>
            <w:tcW w:w="2280" w:type="dxa"/>
            <w:vAlign w:val="bottom"/>
          </w:tcPr>
          <w:p>
            <w:pPr>
              <w:ind w:left="780"/>
              <w:spacing w:after="0"/>
              <w:rPr>
                <w:sz w:val="20"/>
                <w:szCs w:val="20"/>
                <w:color w:val="auto"/>
              </w:rPr>
            </w:pPr>
            <w:r>
              <w:rPr>
                <w:rFonts w:ascii="Courier New" w:cs="Courier New" w:eastAsia="Courier New" w:hAnsi="Courier New"/>
                <w:sz w:val="16"/>
                <w:szCs w:val="16"/>
                <w:color w:val="auto"/>
              </w:rPr>
              <w:t>200,900,000</w:t>
            </w:r>
          </w:p>
        </w:tc>
      </w:tr>
      <w:tr>
        <w:trPr>
          <w:trHeight w:val="183"/>
        </w:trPr>
        <w:tc>
          <w:tcPr>
            <w:tcW w:w="1900" w:type="dxa"/>
            <w:vAlign w:val="bottom"/>
          </w:tcPr>
          <w:p>
            <w:pPr>
              <w:spacing w:after="0"/>
              <w:rPr>
                <w:sz w:val="20"/>
                <w:szCs w:val="20"/>
                <w:color w:val="auto"/>
              </w:rPr>
            </w:pPr>
            <w:r>
              <w:rPr>
                <w:rFonts w:ascii="Courier New" w:cs="Courier New" w:eastAsia="Courier New" w:hAnsi="Courier New"/>
                <w:sz w:val="16"/>
                <w:szCs w:val="16"/>
                <w:color w:val="auto"/>
              </w:rPr>
              <w:t>1,271,800,000</w:t>
            </w:r>
          </w:p>
        </w:tc>
        <w:tc>
          <w:tcPr>
            <w:tcW w:w="2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1,064,100,000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1,271,800,000</w:t>
            </w:r>
          </w:p>
        </w:tc>
        <w:tc>
          <w:tcPr>
            <w:tcW w:w="38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1,064,100,000</w:t>
            </w:r>
          </w:p>
        </w:tc>
      </w:tr>
      <w:tr>
        <w:trPr>
          <w:trHeight w:val="183"/>
        </w:trPr>
        <w:tc>
          <w:tcPr>
            <w:tcW w:w="1900" w:type="dxa"/>
            <w:vAlign w:val="bottom"/>
          </w:tcPr>
          <w:p>
            <w:pPr>
              <w:spacing w:after="0"/>
              <w:rPr>
                <w:sz w:val="15"/>
                <w:szCs w:val="15"/>
                <w:color w:val="auto"/>
              </w:rPr>
            </w:pPr>
          </w:p>
        </w:tc>
        <w:tc>
          <w:tcPr>
            <w:tcW w:w="15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430,600,000</w:t>
            </w:r>
          </w:p>
        </w:tc>
        <w:tc>
          <w:tcPr>
            <w:tcW w:w="760" w:type="dxa"/>
            <w:vAlign w:val="bottom"/>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346,200,000</w:t>
            </w:r>
          </w:p>
        </w:tc>
        <w:tc>
          <w:tcPr>
            <w:tcW w:w="76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555,700,000</w:t>
            </w:r>
          </w:p>
        </w:tc>
        <w:tc>
          <w:tcPr>
            <w:tcW w:w="2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446,400,000</w:t>
            </w:r>
          </w:p>
        </w:tc>
      </w:tr>
      <w:tr>
        <w:trPr>
          <w:trHeight w:val="183"/>
        </w:trPr>
        <w:tc>
          <w:tcPr>
            <w:tcW w:w="3440" w:type="dxa"/>
            <w:vAlign w:val="bottom"/>
            <w:gridSpan w:val="2"/>
          </w:tcPr>
          <w:p>
            <w:pPr>
              <w:ind w:left="1340"/>
              <w:spacing w:after="0"/>
              <w:rPr>
                <w:sz w:val="20"/>
                <w:szCs w:val="20"/>
                <w:color w:val="auto"/>
              </w:rPr>
            </w:pPr>
            <w:r>
              <w:rPr>
                <w:rFonts w:ascii="Courier New" w:cs="Courier New" w:eastAsia="Courier New" w:hAnsi="Courier New"/>
                <w:sz w:val="16"/>
                <w:szCs w:val="16"/>
                <w:color w:val="auto"/>
              </w:rPr>
              <w:t>430,600,000</w:t>
            </w:r>
          </w:p>
        </w:tc>
        <w:tc>
          <w:tcPr>
            <w:tcW w:w="2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346,200,000</w:t>
            </w:r>
          </w:p>
        </w:tc>
        <w:tc>
          <w:tcPr>
            <w:tcW w:w="2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555,700,000</w:t>
            </w:r>
          </w:p>
        </w:tc>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446,400,000</w:t>
            </w:r>
          </w:p>
        </w:tc>
      </w:tr>
      <w:tr>
        <w:trPr>
          <w:trHeight w:val="183"/>
        </w:trPr>
        <w:tc>
          <w:tcPr>
            <w:tcW w:w="1900" w:type="dxa"/>
            <w:vAlign w:val="bottom"/>
          </w:tcPr>
          <w:p>
            <w:pPr>
              <w:spacing w:after="0"/>
              <w:rPr>
                <w:sz w:val="15"/>
                <w:szCs w:val="15"/>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w w:val="98"/>
              </w:rPr>
              <w:t>259,600,000</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w w:val="96"/>
              </w:rPr>
              <w:t>207,800,000</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w w:val="96"/>
              </w:rPr>
              <w:t>343,100,000</w:t>
            </w:r>
          </w:p>
        </w:tc>
        <w:tc>
          <w:tcPr>
            <w:tcW w:w="2280" w:type="dxa"/>
            <w:vAlign w:val="bottom"/>
          </w:tcPr>
          <w:p>
            <w:pPr>
              <w:ind w:left="1240"/>
              <w:spacing w:after="0"/>
              <w:rPr>
                <w:sz w:val="20"/>
                <w:szCs w:val="20"/>
                <w:color w:val="auto"/>
              </w:rPr>
            </w:pPr>
            <w:r>
              <w:rPr>
                <w:rFonts w:ascii="Courier New" w:cs="Courier New" w:eastAsia="Courier New" w:hAnsi="Courier New"/>
                <w:sz w:val="16"/>
                <w:szCs w:val="16"/>
                <w:color w:val="auto"/>
                <w:w w:val="96"/>
              </w:rPr>
              <w:t>275,400,000</w:t>
            </w:r>
          </w:p>
        </w:tc>
      </w:tr>
      <w:tr>
        <w:trPr>
          <w:trHeight w:val="183"/>
        </w:trPr>
        <w:tc>
          <w:tcPr>
            <w:tcW w:w="34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100,300,000</w:t>
            </w:r>
          </w:p>
        </w:tc>
        <w:tc>
          <w:tcPr>
            <w:tcW w:w="22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77,800,000</w:t>
            </w:r>
          </w:p>
        </w:tc>
        <w:tc>
          <w:tcPr>
            <w:tcW w:w="2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145,200,000</w:t>
            </w:r>
          </w:p>
        </w:tc>
        <w:tc>
          <w:tcPr>
            <w:tcW w:w="2280" w:type="dxa"/>
            <w:vAlign w:val="bottom"/>
          </w:tcPr>
          <w:p>
            <w:pPr>
              <w:ind w:left="480"/>
              <w:spacing w:after="0"/>
              <w:rPr>
                <w:sz w:val="20"/>
                <w:szCs w:val="20"/>
                <w:color w:val="auto"/>
              </w:rPr>
            </w:pPr>
            <w:r>
              <w:rPr>
                <w:rFonts w:ascii="Courier New" w:cs="Courier New" w:eastAsia="Courier New" w:hAnsi="Courier New"/>
                <w:sz w:val="16"/>
                <w:szCs w:val="16"/>
                <w:color w:val="auto"/>
              </w:rPr>
              <w:t>115,100,000</w:t>
            </w:r>
          </w:p>
        </w:tc>
      </w:tr>
      <w:tr>
        <w:trPr>
          <w:trHeight w:val="183"/>
        </w:trPr>
        <w:tc>
          <w:tcPr>
            <w:tcW w:w="344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1,800,000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3,200,000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1,500,000</w:t>
            </w:r>
          </w:p>
        </w:tc>
        <w:tc>
          <w:tcPr>
            <w:tcW w:w="2280" w:type="dxa"/>
            <w:vAlign w:val="bottom"/>
          </w:tcPr>
          <w:p>
            <w:pPr>
              <w:ind w:left="400"/>
              <w:spacing w:after="0"/>
              <w:rPr>
                <w:sz w:val="20"/>
                <w:szCs w:val="20"/>
                <w:color w:val="auto"/>
              </w:rPr>
            </w:pPr>
            <w:r>
              <w:rPr>
                <w:rFonts w:ascii="Courier New" w:cs="Courier New" w:eastAsia="Courier New" w:hAnsi="Courier New"/>
                <w:sz w:val="16"/>
                <w:szCs w:val="16"/>
                <w:color w:val="auto"/>
              </w:rPr>
              <w:t>3,500,000</w:t>
            </w:r>
          </w:p>
        </w:tc>
      </w:tr>
      <w:tr>
        <w:trPr>
          <w:trHeight w:val="183"/>
        </w:trPr>
        <w:tc>
          <w:tcPr>
            <w:tcW w:w="1900" w:type="dxa"/>
            <w:vAlign w:val="bottom"/>
          </w:tcPr>
          <w:p>
            <w:pPr>
              <w:spacing w:after="0"/>
              <w:rPr>
                <w:sz w:val="15"/>
                <w:szCs w:val="15"/>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160"/>
              <w:spacing w:after="0"/>
              <w:rPr>
                <w:sz w:val="20"/>
                <w:szCs w:val="20"/>
                <w:color w:val="auto"/>
              </w:rPr>
            </w:pPr>
            <w:r>
              <w:rPr>
                <w:rFonts w:ascii="Courier New" w:cs="Courier New" w:eastAsia="Courier New" w:hAnsi="Courier New"/>
                <w:sz w:val="16"/>
                <w:szCs w:val="16"/>
                <w:color w:val="auto"/>
              </w:rPr>
              <w:t>0</w:t>
            </w:r>
          </w:p>
        </w:tc>
      </w:tr>
      <w:tr>
        <w:trPr>
          <w:trHeight w:val="183"/>
        </w:trPr>
        <w:tc>
          <w:tcPr>
            <w:tcW w:w="344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10,600,000</w:t>
            </w:r>
          </w:p>
        </w:tc>
        <w:tc>
          <w:tcPr>
            <w:tcW w:w="2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8,300,000</w:t>
            </w:r>
          </w:p>
        </w:tc>
        <w:tc>
          <w:tcPr>
            <w:tcW w:w="2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17,300,000</w:t>
            </w:r>
          </w:p>
        </w:tc>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13,900,000</w:t>
            </w:r>
          </w:p>
        </w:tc>
      </w:tr>
      <w:tr>
        <w:trPr>
          <w:trHeight w:val="183"/>
        </w:trPr>
        <w:tc>
          <w:tcPr>
            <w:tcW w:w="344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58,300,000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49,100,000</w:t>
            </w:r>
          </w:p>
        </w:tc>
        <w:tc>
          <w:tcPr>
            <w:tcW w:w="2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48,600,000</w:t>
            </w:r>
          </w:p>
        </w:tc>
        <w:tc>
          <w:tcPr>
            <w:tcW w:w="2280" w:type="dxa"/>
            <w:vAlign w:val="bottom"/>
          </w:tcPr>
          <w:p>
            <w:pPr>
              <w:ind w:left="400"/>
              <w:spacing w:after="0"/>
              <w:rPr>
                <w:sz w:val="20"/>
                <w:szCs w:val="20"/>
                <w:color w:val="auto"/>
              </w:rPr>
            </w:pPr>
            <w:r>
              <w:rPr>
                <w:rFonts w:ascii="Courier New" w:cs="Courier New" w:eastAsia="Courier New" w:hAnsi="Courier New"/>
                <w:sz w:val="16"/>
                <w:szCs w:val="16"/>
                <w:color w:val="auto"/>
              </w:rPr>
              <w:t>38,500,000</w:t>
            </w:r>
          </w:p>
        </w:tc>
      </w:tr>
      <w:tr>
        <w:trPr>
          <w:trHeight w:val="183"/>
        </w:trPr>
        <w:tc>
          <w:tcPr>
            <w:tcW w:w="344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24,800,000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21,200,000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20,600,000</w:t>
            </w:r>
          </w:p>
        </w:tc>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16,600,000</w:t>
            </w:r>
          </w:p>
        </w:tc>
      </w:tr>
      <w:tr>
        <w:trPr>
          <w:trHeight w:val="183"/>
        </w:trPr>
        <w:tc>
          <w:tcPr>
            <w:tcW w:w="3440" w:type="dxa"/>
            <w:vAlign w:val="bottom"/>
            <w:gridSpan w:val="2"/>
          </w:tcPr>
          <w:p>
            <w:pPr>
              <w:ind w:left="1140"/>
              <w:spacing w:after="0"/>
              <w:rPr>
                <w:sz w:val="20"/>
                <w:szCs w:val="20"/>
                <w:color w:val="auto"/>
              </w:rPr>
            </w:pPr>
            <w:r>
              <w:rPr>
                <w:rFonts w:ascii="Courier New" w:cs="Courier New" w:eastAsia="Courier New" w:hAnsi="Courier New"/>
                <w:sz w:val="16"/>
                <w:szCs w:val="16"/>
                <w:color w:val="auto"/>
              </w:rPr>
              <w:t>33,500,000</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27,900,000</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28,000,000</w:t>
            </w:r>
          </w:p>
        </w:tc>
        <w:tc>
          <w:tcPr>
            <w:tcW w:w="2280" w:type="dxa"/>
            <w:vAlign w:val="bottom"/>
          </w:tcPr>
          <w:p>
            <w:pPr>
              <w:spacing w:after="0"/>
              <w:rPr>
                <w:sz w:val="20"/>
                <w:szCs w:val="20"/>
                <w:color w:val="auto"/>
              </w:rPr>
            </w:pPr>
            <w:r>
              <w:rPr>
                <w:rFonts w:ascii="Courier New" w:cs="Courier New" w:eastAsia="Courier New" w:hAnsi="Courier New"/>
                <w:sz w:val="16"/>
                <w:szCs w:val="16"/>
                <w:color w:val="auto"/>
              </w:rPr>
              <w:t>21,900,000</w:t>
            </w:r>
          </w:p>
        </w:tc>
      </w:tr>
      <w:tr>
        <w:trPr>
          <w:trHeight w:val="183"/>
        </w:trPr>
        <w:tc>
          <w:tcPr>
            <w:tcW w:w="1900" w:type="dxa"/>
            <w:vAlign w:val="bottom"/>
          </w:tcPr>
          <w:p>
            <w:pPr>
              <w:spacing w:after="0"/>
              <w:rPr>
                <w:sz w:val="15"/>
                <w:szCs w:val="15"/>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56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58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340"/>
              <w:spacing w:after="0"/>
              <w:rPr>
                <w:sz w:val="20"/>
                <w:szCs w:val="20"/>
                <w:color w:val="auto"/>
              </w:rPr>
            </w:pPr>
            <w:r>
              <w:rPr>
                <w:rFonts w:ascii="Courier New" w:cs="Courier New" w:eastAsia="Courier New" w:hAnsi="Courier New"/>
                <w:sz w:val="16"/>
                <w:szCs w:val="16"/>
                <w:color w:val="auto"/>
              </w:rPr>
              <w:t>0</w:t>
            </w:r>
          </w:p>
        </w:tc>
      </w:tr>
      <w:tr>
        <w:trPr>
          <w:trHeight w:val="183"/>
        </w:trPr>
        <w:tc>
          <w:tcPr>
            <w:tcW w:w="344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700,000</w:t>
            </w:r>
          </w:p>
        </w:tc>
        <w:tc>
          <w:tcPr>
            <w:tcW w:w="76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700,000</w:t>
            </w:r>
          </w:p>
        </w:tc>
        <w:tc>
          <w:tcPr>
            <w:tcW w:w="2280" w:type="dxa"/>
            <w:vAlign w:val="bottom"/>
          </w:tcPr>
          <w:p>
            <w:pPr>
              <w:ind w:left="1240"/>
              <w:spacing w:after="0"/>
              <w:rPr>
                <w:sz w:val="20"/>
                <w:szCs w:val="20"/>
                <w:color w:val="auto"/>
              </w:rPr>
            </w:pPr>
            <w:r>
              <w:rPr>
                <w:rFonts w:ascii="Courier New" w:cs="Courier New" w:eastAsia="Courier New" w:hAnsi="Courier New"/>
                <w:sz w:val="16"/>
                <w:szCs w:val="16"/>
                <w:color w:val="auto"/>
              </w:rPr>
              <w:t>0</w:t>
            </w:r>
          </w:p>
        </w:tc>
      </w:tr>
      <w:tr>
        <w:trPr>
          <w:trHeight w:val="183"/>
        </w:trPr>
        <w:tc>
          <w:tcPr>
            <w:tcW w:w="1900" w:type="dxa"/>
            <w:vAlign w:val="bottom"/>
          </w:tcPr>
          <w:p>
            <w:pPr>
              <w:spacing w:after="0"/>
              <w:rPr>
                <w:sz w:val="15"/>
                <w:szCs w:val="15"/>
                <w:color w:val="auto"/>
              </w:rPr>
            </w:pPr>
          </w:p>
        </w:tc>
        <w:tc>
          <w:tcPr>
            <w:tcW w:w="154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1040"/>
              <w:spacing w:after="0"/>
              <w:rPr>
                <w:sz w:val="20"/>
                <w:szCs w:val="20"/>
                <w:color w:val="auto"/>
              </w:rPr>
            </w:pPr>
            <w:r>
              <w:rPr>
                <w:rFonts w:ascii="Courier New" w:cs="Courier New" w:eastAsia="Courier New" w:hAnsi="Courier New"/>
                <w:sz w:val="16"/>
                <w:szCs w:val="16"/>
                <w:color w:val="auto"/>
              </w:rPr>
              <w:t>0</w:t>
            </w:r>
          </w:p>
        </w:tc>
        <w:tc>
          <w:tcPr>
            <w:tcW w:w="760" w:type="dxa"/>
            <w:vAlign w:val="bottom"/>
          </w:tcPr>
          <w:p>
            <w:pPr>
              <w:spacing w:after="0"/>
              <w:rPr>
                <w:sz w:val="15"/>
                <w:szCs w:val="15"/>
                <w:color w:val="auto"/>
              </w:rPr>
            </w:pPr>
          </w:p>
        </w:tc>
        <w:tc>
          <w:tcPr>
            <w:tcW w:w="1520" w:type="dxa"/>
            <w:vAlign w:val="bottom"/>
          </w:tcPr>
          <w:p>
            <w:pPr>
              <w:ind w:left="1060"/>
              <w:spacing w:after="0"/>
              <w:rPr>
                <w:sz w:val="20"/>
                <w:szCs w:val="20"/>
                <w:color w:val="auto"/>
              </w:rPr>
            </w:pPr>
            <w:r>
              <w:rPr>
                <w:rFonts w:ascii="Courier New" w:cs="Courier New" w:eastAsia="Courier New" w:hAnsi="Courier New"/>
                <w:sz w:val="16"/>
                <w:szCs w:val="16"/>
                <w:color w:val="auto"/>
              </w:rPr>
              <w:t>0</w:t>
            </w:r>
          </w:p>
        </w:tc>
        <w:tc>
          <w:tcPr>
            <w:tcW w:w="2280" w:type="dxa"/>
            <w:vAlign w:val="bottom"/>
          </w:tcPr>
          <w:p>
            <w:pPr>
              <w:ind w:left="1820"/>
              <w:spacing w:after="0"/>
              <w:rPr>
                <w:sz w:val="20"/>
                <w:szCs w:val="20"/>
                <w:color w:val="auto"/>
              </w:rPr>
            </w:pPr>
            <w:r>
              <w:rPr>
                <w:rFonts w:ascii="Courier New" w:cs="Courier New" w:eastAsia="Courier New" w:hAnsi="Courier New"/>
                <w:sz w:val="16"/>
                <w:szCs w:val="16"/>
                <w:color w:val="auto"/>
              </w:rPr>
              <w:t>0</w:t>
            </w:r>
          </w:p>
        </w:tc>
      </w:tr>
      <w:tr>
        <w:trPr>
          <w:trHeight w:val="183"/>
        </w:trPr>
        <w:tc>
          <w:tcPr>
            <w:tcW w:w="3440" w:type="dxa"/>
            <w:vAlign w:val="bottom"/>
            <w:gridSpan w:val="2"/>
          </w:tcPr>
          <w:p>
            <w:pPr>
              <w:ind w:left="1800"/>
              <w:spacing w:after="0"/>
              <w:rPr>
                <w:sz w:val="20"/>
                <w:szCs w:val="20"/>
                <w:color w:val="auto"/>
              </w:rPr>
            </w:pPr>
            <w:r>
              <w:rPr>
                <w:rFonts w:ascii="Courier New" w:cs="Courier New" w:eastAsia="Courier New" w:hAnsi="Courier New"/>
                <w:sz w:val="16"/>
                <w:szCs w:val="16"/>
                <w:color w:val="auto"/>
              </w:rPr>
              <w:t>32,800,000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27,900,000</w:t>
            </w:r>
          </w:p>
        </w:tc>
        <w:tc>
          <w:tcPr>
            <w:tcW w:w="228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27,300,000</w:t>
            </w:r>
          </w:p>
        </w:tc>
        <w:tc>
          <w:tcPr>
            <w:tcW w:w="2280" w:type="dxa"/>
            <w:vAlign w:val="bottom"/>
          </w:tcPr>
          <w:p>
            <w:pPr>
              <w:ind w:left="680"/>
              <w:spacing w:after="0"/>
              <w:rPr>
                <w:sz w:val="20"/>
                <w:szCs w:val="20"/>
                <w:color w:val="auto"/>
              </w:rPr>
            </w:pPr>
            <w:r>
              <w:rPr>
                <w:rFonts w:ascii="Courier New" w:cs="Courier New" w:eastAsia="Courier New" w:hAnsi="Courier New"/>
                <w:sz w:val="16"/>
                <w:szCs w:val="16"/>
                <w:color w:val="auto"/>
              </w:rPr>
              <w:t>21,900,000</w:t>
            </w:r>
          </w:p>
        </w:tc>
      </w:tr>
      <w:tr>
        <w:trPr>
          <w:trHeight w:val="183"/>
        </w:trPr>
        <w:tc>
          <w:tcPr>
            <w:tcW w:w="1900" w:type="dxa"/>
            <w:vAlign w:val="bottom"/>
          </w:tcPr>
          <w:p>
            <w:pPr>
              <w:spacing w:after="0"/>
              <w:rPr>
                <w:sz w:val="15"/>
                <w:szCs w:val="15"/>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1.62</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1.37</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1.20</w:t>
            </w:r>
          </w:p>
        </w:tc>
        <w:tc>
          <w:tcPr>
            <w:tcW w:w="2280" w:type="dxa"/>
            <w:vAlign w:val="bottom"/>
          </w:tcPr>
          <w:p>
            <w:pPr>
              <w:ind w:left="1160"/>
              <w:spacing w:after="0"/>
              <w:rPr>
                <w:sz w:val="20"/>
                <w:szCs w:val="20"/>
                <w:color w:val="auto"/>
              </w:rPr>
            </w:pPr>
            <w:r>
              <w:rPr>
                <w:rFonts w:ascii="Courier New" w:cs="Courier New" w:eastAsia="Courier New" w:hAnsi="Courier New"/>
                <w:sz w:val="16"/>
                <w:szCs w:val="16"/>
                <w:color w:val="auto"/>
              </w:rPr>
              <w:t>0.92</w:t>
            </w:r>
          </w:p>
        </w:tc>
      </w:tr>
      <w:tr>
        <w:trPr>
          <w:trHeight w:val="183"/>
        </w:trPr>
        <w:tc>
          <w:tcPr>
            <w:tcW w:w="1900" w:type="dxa"/>
            <w:vAlign w:val="bottom"/>
          </w:tcPr>
          <w:p>
            <w:pPr>
              <w:spacing w:after="0"/>
              <w:rPr>
                <w:sz w:val="15"/>
                <w:szCs w:val="15"/>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6"/>
                <w:szCs w:val="16"/>
                <w:color w:val="auto"/>
              </w:rPr>
              <w:t>1.08</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0.95</w:t>
            </w:r>
          </w:p>
        </w:tc>
        <w:tc>
          <w:tcPr>
            <w:tcW w:w="76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0.91</w:t>
            </w:r>
          </w:p>
        </w:tc>
        <w:tc>
          <w:tcPr>
            <w:tcW w:w="2280" w:type="dxa"/>
            <w:vAlign w:val="bottom"/>
          </w:tcPr>
          <w:p>
            <w:pPr>
              <w:ind w:left="1160"/>
              <w:spacing w:after="0"/>
              <w:rPr>
                <w:sz w:val="20"/>
                <w:szCs w:val="20"/>
                <w:color w:val="auto"/>
              </w:rPr>
            </w:pPr>
            <w:r>
              <w:rPr>
                <w:rFonts w:ascii="Courier New" w:cs="Courier New" w:eastAsia="Courier New" w:hAnsi="Courier New"/>
                <w:sz w:val="16"/>
                <w:szCs w:val="16"/>
                <w:color w:val="auto"/>
              </w:rPr>
              <w:t>0.75</w:t>
            </w:r>
          </w:p>
        </w:tc>
      </w:tr>
    </w:tbl>
    <w:p>
      <w:pPr>
        <w:spacing w:after="0" w:line="1" w:lineRule="exact"/>
        <w:rPr>
          <w:sz w:val="20"/>
          <w:szCs w:val="20"/>
          <w:color w:val="auto"/>
        </w:rPr>
      </w:pPr>
    </w:p>
    <w:sectPr>
      <w:pgSz w:w="11900" w:h="16838" w:orient="portrait"/>
      <w:cols w:equalWidth="0" w:num="1">
        <w:col w:w="11500"/>
      </w:cols>
      <w:pgMar w:left="260" w:top="50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upperLetter"/>
      <w:start w:val="24"/>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2"/>
    </w:lvl>
  </w:abstractNum>
  <w:abstractNum w:abstractNumId="4">
    <w:nsid w:val="10233C99"/>
    <w:multiLevelType w:val="hybridMultilevel"/>
    <w:lvl w:ilvl="0">
      <w:lvlJc w:val="left"/>
      <w:lvlText w:val="%1."/>
      <w:numFmt w:val="decimal"/>
      <w:start w:val="3"/>
    </w:lvl>
  </w:abstractNum>
  <w:abstractNum w:abstractNumId="5">
    <w:nsid w:val="3F6AB60F"/>
    <w:multiLevelType w:val="hybridMultilevel"/>
    <w:lvl w:ilvl="0">
      <w:lvlJc w:val="left"/>
      <w:lvlText w:val="%1."/>
      <w:numFmt w:val="decimal"/>
      <w:start w:val="5"/>
    </w:lvl>
  </w:abstractNum>
  <w:abstractNum w:abstractNumId="6">
    <w:nsid w:val="61574095"/>
    <w:multiLevelType w:val="hybridMultilevel"/>
    <w:lvl w:ilvl="0">
      <w:lvlJc w:val="left"/>
      <w:lvlText w:val="%1."/>
      <w:numFmt w:val="decimal"/>
      <w:start w:val="6"/>
    </w:lvl>
  </w:abstractNum>
  <w:abstractNum w:abstractNumId="7">
    <w:nsid w:val="7E0C57B1"/>
    <w:multiLevelType w:val="hybridMultilevel"/>
    <w:lvl w:ilvl="0">
      <w:lvlJc w:val="left"/>
      <w:lvlText w:val="%1."/>
      <w:numFmt w:val="decimal"/>
      <w:start w:val="7"/>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o"/>
      <w:numFmt w:val="bullet"/>
      <w:start w:val="1"/>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4"/>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1"/>
    </w:lvl>
  </w:abstractNum>
  <w:abstractNum w:abstractNumId="16">
    <w:nsid w:val="1F48EAA1"/>
    <w:multiLevelType w:val="hybridMultilevel"/>
    <w:lvl w:ilvl="0">
      <w:lvlJc w:val="left"/>
      <w:lvlText w:val="(%1)"/>
      <w:numFmt w:val="lowerRoman"/>
      <w:start w:val="3"/>
    </w:lvl>
  </w:abstractNum>
  <w:abstractNum w:abstractNumId="17">
    <w:nsid w:val="1381823A"/>
    <w:multiLevelType w:val="hybridMultilevel"/>
    <w:lvl w:ilvl="0">
      <w:lvlJc w:val="left"/>
      <w:lvlText w:val="(%1)"/>
      <w:numFmt w:val="lowerLetter"/>
      <w:start w:val="2"/>
    </w:lvl>
  </w:abstractNum>
  <w:abstractNum w:abstractNumId="18">
    <w:nsid w:val="5DB70AE5"/>
    <w:multiLevelType w:val="hybridMultilevel"/>
    <w:lvl w:ilvl="0">
      <w:lvlJc w:val="left"/>
      <w:lvlText w:val="(%1)"/>
      <w:numFmt w:val="lowerRoman"/>
      <w:start w:val="2"/>
    </w:lvl>
    <w:lvl w:ilvl="1">
      <w:lvlJc w:val="left"/>
      <w:lvlText w:val="(%2)"/>
      <w:numFmt w:val="upperLetter"/>
      <w:start w:val="1"/>
    </w:lvl>
  </w:abstractNum>
  <w:abstractNum w:abstractNumId="19">
    <w:nsid w:val="100F8FCA"/>
    <w:multiLevelType w:val="hybridMultilevel"/>
    <w:lvl w:ilvl="0">
      <w:lvlJc w:val="left"/>
      <w:lvlText w:val="(%1)"/>
      <w:numFmt w:val="upperLetter"/>
      <w:start w:val="4"/>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5"/>
    </w:lvl>
  </w:abstractNum>
  <w:abstractNum w:abstractNumId="22">
    <w:nsid w:val="5F5E7FD0"/>
    <w:multiLevelType w:val="hybridMultilevel"/>
    <w:lvl w:ilvl="0">
      <w:lvlJc w:val="left"/>
      <w:lvlText w:val="%1."/>
      <w:numFmt w:val="upperLetter"/>
      <w:start w:val="1"/>
    </w:lvl>
  </w:abstractNum>
  <w:abstractNum w:abstractNumId="23">
    <w:nsid w:val="98A3148"/>
    <w:multiLevelType w:val="hybridMultilevel"/>
    <w:lvl w:ilvl="0">
      <w:lvlJc w:val="left"/>
      <w:lvlText w:val="%1."/>
      <w:numFmt w:val="upperLetter"/>
      <w:start w:val="9"/>
    </w:lvl>
  </w:abstractNum>
  <w:abstractNum w:abstractNumId="24">
    <w:nsid w:val="799D0247"/>
    <w:multiLevelType w:val="hybridMultilevel"/>
    <w:lvl w:ilvl="0">
      <w:lvlJc w:val="left"/>
      <w:lvlText w:val="(%1)"/>
      <w:numFmt w:val="lowerLetter"/>
      <w:start w:val="2"/>
    </w:lvl>
  </w:abstractNum>
  <w:abstractNum w:abstractNumId="25">
    <w:nsid w:val="6B94764"/>
    <w:multiLevelType w:val="hybridMultilevel"/>
    <w:lvl w:ilvl="0">
      <w:lvlJc w:val="left"/>
      <w:lvlText w:val="(%1)"/>
      <w:numFmt w:val="lowerRoman"/>
      <w:start w:val="2"/>
    </w:lvl>
  </w:abstractNum>
  <w:abstractNum w:abstractNumId="26">
    <w:nsid w:val="42C296BD"/>
    <w:multiLevelType w:val="hybridMultilevel"/>
    <w:lvl w:ilvl="0">
      <w:lvlJc w:val="left"/>
      <w:lvlText w:val="(%1)"/>
      <w:numFmt w:val="lowerRoman"/>
      <w:start w:val="4"/>
    </w:lvl>
    <w:lvl w:ilvl="1">
      <w:lvlJc w:val="left"/>
      <w:lvlText w:val="(%2)"/>
      <w:numFmt w:val="lowerLetter"/>
      <w:start w:val="2"/>
    </w:lvl>
  </w:abstractNum>
  <w:abstractNum w:abstractNumId="27">
    <w:nsid w:val="168E121F"/>
    <w:multiLevelType w:val="hybridMultilevel"/>
    <w:lvl w:ilvl="0">
      <w:lvlJc w:val="left"/>
      <w:lvlText w:val="(%1)"/>
      <w:numFmt w:val="lowerLetter"/>
      <w:start w:val="2"/>
    </w:lvl>
  </w:abstractNum>
  <w:abstractNum w:abstractNumId="28">
    <w:nsid w:val="1EBA5D23"/>
    <w:multiLevelType w:val="hybridMultilevel"/>
    <w:lvl w:ilvl="0">
      <w:lvlJc w:val="left"/>
      <w:lvlText w:val="(%1)"/>
      <w:numFmt w:val="lowerLetter"/>
      <w:start w:val="35"/>
    </w:lvl>
    <w:lvl w:ilvl="1">
      <w:lvlJc w:val="left"/>
      <w:lvlText w:val="(%2)"/>
      <w:numFmt w:val="lowerLetter"/>
      <w:start w:val="2"/>
    </w:lvl>
  </w:abstractNum>
  <w:abstractNum w:abstractNumId="29">
    <w:nsid w:val="661E3F1E"/>
    <w:multiLevelType w:val="hybridMultilevel"/>
    <w:lvl w:ilvl="0">
      <w:lvlJc w:val="left"/>
      <w:lvlText w:val="(%1)"/>
      <w:numFmt w:val="lowerRoman"/>
      <w:start w:val="2"/>
    </w:lvl>
  </w:abstractNum>
  <w:abstractNum w:abstractNumId="30">
    <w:nsid w:val="5DC79EA8"/>
    <w:multiLevelType w:val="hybridMultilevel"/>
    <w:lvl w:ilvl="0">
      <w:lvlJc w:val="left"/>
      <w:lvlText w:val="(%1)"/>
      <w:numFmt w:val="lowerRoman"/>
      <w:start w:val="3"/>
    </w:lvl>
  </w:abstractNum>
  <w:abstractNum w:abstractNumId="31">
    <w:nsid w:val="540A471C"/>
    <w:multiLevelType w:val="hybridMultilevel"/>
    <w:lvl w:ilvl="0">
      <w:lvlJc w:val="left"/>
      <w:lvlText w:val="(%1)"/>
      <w:numFmt w:val="upperLetter"/>
      <w:start w:val="1"/>
    </w:lvl>
  </w:abstractNum>
  <w:abstractNum w:abstractNumId="32">
    <w:nsid w:val="7BD3EE7B"/>
    <w:multiLevelType w:val="hybridMultilevel"/>
    <w:lvl w:ilvl="0">
      <w:lvlJc w:val="left"/>
      <w:lvlText w:val="(%1)"/>
      <w:numFmt w:val="lowerRoman"/>
      <w:start w:val="5"/>
    </w:lvl>
  </w:abstractNum>
  <w:abstractNum w:abstractNumId="33">
    <w:nsid w:val="51D9C564"/>
    <w:multiLevelType w:val="hybridMultilevel"/>
    <w:lvl w:ilvl="0">
      <w:lvlJc w:val="left"/>
      <w:lvlText w:val="(%1)"/>
      <w:numFmt w:val="lowerLetter"/>
      <w:start w:val="3"/>
    </w:lvl>
  </w:abstractNum>
  <w:abstractNum w:abstractNumId="34">
    <w:nsid w:val="613EFDC5"/>
    <w:multiLevelType w:val="hybridMultilevel"/>
    <w:lvl w:ilvl="0">
      <w:lvlJc w:val="left"/>
      <w:lvlText w:val="(%1)"/>
      <w:numFmt w:val="lowerLetter"/>
      <w:start w:val="4"/>
    </w:lvl>
  </w:abstractNum>
  <w:abstractNum w:abstractNumId="35">
    <w:nsid w:val="BF72B14"/>
    <w:multiLevelType w:val="hybridMultilevel"/>
    <w:lvl w:ilvl="0">
      <w:lvlJc w:val="left"/>
      <w:lvlText w:val="(%1)"/>
      <w:numFmt w:val="lowerLetter"/>
      <w:start w:val="35"/>
    </w:lvl>
    <w:lvl w:ilvl="1">
      <w:lvlJc w:val="left"/>
      <w:lvlText w:val="(%2)"/>
      <w:numFmt w:val="lowerLetter"/>
      <w:start w:val="2"/>
    </w:lvl>
  </w:abstractNum>
  <w:abstractNum w:abstractNumId="36">
    <w:nsid w:val="11447B73"/>
    <w:multiLevelType w:val="hybridMultilevel"/>
    <w:lvl w:ilvl="0">
      <w:lvlJc w:val="left"/>
      <w:lvlText w:val="(%1)"/>
      <w:numFmt w:val="lowerLetter"/>
      <w:start w:val="4"/>
    </w:lvl>
  </w:abstractNum>
  <w:abstractNum w:abstractNumId="37">
    <w:nsid w:val="42963E5A"/>
    <w:multiLevelType w:val="hybridMultilevel"/>
    <w:lvl w:ilvl="0">
      <w:lvlJc w:val="left"/>
      <w:lvlText w:val="(%1)"/>
      <w:numFmt w:val="lowerLetter"/>
      <w:start w:val="2"/>
    </w:lvl>
  </w:abstractNum>
  <w:abstractNum w:abstractNumId="38">
    <w:nsid w:val="A0382C5"/>
    <w:multiLevelType w:val="hybridMultilevel"/>
    <w:lvl w:ilvl="0">
      <w:lvlJc w:val="left"/>
      <w:lvlText w:val="(%1)"/>
      <w:numFmt w:val="lowerLetter"/>
      <w:start w:val="1"/>
    </w:lvl>
  </w:abstractNum>
  <w:abstractNum w:abstractNumId="39">
    <w:nsid w:val="8F2B15E"/>
    <w:multiLevelType w:val="hybridMultilevel"/>
    <w:lvl w:ilvl="0">
      <w:lvlJc w:val="left"/>
      <w:lvlText w:val="(%1)"/>
      <w:numFmt w:val="lowerLetter"/>
      <w:start w:val="2"/>
    </w:lvl>
  </w:abstractNum>
  <w:abstractNum w:abstractNumId="40">
    <w:nsid w:val="1A32234B"/>
    <w:multiLevelType w:val="hybridMultilevel"/>
    <w:lvl w:ilvl="0">
      <w:lvlJc w:val="left"/>
      <w:lvlText w:val="(%1)"/>
      <w:numFmt w:val="lowerLetter"/>
      <w:start w:val="2"/>
    </w:lvl>
  </w:abstractNum>
  <w:abstractNum w:abstractNumId="41">
    <w:nsid w:val="3B0FD379"/>
    <w:multiLevelType w:val="hybridMultilevel"/>
    <w:lvl w:ilvl="0">
      <w:lvlJc w:val="left"/>
      <w:lvlText w:val="(%1)"/>
      <w:numFmt w:val="lowerLetter"/>
      <w:start w:val="2"/>
    </w:lvl>
  </w:abstractNum>
  <w:abstractNum w:abstractNumId="42">
    <w:nsid w:val="68EB2F63"/>
    <w:multiLevelType w:val="hybridMultilevel"/>
    <w:lvl w:ilvl="0">
      <w:lvlJc w:val="left"/>
      <w:lvlText w:val="(%1)"/>
      <w:numFmt w:val="lowerLetter"/>
      <w:start w:val="2"/>
    </w:lvl>
  </w:abstractNum>
  <w:abstractNum w:abstractNumId="43">
    <w:nsid w:val="4962813B"/>
    <w:multiLevelType w:val="hybridMultilevel"/>
    <w:lvl w:ilvl="0">
      <w:lvlJc w:val="left"/>
      <w:lvlText w:val="(%1)"/>
      <w:numFmt w:val="lowerLetter"/>
      <w:start w:val="2"/>
    </w:lvl>
  </w:abstractNum>
  <w:abstractNum w:abstractNumId="44">
    <w:nsid w:val="60B6DF70"/>
    <w:multiLevelType w:val="hybridMultilevel"/>
    <w:lvl w:ilvl="0">
      <w:lvlJc w:val="left"/>
      <w:lvlText w:val="(%1)"/>
      <w:numFmt w:val="lowerLetter"/>
      <w:start w:val="4"/>
    </w:lvl>
  </w:abstractNum>
  <w:abstractNum w:abstractNumId="45">
    <w:nsid w:val="6A5EE64"/>
    <w:multiLevelType w:val="hybridMultilevel"/>
    <w:lvl w:ilvl="0">
      <w:lvlJc w:val="left"/>
      <w:lvlText w:val="(%1)"/>
      <w:numFmt w:val="lowerLetter"/>
      <w:start w:val="2"/>
    </w:lvl>
  </w:abstractNum>
  <w:abstractNum w:abstractNumId="46">
    <w:nsid w:val="14330624"/>
    <w:multiLevelType w:val="hybridMultilevel"/>
    <w:lvl w:ilvl="0">
      <w:lvlJc w:val="left"/>
      <w:lvlText w:val="(%1)"/>
      <w:numFmt w:val="lowerLetter"/>
      <w:start w:val="3"/>
    </w:lvl>
  </w:abstractNum>
  <w:abstractNum w:abstractNumId="47">
    <w:nsid w:val="7FFFCA11"/>
    <w:multiLevelType w:val="hybridMultilevel"/>
    <w:lvl w:ilvl="0">
      <w:lvlJc w:val="left"/>
      <w:lvlText w:val="(%1)"/>
      <w:numFmt w:val="lowerRoman"/>
      <w:start w:val="1"/>
    </w:lvl>
  </w:abstractNum>
  <w:abstractNum w:abstractNumId="48">
    <w:nsid w:val="1A27709E"/>
    <w:multiLevelType w:val="hybridMultilevel"/>
    <w:lvl w:ilvl="0">
      <w:lvlJc w:val="left"/>
      <w:lvlText w:val="(%1)"/>
      <w:numFmt w:val="lowerRoman"/>
      <w:start w:val="2"/>
    </w:lvl>
  </w:abstractNum>
  <w:abstractNum w:abstractNumId="49">
    <w:nsid w:val="71EA1109"/>
    <w:multiLevelType w:val="hybridMultilevel"/>
    <w:lvl w:ilvl="0">
      <w:lvlJc w:val="left"/>
      <w:lvlText w:val="(%1)"/>
      <w:numFmt w:val="lowerLetter"/>
      <w:start w:val="2"/>
    </w:lvl>
  </w:abstractNum>
  <w:abstractNum w:abstractNumId="50">
    <w:nsid w:val="100F59DC"/>
    <w:multiLevelType w:val="hybridMultilevel"/>
    <w:lvl w:ilvl="0">
      <w:lvlJc w:val="left"/>
      <w:lvlText w:val="(%1)"/>
      <w:numFmt w:val="lowerLetter"/>
      <w:start w:val="3"/>
    </w:lvl>
  </w:abstractNum>
  <w:abstractNum w:abstractNumId="51">
    <w:nsid w:val="7FB7E0AA"/>
    <w:multiLevelType w:val="hybridMultilevel"/>
    <w:lvl w:ilvl="0">
      <w:lvlJc w:val="left"/>
      <w:lvlText w:val="(%1)"/>
      <w:numFmt w:val="lowerLetter"/>
      <w:start w:val="2"/>
    </w:lvl>
  </w:abstractNum>
  <w:abstractNum w:abstractNumId="52">
    <w:nsid w:val="6EB5BD4"/>
    <w:multiLevelType w:val="hybridMultilevel"/>
    <w:lvl w:ilvl="0">
      <w:lvlJc w:val="left"/>
      <w:lvlText w:val="(%1)"/>
      <w:numFmt w:val="upperLetter"/>
      <w:start w:val="24"/>
    </w:lvl>
  </w:abstractNum>
  <w:abstractNum w:abstractNumId="53">
    <w:nsid w:val="6F6DD9AC"/>
    <w:multiLevelType w:val="hybridMultilevel"/>
    <w:lvl w:ilvl="0">
      <w:lvlJc w:val="left"/>
      <w:lvlText w:val="(%1)"/>
      <w:numFmt w:val="lowerRoman"/>
      <w:start w:val="2"/>
    </w:lvl>
  </w:abstractNum>
  <w:abstractNum w:abstractNumId="54">
    <w:nsid w:val="94211F2"/>
    <w:multiLevelType w:val="hybridMultilevel"/>
    <w:lvl w:ilvl="0">
      <w:lvlJc w:val="left"/>
      <w:lvlText w:val="%1"/>
      <w:numFmt w:val="lowerRoman"/>
      <w:start w:val="1"/>
    </w:lvl>
    <w:lvl w:ilvl="1">
      <w:lvlJc w:val="left"/>
      <w:lvlText w:val="(%2)"/>
      <w:numFmt w:val="upperLetter"/>
      <w:start w:val="25"/>
    </w:lvl>
  </w:abstractNum>
  <w:abstractNum w:abstractNumId="55">
    <w:nsid w:val="885E1B"/>
    <w:multiLevelType w:val="hybridMultilevel"/>
    <w:lvl w:ilvl="0">
      <w:lvlJc w:val="left"/>
      <w:lvlText w:val="(%1)"/>
      <w:numFmt w:val="lowerRoman"/>
      <w:start w:val="3"/>
    </w:lvl>
    <w:lvl w:ilvl="1">
      <w:lvlJc w:val="left"/>
      <w:lvlText w:val="%2"/>
      <w:numFmt w:val="upperLetter"/>
      <w:start w:val="1"/>
    </w:lvl>
  </w:abstractNum>
  <w:abstractNum w:abstractNumId="56">
    <w:nsid w:val="76272110"/>
    <w:multiLevelType w:val="hybridMultilevel"/>
    <w:lvl w:ilvl="0">
      <w:lvlJc w:val="left"/>
      <w:lvlText w:val="(%1)"/>
      <w:numFmt w:val="decimal"/>
      <w:start w:val="2"/>
    </w:lvl>
  </w:abstractNum>
  <w:abstractNum w:abstractNumId="57">
    <w:nsid w:val="4C04A8AF"/>
    <w:multiLevelType w:val="hybridMultilevel"/>
    <w:lvl w:ilvl="0">
      <w:lvlJc w:val="left"/>
      <w:lvlText w:val="(%1)"/>
      <w:numFmt w:val="lowerRoman"/>
      <w:start w:val="2"/>
    </w:lvl>
  </w:abstractNum>
  <w:abstractNum w:abstractNumId="58">
    <w:nsid w:val="1716703B"/>
    <w:multiLevelType w:val="hybridMultilevel"/>
    <w:lvl w:ilvl="0">
      <w:lvlJc w:val="left"/>
      <w:lvlText w:val="%1"/>
      <w:numFmt w:val="lowerLetter"/>
      <w:start w:val="1"/>
    </w:lvl>
    <w:lvl w:ilvl="1">
      <w:lvlJc w:val="left"/>
      <w:lvlText w:val="(%2)"/>
      <w:numFmt w:val="lowerLetter"/>
      <w:start w:val="2"/>
    </w:lvl>
  </w:abstractNum>
  <w:abstractNum w:abstractNumId="59">
    <w:nsid w:val="14E17E33"/>
    <w:multiLevelType w:val="hybridMultilevel"/>
    <w:lvl w:ilvl="0">
      <w:lvlJc w:val="left"/>
      <w:lvlText w:val="(%1)"/>
      <w:numFmt w:val="lowerLetter"/>
      <w:start w:val="61"/>
    </w:lvl>
    <w:lvl w:ilvl="1">
      <w:lvlJc w:val="left"/>
      <w:lvlText w:val="%2"/>
      <w:numFmt w:val="lowerLetter"/>
      <w:start w:val="1"/>
    </w:lvl>
  </w:abstractNum>
  <w:abstractNum w:abstractNumId="60">
    <w:nsid w:val="3222E7CD"/>
    <w:multiLevelType w:val="hybridMultilevel"/>
    <w:lvl w:ilvl="0">
      <w:lvlJc w:val="left"/>
      <w:lvlText w:val="(%1)"/>
      <w:numFmt w:val="lowerLetter"/>
      <w:start w:val="2"/>
    </w:lvl>
  </w:abstractNum>
  <w:abstractNum w:abstractNumId="61">
    <w:nsid w:val="74DE0EE3"/>
    <w:multiLevelType w:val="hybridMultilevel"/>
    <w:lvl w:ilvl="0">
      <w:lvlJc w:val="left"/>
      <w:lvlText w:val="(%1)"/>
      <w:numFmt w:val="lowerLetter"/>
      <w:start w:val="3"/>
    </w:lvl>
  </w:abstractNum>
  <w:abstractNum w:abstractNumId="62">
    <w:nsid w:val="68EBC550"/>
    <w:multiLevelType w:val="hybridMultilevel"/>
    <w:lvl w:ilvl="0">
      <w:lvlJc w:val="left"/>
      <w:lvlText w:val="(%1)"/>
      <w:numFmt w:val="lowerLetter"/>
      <w:start w:val="2"/>
    </w:lvl>
  </w:abstractNum>
  <w:abstractNum w:abstractNumId="63">
    <w:nsid w:val="2DF6D648"/>
    <w:multiLevelType w:val="hybridMultilevel"/>
    <w:lvl w:ilvl="0">
      <w:lvlJc w:val="left"/>
      <w:lvlText w:val="(%1)"/>
      <w:numFmt w:val="lowerLetter"/>
      <w:start w:val="3"/>
    </w:lvl>
  </w:abstractNum>
  <w:abstractNum w:abstractNumId="64">
    <w:nsid w:val="46B7D447"/>
    <w:multiLevelType w:val="hybridMultilevel"/>
    <w:lvl w:ilvl="0">
      <w:lvlJc w:val="left"/>
      <w:lvlText w:val="(%1)"/>
      <w:numFmt w:val="lowerLetter"/>
      <w:start w:val="2"/>
    </w:lvl>
  </w:abstractNum>
  <w:abstractNum w:abstractNumId="65">
    <w:nsid w:val="4A2AC315"/>
    <w:multiLevelType w:val="hybridMultilevel"/>
    <w:lvl w:ilvl="0">
      <w:lvlJc w:val="left"/>
      <w:lvlText w:val="(%1)"/>
      <w:numFmt w:val="lowerLetter"/>
      <w:start w:val="3"/>
    </w:lvl>
  </w:abstractNum>
  <w:abstractNum w:abstractNumId="66">
    <w:nsid w:val="39EE015C"/>
    <w:multiLevelType w:val="hybridMultilevel"/>
    <w:lvl w:ilvl="0">
      <w:lvlJc w:val="left"/>
      <w:lvlText w:val="(%1)"/>
      <w:numFmt w:val="lowerLetter"/>
      <w:start w:val="2"/>
    </w:lvl>
  </w:abstractNum>
  <w:abstractNum w:abstractNumId="67">
    <w:nsid w:val="57FC4FBB"/>
    <w:multiLevelType w:val="hybridMultilevel"/>
    <w:lvl w:ilvl="0">
      <w:lvlJc w:val="left"/>
      <w:lvlText w:val="%1"/>
      <w:numFmt w:val="lowerLetter"/>
      <w:start w:val="1"/>
    </w:lvl>
    <w:lvl w:ilvl="1">
      <w:lvlJc w:val="left"/>
      <w:lvlText w:val="(%2)"/>
      <w:numFmt w:val="lowerLetter"/>
      <w:start w:val="1"/>
    </w:lvl>
  </w:abstractNum>
  <w:abstractNum w:abstractNumId="68">
    <w:nsid w:val="CC1016F"/>
    <w:multiLevelType w:val="hybridMultilevel"/>
    <w:lvl w:ilvl="0">
      <w:lvlJc w:val="left"/>
      <w:lvlText w:val="(%1)"/>
      <w:numFmt w:val="lowerLetter"/>
      <w:start w:val="35"/>
    </w:lvl>
    <w:lvl w:ilvl="1">
      <w:lvlJc w:val="left"/>
      <w:lvlText w:val="(%2)"/>
      <w:numFmt w:val="lowerLetter"/>
      <w:start w:val="2"/>
    </w:lvl>
  </w:abstractNum>
  <w:abstractNum w:abstractNumId="69">
    <w:nsid w:val="43F18422"/>
    <w:multiLevelType w:val="hybridMultilevel"/>
    <w:lvl w:ilvl="0">
      <w:lvlJc w:val="left"/>
      <w:lvlText w:val="(%1)"/>
      <w:numFmt w:val="lowerLetter"/>
      <w:start w:val="4"/>
    </w:lvl>
  </w:abstractNum>
  <w:abstractNum w:abstractNumId="70">
    <w:nsid w:val="60EF0119"/>
    <w:multiLevelType w:val="hybridMultilevel"/>
    <w:lvl w:ilvl="0">
      <w:lvlJc w:val="left"/>
      <w:lvlText w:val="%1"/>
      <w:numFmt w:val="lowerLetter"/>
      <w:start w:val="1"/>
    </w:lvl>
    <w:lvl w:ilvl="1">
      <w:lvlJc w:val="left"/>
      <w:lvlText w:val="(%2)"/>
      <w:numFmt w:val="lowerLetter"/>
      <w:start w:val="1"/>
    </w:lvl>
  </w:abstractNum>
  <w:abstractNum w:abstractNumId="71">
    <w:nsid w:val="26F324BA"/>
    <w:multiLevelType w:val="hybridMultilevel"/>
    <w:lvl w:ilvl="0">
      <w:lvlJc w:val="left"/>
      <w:lvlText w:val="(%1)"/>
      <w:numFmt w:val="lowerLetter"/>
      <w:start w:val="9"/>
    </w:lvl>
    <w:lvl w:ilvl="1">
      <w:lvlJc w:val="left"/>
      <w:lvlText w:val="%2"/>
      <w:numFmt w:val="lowerLetter"/>
      <w:start w:val="1"/>
    </w:lvl>
  </w:abstractNum>
  <w:abstractNum w:abstractNumId="72">
    <w:nsid w:val="7F01579B"/>
    <w:multiLevelType w:val="hybridMultilevel"/>
    <w:lvl w:ilvl="0">
      <w:lvlJc w:val="left"/>
      <w:lvlText w:val="(%1)"/>
      <w:numFmt w:val="lowerLetter"/>
      <w:start w:val="6"/>
    </w:lvl>
  </w:abstractNum>
  <w:abstractNum w:abstractNumId="73">
    <w:nsid w:val="49DA307D"/>
    <w:multiLevelType w:val="hybridMultilevel"/>
    <w:lvl w:ilvl="0">
      <w:lvlJc w:val="left"/>
      <w:lvlText w:val="(%1)"/>
      <w:numFmt w:val="lowerLetter"/>
      <w:start w:val="1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4"/>
    </w:lvl>
  </w:abstractNum>
  <w:abstractNum w:abstractNumId="76">
    <w:nsid w:val="50801EE1"/>
    <w:multiLevelType w:val="hybridMultilevel"/>
    <w:lvl w:ilvl="0">
      <w:lvlJc w:val="left"/>
      <w:lvlText w:val="(%1)"/>
      <w:numFmt w:val="lowerRoman"/>
      <w:start w:val="1"/>
    </w:lvl>
  </w:abstractNum>
  <w:abstractNum w:abstractNumId="77">
    <w:nsid w:val="488AC1A"/>
    <w:multiLevelType w:val="hybridMultilevel"/>
    <w:lvl w:ilvl="0">
      <w:lvlJc w:val="left"/>
      <w:lvlText w:val="(%1)"/>
      <w:numFmt w:val="lowerRoman"/>
      <w:start w:val="3"/>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3"/>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5"/>
    </w:lvl>
  </w:abstractNum>
  <w:abstractNum w:abstractNumId="83">
    <w:nsid w:val="7D5E18F8"/>
    <w:multiLevelType w:val="hybridMultilevel"/>
    <w:lvl w:ilvl="0">
      <w:lvlJc w:val="left"/>
      <w:lvlText w:val="(%1)"/>
      <w:numFmt w:val="lowerRoman"/>
      <w:start w:val="1"/>
    </w:lvl>
  </w:abstractNum>
  <w:abstractNum w:abstractNumId="84">
    <w:nsid w:val="5F3534A4"/>
    <w:multiLevelType w:val="hybridMultilevel"/>
    <w:lvl w:ilvl="0">
      <w:lvlJc w:val="left"/>
      <w:lvlText w:val="(%1)"/>
      <w:numFmt w:val="lowerLetter"/>
      <w:start w:val="2"/>
    </w:lvl>
  </w:abstractNum>
  <w:abstractNum w:abstractNumId="85">
    <w:nsid w:val="73A1821B"/>
    <w:multiLevelType w:val="hybridMultilevel"/>
    <w:lvl w:ilvl="0">
      <w:lvlJc w:val="left"/>
      <w:lvlText w:val="(%1)"/>
      <w:numFmt w:val="lowerLetter"/>
      <w:start w:val="3"/>
    </w:lvl>
  </w:abstractNum>
  <w:abstractNum w:abstractNumId="86">
    <w:nsid w:val="7DE67713"/>
    <w:multiLevelType w:val="hybridMultilevel"/>
    <w:lvl w:ilvl="0">
      <w:lvlJc w:val="left"/>
      <w:lvlText w:val="(%1)"/>
      <w:numFmt w:val="lowerLetter"/>
      <w:start w:val="1"/>
    </w:lvl>
  </w:abstractNum>
  <w:abstractNum w:abstractNumId="87">
    <w:nsid w:val="555C55B5"/>
    <w:multiLevelType w:val="hybridMultilevel"/>
    <w:lvl w:ilvl="0">
      <w:lvlJc w:val="left"/>
      <w:lvlText w:val="(%1)"/>
      <w:numFmt w:val="lowerLetter"/>
      <w:start w:val="5"/>
    </w:lvl>
  </w:abstractNum>
  <w:abstractNum w:abstractNumId="88">
    <w:nsid w:val="3FA62ACA"/>
    <w:multiLevelType w:val="hybridMultilevel"/>
    <w:lvl w:ilvl="0">
      <w:lvlJc w:val="left"/>
      <w:lvlText w:val="(%1)"/>
      <w:numFmt w:val="lowerRoman"/>
      <w:start w:val="2"/>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Letter"/>
      <w:start w:val="3"/>
    </w:lvl>
  </w:abstractNum>
  <w:abstractNum w:abstractNumId="93">
    <w:nsid w:val="53299938"/>
    <w:multiLevelType w:val="hybridMultilevel"/>
    <w:lvl w:ilvl="0">
      <w:lvlJc w:val="left"/>
      <w:lvlText w:val="(%1)"/>
      <w:numFmt w:val="lowerLetter"/>
      <w:start w:val="1"/>
    </w:lvl>
  </w:abstractNum>
  <w:abstractNum w:abstractNumId="94">
    <w:nsid w:val="1FBFE8E0"/>
    <w:multiLevelType w:val="hybridMultilevel"/>
    <w:lvl w:ilvl="0">
      <w:lvlJc w:val="left"/>
      <w:lvlText w:val="%1"/>
      <w:numFmt w:val="lowerLetter"/>
      <w:start w:val="1"/>
    </w:lvl>
    <w:lvl w:ilvl="1">
      <w:lvlJc w:val="left"/>
      <w:lvlText w:val="(%2)"/>
      <w:numFmt w:val="lowerLetter"/>
      <w:start w:val="3"/>
    </w:lvl>
  </w:abstractNum>
  <w:abstractNum w:abstractNumId="95">
    <w:nsid w:val="5092CA79"/>
    <w:multiLevelType w:val="hybridMultilevel"/>
    <w:lvl w:ilvl="0">
      <w:lvlJc w:val="left"/>
      <w:lvlText w:val="(%1)"/>
      <w:numFmt w:val="lowerLetter"/>
      <w:start w:val="9"/>
    </w:lvl>
    <w:lvl w:ilvl="1">
      <w:lvlJc w:val="left"/>
      <w:lvlText w:val="%2"/>
      <w:numFmt w:val="lowerLetter"/>
      <w:start w:val="1"/>
    </w:lvl>
  </w:abstractNum>
  <w:abstractNum w:abstractNumId="96">
    <w:nsid w:val="1D545C4D"/>
    <w:multiLevelType w:val="hybridMultilevel"/>
    <w:lvl w:ilvl="0">
      <w:lvlJc w:val="left"/>
      <w:lvlText w:val="(%1)"/>
      <w:numFmt w:val="lowerLetter"/>
      <w:start w:val="7"/>
    </w:lvl>
  </w:abstractNum>
  <w:abstractNum w:abstractNumId="97">
    <w:nsid w:val="59ADEA3D"/>
    <w:multiLevelType w:val="hybridMultilevel"/>
    <w:lvl w:ilvl="0">
      <w:lvlJc w:val="left"/>
      <w:lvlText w:val="(%1)"/>
      <w:numFmt w:val="lowerLetter"/>
      <w:start w:val="10"/>
    </w:lvl>
  </w:abstractNum>
  <w:abstractNum w:abstractNumId="98">
    <w:nsid w:val="288F1A34"/>
    <w:multiLevelType w:val="hybridMultilevel"/>
    <w:lvl w:ilvl="0">
      <w:lvlJc w:val="left"/>
      <w:lvlText w:val="(%1)"/>
      <w:numFmt w:val="lowerLetter"/>
      <w:start w:val="2"/>
    </w:lvl>
  </w:abstractNum>
  <w:abstractNum w:abstractNumId="99">
    <w:nsid w:val="2A155DBC"/>
    <w:multiLevelType w:val="hybridMultilevel"/>
    <w:lvl w:ilvl="0">
      <w:lvlJc w:val="left"/>
      <w:lvlText w:val="(%1)"/>
      <w:numFmt w:val="lowerLetter"/>
      <w:start w:val="2"/>
    </w:lvl>
  </w:abstractNum>
  <w:abstractNum w:abstractNumId="100">
    <w:nsid w:val="1D9F6E5F"/>
    <w:multiLevelType w:val="hybridMultilevel"/>
    <w:lvl w:ilvl="0">
      <w:lvlJc w:val="left"/>
      <w:lvlText w:val="(%1)"/>
      <w:numFmt w:val="lowerRoman"/>
      <w:start w:val="1"/>
    </w:lvl>
  </w:abstractNum>
  <w:abstractNum w:abstractNumId="101">
    <w:nsid w:val="97E1B4E"/>
    <w:multiLevelType w:val="hybridMultilevel"/>
    <w:lvl w:ilvl="0">
      <w:lvlJc w:val="left"/>
      <w:lvlText w:val="(%1)"/>
      <w:numFmt w:val="decimal"/>
      <w:start w:val="1"/>
    </w:lvl>
    <w:lvl w:ilvl="1">
      <w:lvlJc w:val="left"/>
      <w:lvlText w:val="(%2)"/>
      <w:numFmt w:val="lowerRoman"/>
      <w:start w:val="2"/>
    </w:lvl>
  </w:abstractNum>
  <w:abstractNum w:abstractNumId="102">
    <w:nsid w:val="51088277"/>
    <w:multiLevelType w:val="hybridMultilevel"/>
    <w:lvl w:ilvl="0">
      <w:lvlJc w:val="left"/>
      <w:lvlText w:val="(%1)"/>
      <w:numFmt w:val="lowerLetter"/>
      <w:start w:val="2"/>
    </w:lvl>
  </w:abstractNum>
  <w:abstractNum w:abstractNumId="103">
    <w:nsid w:val="1CA0C5FA"/>
    <w:multiLevelType w:val="hybridMultilevel"/>
    <w:lvl w:ilvl="0">
      <w:lvlJc w:val="left"/>
      <w:lvlText w:val="(%1)"/>
      <w:numFmt w:val="lowerLetter"/>
      <w:start w:val="3"/>
    </w:lvl>
  </w:abstractNum>
  <w:abstractNum w:abstractNumId="104">
    <w:nsid w:val="53584BCB"/>
    <w:multiLevelType w:val="hybridMultilevel"/>
    <w:lvl w:ilvl="0">
      <w:lvlJc w:val="left"/>
      <w:lvlText w:val="(%1)"/>
      <w:numFmt w:val="lowerLetter"/>
      <w:start w:val="4"/>
    </w:lvl>
  </w:abstractNum>
  <w:abstractNum w:abstractNumId="105">
    <w:nsid w:val="415E286C"/>
    <w:multiLevelType w:val="hybridMultilevel"/>
    <w:lvl w:ilvl="0">
      <w:lvlJc w:val="left"/>
      <w:lvlText w:val="(%1)"/>
      <w:numFmt w:val="lowerLetter"/>
      <w:start w:val="7"/>
    </w:lvl>
  </w:abstractNum>
  <w:abstractNum w:abstractNumId="106">
    <w:nsid w:val="7C58FD05"/>
    <w:multiLevelType w:val="hybridMultilevel"/>
    <w:lvl w:ilvl="0">
      <w:lvlJc w:val="left"/>
      <w:lvlText w:val="(%1)"/>
      <w:numFmt w:val="lowerLetter"/>
      <w:start w:val="2"/>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Letter"/>
      <w:start w:val="7"/>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1)"/>
      <w:numFmt w:val="lowerLetter"/>
      <w:start w:val="1"/>
    </w:lvl>
    <w:lvl w:ilvl="1">
      <w:lvlJc w:val="left"/>
      <w:lvlText w:val="(%2)"/>
      <w:numFmt w:val="lowerRoman"/>
      <w:start w:val="1"/>
    </w:lvl>
  </w:abstractNum>
  <w:abstractNum w:abstractNumId="113">
    <w:nsid w:val="78DF6A55"/>
    <w:multiLevelType w:val="hybridMultilevel"/>
    <w:lvl w:ilvl="0">
      <w:lvlJc w:val="left"/>
      <w:lvlText w:val="%1"/>
      <w:numFmt w:val="lowerLetter"/>
      <w:start w:val="1"/>
    </w:lvl>
    <w:lvl w:ilvl="1">
      <w:lvlJc w:val="left"/>
      <w:lvlText w:val="(%2)"/>
      <w:numFmt w:val="lowerRoman"/>
      <w:start w:val="4"/>
    </w:lvl>
  </w:abstractNum>
  <w:abstractNum w:abstractNumId="114">
    <w:nsid w:val="39B7AAA2"/>
    <w:multiLevelType w:val="hybridMultilevel"/>
    <w:lvl w:ilvl="0">
      <w:lvlJc w:val="left"/>
      <w:lvlText w:val="(%1)"/>
      <w:numFmt w:val="lowerLetter"/>
      <w:start w:val="6"/>
    </w:lvl>
    <w:lvl w:ilvl="1">
      <w:lvlJc w:val="left"/>
      <w:lvlText w:val="%2"/>
      <w:numFmt w:val="lowerRoman"/>
      <w:start w:val="1"/>
    </w:lvl>
  </w:abstractNum>
  <w:abstractNum w:abstractNumId="115">
    <w:nsid w:val="2B0D8DBE"/>
    <w:multiLevelType w:val="hybridMultilevel"/>
    <w:lvl w:ilvl="0">
      <w:lvlJc w:val="left"/>
      <w:lvlText w:val="(%1)"/>
      <w:numFmt w:val="lowerLetter"/>
      <w:start w:val="17"/>
    </w:lvl>
  </w:abstractNum>
  <w:abstractNum w:abstractNumId="116">
    <w:nsid w:val="6C80EC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2019-12-20T06:17:14Z</dcterms:created>
  <dcterms:modified xsi:type="dcterms:W3CDTF">2019-12-20T06:17:14Z</dcterms:modified>
</cp:coreProperties>
</file>