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7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ind w:left="2910"/>
        <w:spacing w:after="0"/>
        <w:rPr>
          <w:sz w:val="20"/>
          <w:szCs w:val="20"/>
          <w:color w:val="auto"/>
        </w:rPr>
      </w:pPr>
      <w:r>
        <w:rPr>
          <w:rFonts w:ascii="Courier New" w:cs="Courier New" w:eastAsia="Courier New" w:hAnsi="Courier New"/>
          <w:sz w:val="15"/>
          <w:szCs w:val="15"/>
          <w:color w:val="auto"/>
        </w:rPr>
        <w:t>UNITED STATES</w:t>
      </w:r>
    </w:p>
    <w:p>
      <w:pPr>
        <w:ind w:left="2030"/>
        <w:spacing w:after="0"/>
        <w:rPr>
          <w:sz w:val="20"/>
          <w:szCs w:val="20"/>
          <w:color w:val="auto"/>
        </w:rPr>
      </w:pPr>
      <w:r>
        <w:rPr>
          <w:rFonts w:ascii="Courier New" w:cs="Courier New" w:eastAsia="Courier New" w:hAnsi="Courier New"/>
          <w:sz w:val="15"/>
          <w:szCs w:val="15"/>
          <w:color w:val="auto"/>
        </w:rPr>
        <w:t>SECURITIES AND EXCHANGE COMMISSION</w:t>
      </w:r>
    </w:p>
    <w:p>
      <w:pPr>
        <w:ind w:left="2550"/>
        <w:spacing w:after="0"/>
        <w:rPr>
          <w:sz w:val="20"/>
          <w:szCs w:val="20"/>
          <w:color w:val="auto"/>
        </w:rPr>
      </w:pPr>
      <w:r>
        <w:rPr>
          <w:rFonts w:ascii="Courier New" w:cs="Courier New" w:eastAsia="Courier New" w:hAnsi="Courier New"/>
          <w:sz w:val="15"/>
          <w:szCs w:val="15"/>
          <w:color w:val="auto"/>
        </w:rPr>
        <w:t>WASHINGTON, D. C. 20549</w:t>
      </w:r>
    </w:p>
    <w:p>
      <w:pPr>
        <w:spacing w:after="0" w:line="168" w:lineRule="exact"/>
        <w:rPr>
          <w:sz w:val="24"/>
          <w:szCs w:val="24"/>
          <w:color w:val="auto"/>
        </w:rPr>
      </w:pPr>
    </w:p>
    <w:p>
      <w:pPr>
        <w:ind w:left="283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ind w:left="3170"/>
        <w:spacing w:after="0"/>
        <w:rPr>
          <w:sz w:val="20"/>
          <w:szCs w:val="20"/>
          <w:color w:val="auto"/>
        </w:rPr>
      </w:pPr>
      <w:r>
        <w:rPr>
          <w:rFonts w:ascii="Courier New" w:cs="Courier New" w:eastAsia="Courier New" w:hAnsi="Courier New"/>
          <w:sz w:val="15"/>
          <w:szCs w:val="15"/>
          <w:color w:val="auto"/>
        </w:rPr>
        <w:t>FORM 10-Q</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(Mark One)</w:t>
      </w:r>
    </w:p>
    <w:p>
      <w:pPr>
        <w:spacing w:after="0" w:line="5" w:lineRule="exact"/>
        <w:rPr>
          <w:sz w:val="24"/>
          <w:szCs w:val="24"/>
          <w:color w:val="auto"/>
        </w:rPr>
      </w:pPr>
    </w:p>
    <w:p>
      <w:pPr>
        <w:ind w:left="790" w:right="4939" w:hanging="790"/>
        <w:spacing w:after="0" w:line="235" w:lineRule="auto"/>
        <w:tabs>
          <w:tab w:leader="none" w:pos="79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170" w:lineRule="exact"/>
        <w:rPr>
          <w:rFonts w:ascii="Courier New" w:cs="Courier New" w:eastAsia="Courier New" w:hAnsi="Courier New"/>
          <w:sz w:val="15"/>
          <w:szCs w:val="15"/>
          <w:color w:val="auto"/>
        </w:rPr>
      </w:pP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THE QUARTERLY PERIOD ENDED DECEMBER 27, 2003</w:t>
      </w:r>
    </w:p>
    <w:p>
      <w:pPr>
        <w:spacing w:after="0" w:line="169" w:lineRule="exact"/>
        <w:rPr>
          <w:sz w:val="24"/>
          <w:szCs w:val="24"/>
          <w:color w:val="auto"/>
        </w:rPr>
      </w:pPr>
    </w:p>
    <w:p>
      <w:pPr>
        <w:ind w:left="3430"/>
        <w:spacing w:after="0"/>
        <w:rPr>
          <w:sz w:val="20"/>
          <w:szCs w:val="20"/>
          <w:color w:val="auto"/>
        </w:rPr>
      </w:pPr>
      <w:r>
        <w:rPr>
          <w:rFonts w:ascii="Courier New" w:cs="Courier New" w:eastAsia="Courier New" w:hAnsi="Courier New"/>
          <w:sz w:val="15"/>
          <w:szCs w:val="15"/>
          <w:color w:val="auto"/>
        </w:rPr>
        <w:t>OR</w:t>
      </w:r>
    </w:p>
    <w:p>
      <w:pPr>
        <w:spacing w:after="0" w:line="175" w:lineRule="exact"/>
        <w:rPr>
          <w:sz w:val="24"/>
          <w:szCs w:val="24"/>
          <w:color w:val="auto"/>
        </w:rPr>
      </w:pPr>
    </w:p>
    <w:p>
      <w:pPr>
        <w:ind w:left="790" w:right="4859" w:hanging="790"/>
        <w:spacing w:after="0" w:line="235" w:lineRule="auto"/>
        <w:tabs>
          <w:tab w:leader="none" w:pos="17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w:t>
      </w:r>
    </w:p>
    <w:p>
      <w:pPr>
        <w:spacing w:after="0" w:line="170" w:lineRule="exact"/>
        <w:rPr>
          <w:sz w:val="24"/>
          <w:szCs w:val="24"/>
          <w:color w:val="auto"/>
        </w:rPr>
      </w:pPr>
    </w:p>
    <w:p>
      <w:pPr>
        <w:ind w:left="790"/>
        <w:spacing w:after="0"/>
        <w:rPr>
          <w:sz w:val="20"/>
          <w:szCs w:val="20"/>
          <w:color w:val="auto"/>
        </w:rPr>
      </w:pPr>
      <w:r>
        <w:rPr>
          <w:rFonts w:ascii="Courier New" w:cs="Courier New" w:eastAsia="Courier New" w:hAnsi="Courier New"/>
          <w:sz w:val="15"/>
          <w:szCs w:val="15"/>
          <w:color w:val="auto"/>
        </w:rPr>
        <w:t>FOR THE TRANSITION PERIOD FROM ____________TO____________</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COMMISSION FILE NUMBER 1-13292</w:t>
      </w:r>
    </w:p>
    <w:p>
      <w:pPr>
        <w:spacing w:after="0" w:line="169" w:lineRule="exact"/>
        <w:rPr>
          <w:sz w:val="24"/>
          <w:szCs w:val="24"/>
          <w:color w:val="auto"/>
        </w:rPr>
      </w:pPr>
    </w:p>
    <w:p>
      <w:pPr>
        <w:ind w:left="283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THE SCOTTS COMPANY</w:t>
      </w:r>
    </w:p>
    <w:p>
      <w:pPr>
        <w:jc w:val="center"/>
        <w:ind w:right="317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9"/>
          </w:cols>
          <w:pgMar w:left="230" w:top="401" w:right="1440" w:bottom="1440" w:gutter="0" w:footer="0" w:header="0"/>
        </w:sectPr>
      </w:pPr>
    </w:p>
    <w:p>
      <w:pPr>
        <w:spacing w:after="0" w:line="200" w:lineRule="exact"/>
        <w:rPr>
          <w:sz w:val="24"/>
          <w:szCs w:val="24"/>
          <w:color w:val="auto"/>
        </w:rPr>
      </w:pPr>
    </w:p>
    <w:p>
      <w:pPr>
        <w:spacing w:after="0" w:line="308" w:lineRule="exact"/>
        <w:rPr>
          <w:sz w:val="24"/>
          <w:szCs w:val="24"/>
          <w:color w:val="auto"/>
        </w:rPr>
      </w:pPr>
    </w:p>
    <w:p>
      <w:pPr>
        <w:ind w:left="1490"/>
        <w:spacing w:after="0"/>
        <w:rPr>
          <w:sz w:val="20"/>
          <w:szCs w:val="20"/>
          <w:color w:val="auto"/>
        </w:rPr>
      </w:pPr>
      <w:r>
        <w:rPr>
          <w:rFonts w:ascii="Courier New" w:cs="Courier New" w:eastAsia="Courier New" w:hAnsi="Courier New"/>
          <w:sz w:val="15"/>
          <w:szCs w:val="15"/>
          <w:color w:val="auto"/>
        </w:rPr>
        <w:t>OHIO</w:t>
      </w:r>
    </w:p>
    <w:p>
      <w:pPr>
        <w:spacing w:after="0" w:line="5" w:lineRule="exact"/>
        <w:rPr>
          <w:sz w:val="24"/>
          <w:szCs w:val="24"/>
          <w:color w:val="auto"/>
        </w:rPr>
      </w:pPr>
    </w:p>
    <w:p>
      <w:pPr>
        <w:ind w:left="350"/>
        <w:spacing w:after="0"/>
        <w:rPr>
          <w:sz w:val="20"/>
          <w:szCs w:val="20"/>
          <w:color w:val="auto"/>
        </w:rPr>
      </w:pPr>
      <w:r>
        <w:rPr>
          <w:rFonts w:ascii="Courier New" w:cs="Courier New" w:eastAsia="Courier New" w:hAnsi="Courier New"/>
          <w:sz w:val="14"/>
          <w:szCs w:val="14"/>
          <w:color w:val="auto"/>
        </w:rPr>
        <w:t>(State or Other Jurisdiction of</w:t>
      </w:r>
    </w:p>
    <w:p>
      <w:pPr>
        <w:spacing w:after="0" w:line="5" w:lineRule="exact"/>
        <w:rPr>
          <w:sz w:val="24"/>
          <w:szCs w:val="24"/>
          <w:color w:val="auto"/>
        </w:rPr>
      </w:pPr>
    </w:p>
    <w:p>
      <w:pPr>
        <w:ind w:left="350"/>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8" w:lineRule="exact"/>
        <w:rPr>
          <w:sz w:val="24"/>
          <w:szCs w:val="24"/>
          <w:color w:val="auto"/>
        </w:rPr>
      </w:pPr>
    </w:p>
    <w:p>
      <w:pPr>
        <w:ind w:left="900"/>
        <w:spacing w:after="0"/>
        <w:rPr>
          <w:sz w:val="20"/>
          <w:szCs w:val="20"/>
          <w:color w:val="auto"/>
        </w:rPr>
      </w:pPr>
      <w:r>
        <w:rPr>
          <w:rFonts w:ascii="Courier New" w:cs="Courier New" w:eastAsia="Courier New" w:hAnsi="Courier New"/>
          <w:sz w:val="15"/>
          <w:szCs w:val="15"/>
          <w:color w:val="auto"/>
        </w:rPr>
        <w:t>31-1414921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 Identification No.)</w:t>
      </w:r>
    </w:p>
    <w:p>
      <w:pPr>
        <w:spacing w:after="0" w:line="375" w:lineRule="exact"/>
        <w:rPr>
          <w:sz w:val="24"/>
          <w:szCs w:val="24"/>
          <w:color w:val="auto"/>
        </w:rPr>
      </w:pPr>
    </w:p>
    <w:p>
      <w:pPr>
        <w:sectPr>
          <w:pgSz w:w="11900" w:h="16838" w:orient="portrait"/>
          <w:cols w:equalWidth="0" w:num="2">
            <w:col w:w="3150" w:space="720"/>
            <w:col w:w="6359"/>
          </w:cols>
          <w:pgMar w:left="230" w:top="401" w:right="1440" w:bottom="1440" w:gutter="0" w:footer="0" w:header="0"/>
          <w:type w:val="continuous"/>
        </w:sectPr>
      </w:pPr>
    </w:p>
    <w:p>
      <w:pPr>
        <w:spacing w:after="0" w:line="139" w:lineRule="exact"/>
        <w:rPr>
          <w:sz w:val="24"/>
          <w:szCs w:val="24"/>
          <w:color w:val="auto"/>
        </w:rPr>
      </w:pPr>
    </w:p>
    <w:p>
      <w:pPr>
        <w:jc w:val="center"/>
        <w:ind w:right="3090"/>
        <w:spacing w:after="0"/>
        <w:rPr>
          <w:sz w:val="20"/>
          <w:szCs w:val="20"/>
          <w:color w:val="auto"/>
        </w:rPr>
      </w:pPr>
      <w:r>
        <w:rPr>
          <w:rFonts w:ascii="Courier New" w:cs="Courier New" w:eastAsia="Courier New" w:hAnsi="Courier New"/>
          <w:sz w:val="15"/>
          <w:szCs w:val="15"/>
          <w:color w:val="auto"/>
        </w:rPr>
        <w:t>14111 SCOTTSLAWN ROAD, MARYSVILLE, OHIO 43041</w:t>
      </w:r>
    </w:p>
    <w:p>
      <w:pPr>
        <w:jc w:val="center"/>
        <w:ind w:right="3090"/>
        <w:spacing w:after="0"/>
        <w:rPr>
          <w:sz w:val="20"/>
          <w:szCs w:val="20"/>
          <w:color w:val="auto"/>
        </w:rPr>
      </w:pPr>
      <w:r>
        <w:rPr>
          <w:rFonts w:ascii="Courier New" w:cs="Courier New" w:eastAsia="Courier New" w:hAnsi="Courier New"/>
          <w:sz w:val="15"/>
          <w:szCs w:val="15"/>
          <w:color w:val="auto"/>
        </w:rPr>
        <w:t>(Address of Principal Executive Offices) (Zip Code)</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(937) 644-0011</w:t>
      </w:r>
    </w:p>
    <w:p>
      <w:pPr>
        <w:jc w:val="center"/>
        <w:ind w:right="3170"/>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69" w:lineRule="exact"/>
        <w:rPr>
          <w:sz w:val="24"/>
          <w:szCs w:val="24"/>
          <w:color w:val="auto"/>
        </w:rPr>
      </w:pPr>
    </w:p>
    <w:p>
      <w:pPr>
        <w:jc w:val="center"/>
        <w:ind w:right="3090"/>
        <w:spacing w:after="0"/>
        <w:rPr>
          <w:sz w:val="20"/>
          <w:szCs w:val="20"/>
          <w:color w:val="auto"/>
        </w:rPr>
      </w:pPr>
      <w:r>
        <w:rPr>
          <w:rFonts w:ascii="Courier New" w:cs="Courier New" w:eastAsia="Courier New" w:hAnsi="Courier New"/>
          <w:sz w:val="15"/>
          <w:szCs w:val="15"/>
          <w:color w:val="auto"/>
        </w:rPr>
        <w:t>NO CHANGE</w:t>
      </w:r>
    </w:p>
    <w:p>
      <w:pPr>
        <w:jc w:val="center"/>
        <w:ind w:right="3170"/>
        <w:spacing w:after="0"/>
        <w:rPr>
          <w:sz w:val="20"/>
          <w:szCs w:val="20"/>
          <w:color w:val="auto"/>
        </w:rPr>
      </w:pPr>
      <w:r>
        <w:rPr>
          <w:rFonts w:ascii="Courier New" w:cs="Courier New" w:eastAsia="Courier New" w:hAnsi="Courier New"/>
          <w:sz w:val="15"/>
          <w:szCs w:val="15"/>
          <w:color w:val="auto"/>
        </w:rPr>
        <w:t>(Former Name, Former Address and Former Fiscal Year,</w:t>
      </w:r>
    </w:p>
    <w:p>
      <w:pPr>
        <w:jc w:val="center"/>
        <w:ind w:right="3170"/>
        <w:spacing w:after="0"/>
        <w:rPr>
          <w:sz w:val="20"/>
          <w:szCs w:val="20"/>
          <w:color w:val="auto"/>
        </w:rPr>
      </w:pPr>
      <w:r>
        <w:rPr>
          <w:rFonts w:ascii="Courier New" w:cs="Courier New" w:eastAsia="Courier New" w:hAnsi="Courier New"/>
          <w:sz w:val="15"/>
          <w:szCs w:val="15"/>
          <w:color w:val="auto"/>
        </w:rPr>
        <w:t>if Changed Since Last Report.)</w:t>
      </w:r>
    </w:p>
    <w:p>
      <w:pPr>
        <w:spacing w:after="0" w:line="174" w:lineRule="exact"/>
        <w:rPr>
          <w:sz w:val="24"/>
          <w:szCs w:val="24"/>
          <w:color w:val="auto"/>
        </w:rPr>
      </w:pPr>
    </w:p>
    <w:p>
      <w:pPr>
        <w:ind w:left="10" w:right="3259" w:firstLine="353"/>
        <w:spacing w:after="0" w:line="237"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78" w:lineRule="exact"/>
        <w:rPr>
          <w:sz w:val="24"/>
          <w:szCs w:val="24"/>
          <w:color w:val="auto"/>
        </w:rPr>
      </w:pPr>
    </w:p>
    <w:p>
      <w:pPr>
        <w:ind w:left="10" w:right="3259" w:firstLine="353"/>
        <w:spacing w:after="0" w:line="235" w:lineRule="auto"/>
        <w:rPr>
          <w:sz w:val="20"/>
          <w:szCs w:val="20"/>
          <w:color w:val="auto"/>
        </w:rPr>
      </w:pPr>
      <w:r>
        <w:rPr>
          <w:rFonts w:ascii="Courier New" w:cs="Courier New" w:eastAsia="Courier New" w:hAnsi="Courier New"/>
          <w:sz w:val="15"/>
          <w:szCs w:val="15"/>
          <w:color w:val="auto"/>
        </w:rPr>
        <w:t>Indicate by check mark whether the registrant is an accelerated filer (as defined in Rule 12b-2 of the Exchange Act). Yes [X] No [ ]</w:t>
      </w:r>
    </w:p>
    <w:p>
      <w:pPr>
        <w:spacing w:after="0" w:line="176" w:lineRule="exact"/>
        <w:rPr>
          <w:sz w:val="24"/>
          <w:szCs w:val="24"/>
          <w:color w:val="auto"/>
        </w:rPr>
      </w:pPr>
    </w:p>
    <w:p>
      <w:pPr>
        <w:ind w:left="10" w:right="3179" w:firstLine="353"/>
        <w:spacing w:after="0" w:line="235" w:lineRule="auto"/>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the latest practicable date.</w:t>
      </w:r>
    </w:p>
    <w:p>
      <w:pPr>
        <w:sectPr>
          <w:pgSz w:w="11900" w:h="16838" w:orient="portrait"/>
          <w:cols w:equalWidth="0" w:num="1">
            <w:col w:w="10229"/>
          </w:cols>
          <w:pgMar w:left="230" w:top="401" w:right="1440" w:bottom="1440" w:gutter="0" w:footer="0" w:header="0"/>
          <w:type w:val="continuous"/>
        </w:sectPr>
      </w:pPr>
    </w:p>
    <w:p>
      <w:pPr>
        <w:spacing w:after="0" w:line="170" w:lineRule="exact"/>
        <w:rPr>
          <w:sz w:val="24"/>
          <w:szCs w:val="24"/>
          <w:color w:val="auto"/>
        </w:rPr>
      </w:pPr>
    </w:p>
    <w:p>
      <w:pPr>
        <w:ind w:left="890"/>
        <w:spacing w:after="0"/>
        <w:rPr>
          <w:sz w:val="20"/>
          <w:szCs w:val="20"/>
          <w:color w:val="auto"/>
        </w:rPr>
      </w:pPr>
      <w:r>
        <w:rPr>
          <w:rFonts w:ascii="Courier New" w:cs="Courier New" w:eastAsia="Courier New" w:hAnsi="Courier New"/>
          <w:sz w:val="15"/>
          <w:szCs w:val="15"/>
          <w:color w:val="auto"/>
        </w:rPr>
        <w:t>32,388,081</w:t>
      </w:r>
    </w:p>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Common Shares, voting, no par value</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OUTSTANDING AT FEBRUARY 2, 2004</w:t>
      </w:r>
    </w:p>
    <w:p>
      <w:pPr>
        <w:spacing w:after="0" w:line="349" w:lineRule="exact"/>
        <w:rPr>
          <w:sz w:val="24"/>
          <w:szCs w:val="24"/>
          <w:color w:val="auto"/>
        </w:rPr>
      </w:pPr>
    </w:p>
    <w:p>
      <w:pPr>
        <w:sectPr>
          <w:pgSz w:w="11900" w:h="16838" w:orient="portrait"/>
          <w:cols w:equalWidth="0" w:num="2">
            <w:col w:w="3590" w:space="720"/>
            <w:col w:w="5919"/>
          </w:cols>
          <w:pgMar w:left="230" w:top="401"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29"/>
          </w:cols>
          <w:pgMar w:left="230" w:top="401"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8900" w:type="dxa"/>
            <w:vAlign w:val="bottom"/>
          </w:tcPr>
          <w:p>
            <w:pPr>
              <w:ind w:left="1140"/>
              <w:spacing w:after="0"/>
              <w:rPr>
                <w:sz w:val="20"/>
                <w:szCs w:val="20"/>
                <w:color w:val="auto"/>
              </w:rPr>
            </w:pPr>
            <w:r>
              <w:rPr>
                <w:rFonts w:ascii="Courier New" w:cs="Courier New" w:eastAsia="Courier New" w:hAnsi="Courier New"/>
                <w:sz w:val="15"/>
                <w:szCs w:val="15"/>
                <w:color w:val="auto"/>
              </w:rPr>
              <w:t>THE SCOTTS COMPANY AND SUBSIDIARIES</w:t>
            </w:r>
          </w:p>
        </w:tc>
        <w:tc>
          <w:tcPr>
            <w:tcW w:w="700" w:type="dxa"/>
            <w:vAlign w:val="bottom"/>
          </w:tcPr>
          <w:p>
            <w:pPr>
              <w:spacing w:after="0"/>
              <w:rPr>
                <w:sz w:val="14"/>
                <w:szCs w:val="14"/>
                <w:color w:val="auto"/>
              </w:rPr>
            </w:pPr>
          </w:p>
        </w:tc>
      </w:tr>
      <w:tr>
        <w:trPr>
          <w:trHeight w:val="339"/>
        </w:trPr>
        <w:tc>
          <w:tcPr>
            <w:tcW w:w="880" w:type="dxa"/>
            <w:vAlign w:val="bottom"/>
          </w:tcPr>
          <w:p>
            <w:pPr>
              <w:spacing w:after="0"/>
              <w:rPr>
                <w:sz w:val="24"/>
                <w:szCs w:val="24"/>
                <w:color w:val="auto"/>
              </w:rPr>
            </w:pPr>
          </w:p>
        </w:tc>
        <w:tc>
          <w:tcPr>
            <w:tcW w:w="8900" w:type="dxa"/>
            <w:vAlign w:val="bottom"/>
          </w:tcPr>
          <w:p>
            <w:pPr>
              <w:ind w:left="2460"/>
              <w:spacing w:after="0"/>
              <w:rPr>
                <w:sz w:val="20"/>
                <w:szCs w:val="20"/>
                <w:color w:val="auto"/>
              </w:rPr>
            </w:pPr>
            <w:r>
              <w:rPr>
                <w:rFonts w:ascii="Courier New" w:cs="Courier New" w:eastAsia="Courier New" w:hAnsi="Courier New"/>
                <w:sz w:val="15"/>
                <w:szCs w:val="15"/>
                <w:color w:val="auto"/>
              </w:rPr>
              <w:t>INDEX</w:t>
            </w:r>
          </w:p>
        </w:tc>
        <w:tc>
          <w:tcPr>
            <w:tcW w:w="700" w:type="dxa"/>
            <w:vAlign w:val="bottom"/>
          </w:tcPr>
          <w:p>
            <w:pPr>
              <w:spacing w:after="0"/>
              <w:rPr>
                <w:sz w:val="24"/>
                <w:szCs w:val="24"/>
                <w:color w:val="auto"/>
              </w:rPr>
            </w:pPr>
          </w:p>
        </w:tc>
      </w:tr>
      <w:tr>
        <w:trPr>
          <w:trHeight w:val="678"/>
        </w:trPr>
        <w:tc>
          <w:tcPr>
            <w:tcW w:w="88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PAGE NO.</w:t>
            </w:r>
          </w:p>
        </w:tc>
      </w:tr>
      <w:tr>
        <w:trPr>
          <w:trHeight w:val="170"/>
        </w:trPr>
        <w:tc>
          <w:tcPr>
            <w:tcW w:w="88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r>
      <w:tr>
        <w:trPr>
          <w:trHeight w:val="339"/>
        </w:trPr>
        <w:tc>
          <w:tcPr>
            <w:tcW w:w="9780" w:type="dxa"/>
            <w:vAlign w:val="bottom"/>
            <w:gridSpan w:val="2"/>
          </w:tcPr>
          <w:p>
            <w:pPr>
              <w:spacing w:after="0"/>
              <w:rPr>
                <w:sz w:val="20"/>
                <w:szCs w:val="20"/>
                <w:color w:val="auto"/>
              </w:rPr>
            </w:pPr>
            <w:r>
              <w:rPr>
                <w:rFonts w:ascii="Courier New" w:cs="Courier New" w:eastAsia="Courier New" w:hAnsi="Courier New"/>
                <w:sz w:val="15"/>
                <w:szCs w:val="15"/>
                <w:color w:val="auto"/>
              </w:rPr>
              <w:t>PART I. FINANCIAL INFORMATION:</w:t>
            </w:r>
          </w:p>
        </w:tc>
        <w:tc>
          <w:tcPr>
            <w:tcW w:w="700" w:type="dxa"/>
            <w:vAlign w:val="bottom"/>
          </w:tcPr>
          <w:p>
            <w:pPr>
              <w:spacing w:after="0"/>
              <w:rPr>
                <w:sz w:val="24"/>
                <w:szCs w:val="24"/>
                <w:color w:val="auto"/>
              </w:rPr>
            </w:pP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8900" w:type="dxa"/>
            <w:vAlign w:val="bottom"/>
          </w:tcPr>
          <w:p>
            <w:pPr>
              <w:ind w:left="340"/>
              <w:spacing w:after="0"/>
              <w:rPr>
                <w:sz w:val="20"/>
                <w:szCs w:val="20"/>
                <w:color w:val="auto"/>
              </w:rPr>
            </w:pPr>
            <w:r>
              <w:rPr>
                <w:rFonts w:ascii="Courier New" w:cs="Courier New" w:eastAsia="Courier New" w:hAnsi="Courier New"/>
                <w:sz w:val="15"/>
                <w:szCs w:val="15"/>
                <w:color w:val="auto"/>
              </w:rPr>
              <w:t>Financial Statements</w:t>
            </w:r>
          </w:p>
        </w:tc>
        <w:tc>
          <w:tcPr>
            <w:tcW w:w="700" w:type="dxa"/>
            <w:vAlign w:val="bottom"/>
          </w:tcPr>
          <w:p>
            <w:pPr>
              <w:spacing w:after="0"/>
              <w:rPr>
                <w:sz w:val="14"/>
                <w:szCs w:val="14"/>
                <w:color w:val="auto"/>
              </w:rPr>
            </w:pPr>
          </w:p>
        </w:tc>
      </w:tr>
      <w:tr>
        <w:trPr>
          <w:trHeight w:val="339"/>
        </w:trPr>
        <w:tc>
          <w:tcPr>
            <w:tcW w:w="880" w:type="dxa"/>
            <w:vAlign w:val="bottom"/>
          </w:tcPr>
          <w:p>
            <w:pPr>
              <w:spacing w:after="0"/>
              <w:rPr>
                <w:sz w:val="24"/>
                <w:szCs w:val="24"/>
                <w:color w:val="auto"/>
              </w:rPr>
            </w:pPr>
          </w:p>
        </w:tc>
        <w:tc>
          <w:tcPr>
            <w:tcW w:w="8900" w:type="dxa"/>
            <w:vAlign w:val="bottom"/>
          </w:tcPr>
          <w:p>
            <w:pPr>
              <w:ind w:left="340"/>
              <w:spacing w:after="0"/>
              <w:rPr>
                <w:sz w:val="20"/>
                <w:szCs w:val="20"/>
                <w:color w:val="auto"/>
              </w:rPr>
            </w:pPr>
            <w:r>
              <w:rPr>
                <w:rFonts w:ascii="Courier New" w:cs="Courier New" w:eastAsia="Courier New" w:hAnsi="Courier New"/>
                <w:sz w:val="15"/>
                <w:szCs w:val="15"/>
                <w:color w:val="auto"/>
              </w:rPr>
              <w:t>Condensed, Consolidated Statements of Operations - Three month</w:t>
            </w:r>
          </w:p>
        </w:tc>
        <w:tc>
          <w:tcPr>
            <w:tcW w:w="700" w:type="dxa"/>
            <w:vAlign w:val="bottom"/>
          </w:tcPr>
          <w:p>
            <w:pPr>
              <w:spacing w:after="0"/>
              <w:rPr>
                <w:sz w:val="24"/>
                <w:szCs w:val="24"/>
                <w:color w:val="auto"/>
              </w:rPr>
            </w:pPr>
          </w:p>
        </w:tc>
      </w:tr>
      <w:tr>
        <w:trPr>
          <w:trHeight w:val="170"/>
        </w:trPr>
        <w:tc>
          <w:tcPr>
            <w:tcW w:w="880" w:type="dxa"/>
            <w:vAlign w:val="bottom"/>
          </w:tcPr>
          <w:p>
            <w:pPr>
              <w:spacing w:after="0"/>
              <w:rPr>
                <w:sz w:val="14"/>
                <w:szCs w:val="14"/>
                <w:color w:val="auto"/>
              </w:rPr>
            </w:pPr>
          </w:p>
        </w:tc>
        <w:tc>
          <w:tcPr>
            <w:tcW w:w="8900" w:type="dxa"/>
            <w:vAlign w:val="bottom"/>
          </w:tcPr>
          <w:p>
            <w:pPr>
              <w:ind w:left="340"/>
              <w:spacing w:after="0"/>
              <w:rPr>
                <w:sz w:val="20"/>
                <w:szCs w:val="20"/>
                <w:color w:val="auto"/>
              </w:rPr>
            </w:pPr>
            <w:r>
              <w:rPr>
                <w:rFonts w:ascii="Courier New" w:cs="Courier New" w:eastAsia="Courier New" w:hAnsi="Courier New"/>
                <w:sz w:val="15"/>
                <w:szCs w:val="15"/>
                <w:color w:val="auto"/>
              </w:rPr>
              <w:t>periods ended December 27, 2003 and December 28, 2002........................................</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w:t>
            </w:r>
          </w:p>
        </w:tc>
      </w:tr>
      <w:tr>
        <w:trPr>
          <w:trHeight w:val="339"/>
        </w:trPr>
        <w:tc>
          <w:tcPr>
            <w:tcW w:w="880" w:type="dxa"/>
            <w:vAlign w:val="bottom"/>
          </w:tcPr>
          <w:p>
            <w:pPr>
              <w:spacing w:after="0"/>
              <w:rPr>
                <w:sz w:val="24"/>
                <w:szCs w:val="24"/>
                <w:color w:val="auto"/>
              </w:rPr>
            </w:pPr>
          </w:p>
        </w:tc>
        <w:tc>
          <w:tcPr>
            <w:tcW w:w="8900" w:type="dxa"/>
            <w:vAlign w:val="bottom"/>
          </w:tcPr>
          <w:p>
            <w:pPr>
              <w:ind w:left="340"/>
              <w:spacing w:after="0"/>
              <w:rPr>
                <w:sz w:val="20"/>
                <w:szCs w:val="20"/>
                <w:color w:val="auto"/>
              </w:rPr>
            </w:pPr>
            <w:r>
              <w:rPr>
                <w:rFonts w:ascii="Courier New" w:cs="Courier New" w:eastAsia="Courier New" w:hAnsi="Courier New"/>
                <w:sz w:val="15"/>
                <w:szCs w:val="15"/>
                <w:color w:val="auto"/>
              </w:rPr>
              <w:t>Condensed, Consolidated Statements of Cash Flows - Three month</w:t>
            </w:r>
          </w:p>
        </w:tc>
        <w:tc>
          <w:tcPr>
            <w:tcW w:w="700" w:type="dxa"/>
            <w:vAlign w:val="bottom"/>
          </w:tcPr>
          <w:p>
            <w:pPr>
              <w:spacing w:after="0"/>
              <w:rPr>
                <w:sz w:val="24"/>
                <w:szCs w:val="24"/>
                <w:color w:val="auto"/>
              </w:rPr>
            </w:pPr>
          </w:p>
        </w:tc>
      </w:tr>
      <w:tr>
        <w:trPr>
          <w:trHeight w:val="170"/>
        </w:trPr>
        <w:tc>
          <w:tcPr>
            <w:tcW w:w="880" w:type="dxa"/>
            <w:vAlign w:val="bottom"/>
          </w:tcPr>
          <w:p>
            <w:pPr>
              <w:spacing w:after="0"/>
              <w:rPr>
                <w:sz w:val="14"/>
                <w:szCs w:val="14"/>
                <w:color w:val="auto"/>
              </w:rPr>
            </w:pPr>
          </w:p>
        </w:tc>
        <w:tc>
          <w:tcPr>
            <w:tcW w:w="8900" w:type="dxa"/>
            <w:vAlign w:val="bottom"/>
          </w:tcPr>
          <w:p>
            <w:pPr>
              <w:ind w:left="340"/>
              <w:spacing w:after="0"/>
              <w:rPr>
                <w:sz w:val="20"/>
                <w:szCs w:val="20"/>
                <w:color w:val="auto"/>
              </w:rPr>
            </w:pPr>
            <w:r>
              <w:rPr>
                <w:rFonts w:ascii="Courier New" w:cs="Courier New" w:eastAsia="Courier New" w:hAnsi="Courier New"/>
                <w:sz w:val="15"/>
                <w:szCs w:val="15"/>
                <w:color w:val="auto"/>
              </w:rPr>
              <w:t>periods ended December 27, 2003 and December 28, 2002........................................</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w:t>
            </w:r>
          </w:p>
        </w:tc>
      </w:tr>
      <w:tr>
        <w:trPr>
          <w:trHeight w:val="339"/>
        </w:trPr>
        <w:tc>
          <w:tcPr>
            <w:tcW w:w="880" w:type="dxa"/>
            <w:vAlign w:val="bottom"/>
          </w:tcPr>
          <w:p>
            <w:pPr>
              <w:spacing w:after="0"/>
              <w:rPr>
                <w:sz w:val="24"/>
                <w:szCs w:val="24"/>
                <w:color w:val="auto"/>
              </w:rPr>
            </w:pPr>
          </w:p>
        </w:tc>
        <w:tc>
          <w:tcPr>
            <w:tcW w:w="8900" w:type="dxa"/>
            <w:vAlign w:val="bottom"/>
          </w:tcPr>
          <w:p>
            <w:pPr>
              <w:ind w:left="340"/>
              <w:spacing w:after="0"/>
              <w:rPr>
                <w:sz w:val="20"/>
                <w:szCs w:val="20"/>
                <w:color w:val="auto"/>
              </w:rPr>
            </w:pPr>
            <w:r>
              <w:rPr>
                <w:rFonts w:ascii="Courier New" w:cs="Courier New" w:eastAsia="Courier New" w:hAnsi="Courier New"/>
                <w:sz w:val="15"/>
                <w:szCs w:val="15"/>
                <w:color w:val="auto"/>
              </w:rPr>
              <w:t>Condensed, Consolidated Balance Sheets - December 27, 2003,</w:t>
            </w:r>
          </w:p>
        </w:tc>
        <w:tc>
          <w:tcPr>
            <w:tcW w:w="700" w:type="dxa"/>
            <w:vAlign w:val="bottom"/>
          </w:tcPr>
          <w:p>
            <w:pPr>
              <w:spacing w:after="0"/>
              <w:rPr>
                <w:sz w:val="24"/>
                <w:szCs w:val="24"/>
                <w:color w:val="auto"/>
              </w:rPr>
            </w:pPr>
          </w:p>
        </w:tc>
      </w:tr>
      <w:tr>
        <w:trPr>
          <w:trHeight w:val="170"/>
        </w:trPr>
        <w:tc>
          <w:tcPr>
            <w:tcW w:w="880" w:type="dxa"/>
            <w:vAlign w:val="bottom"/>
          </w:tcPr>
          <w:p>
            <w:pPr>
              <w:spacing w:after="0"/>
              <w:rPr>
                <w:sz w:val="14"/>
                <w:szCs w:val="14"/>
                <w:color w:val="auto"/>
              </w:rPr>
            </w:pPr>
          </w:p>
        </w:tc>
        <w:tc>
          <w:tcPr>
            <w:tcW w:w="8900" w:type="dxa"/>
            <w:vAlign w:val="bottom"/>
          </w:tcPr>
          <w:p>
            <w:pPr>
              <w:ind w:left="340"/>
              <w:spacing w:after="0"/>
              <w:rPr>
                <w:sz w:val="20"/>
                <w:szCs w:val="20"/>
                <w:color w:val="auto"/>
              </w:rPr>
            </w:pPr>
            <w:r>
              <w:rPr>
                <w:rFonts w:ascii="Courier New" w:cs="Courier New" w:eastAsia="Courier New" w:hAnsi="Courier New"/>
                <w:sz w:val="15"/>
                <w:szCs w:val="15"/>
                <w:color w:val="auto"/>
              </w:rPr>
              <w:t>December 28, 2002 and September 30, 2003.....................................................</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w:t>
            </w:r>
          </w:p>
        </w:tc>
      </w:tr>
      <w:tr>
        <w:trPr>
          <w:trHeight w:val="339"/>
        </w:trPr>
        <w:tc>
          <w:tcPr>
            <w:tcW w:w="880" w:type="dxa"/>
            <w:vAlign w:val="bottom"/>
          </w:tcPr>
          <w:p>
            <w:pPr>
              <w:spacing w:after="0"/>
              <w:rPr>
                <w:sz w:val="24"/>
                <w:szCs w:val="24"/>
                <w:color w:val="auto"/>
              </w:rPr>
            </w:pPr>
          </w:p>
        </w:tc>
        <w:tc>
          <w:tcPr>
            <w:tcW w:w="8900" w:type="dxa"/>
            <w:vAlign w:val="bottom"/>
          </w:tcPr>
          <w:p>
            <w:pPr>
              <w:ind w:left="340"/>
              <w:spacing w:after="0"/>
              <w:rPr>
                <w:sz w:val="20"/>
                <w:szCs w:val="20"/>
                <w:color w:val="auto"/>
              </w:rPr>
            </w:pPr>
            <w:r>
              <w:rPr>
                <w:rFonts w:ascii="Courier New" w:cs="Courier New" w:eastAsia="Courier New" w:hAnsi="Courier New"/>
                <w:sz w:val="15"/>
                <w:szCs w:val="15"/>
                <w:color w:val="auto"/>
              </w:rPr>
              <w:t>Notes to Condensed, Consolidated Financial Statements........................................</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w:t>
            </w:r>
          </w:p>
        </w:tc>
      </w:tr>
      <w:tr>
        <w:trPr>
          <w:trHeight w:val="339"/>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8900" w:type="dxa"/>
            <w:vAlign w:val="bottom"/>
          </w:tcPr>
          <w:p>
            <w:pPr>
              <w:ind w:left="340"/>
              <w:spacing w:after="0"/>
              <w:rPr>
                <w:sz w:val="20"/>
                <w:szCs w:val="20"/>
                <w:color w:val="auto"/>
              </w:rPr>
            </w:pPr>
            <w:r>
              <w:rPr>
                <w:rFonts w:ascii="Courier New" w:cs="Courier New" w:eastAsia="Courier New" w:hAnsi="Courier New"/>
                <w:sz w:val="15"/>
                <w:szCs w:val="15"/>
                <w:color w:val="auto"/>
                <w:w w:val="97"/>
              </w:rPr>
              <w:t>Management's Discussion and Analysis of Financial Condition and Results of Operations............</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w:t>
            </w:r>
          </w:p>
        </w:tc>
      </w:tr>
      <w:tr>
        <w:trPr>
          <w:trHeight w:val="339"/>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8900" w:type="dxa"/>
            <w:vAlign w:val="bottom"/>
          </w:tcPr>
          <w:p>
            <w:pPr>
              <w:ind w:left="340"/>
              <w:spacing w:after="0"/>
              <w:rPr>
                <w:sz w:val="20"/>
                <w:szCs w:val="20"/>
                <w:color w:val="auto"/>
              </w:rPr>
            </w:pPr>
            <w:r>
              <w:rPr>
                <w:rFonts w:ascii="Courier New" w:cs="Courier New" w:eastAsia="Courier New" w:hAnsi="Courier New"/>
                <w:sz w:val="15"/>
                <w:szCs w:val="15"/>
                <w:color w:val="auto"/>
                <w:w w:val="97"/>
              </w:rPr>
              <w:t>Controls and Procedures..........................................................................</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w:t>
            </w:r>
          </w:p>
        </w:tc>
      </w:tr>
      <w:tr>
        <w:trPr>
          <w:trHeight w:val="339"/>
        </w:trPr>
        <w:tc>
          <w:tcPr>
            <w:tcW w:w="9780" w:type="dxa"/>
            <w:vAlign w:val="bottom"/>
            <w:gridSpan w:val="2"/>
          </w:tcPr>
          <w:p>
            <w:pPr>
              <w:spacing w:after="0"/>
              <w:rPr>
                <w:sz w:val="20"/>
                <w:szCs w:val="20"/>
                <w:color w:val="auto"/>
              </w:rPr>
            </w:pPr>
            <w:r>
              <w:rPr>
                <w:rFonts w:ascii="Courier New" w:cs="Courier New" w:eastAsia="Courier New" w:hAnsi="Courier New"/>
                <w:sz w:val="15"/>
                <w:szCs w:val="15"/>
                <w:color w:val="auto"/>
              </w:rPr>
              <w:t>PART II. OTHER INFORMATION</w:t>
            </w:r>
          </w:p>
        </w:tc>
        <w:tc>
          <w:tcPr>
            <w:tcW w:w="700" w:type="dxa"/>
            <w:vAlign w:val="bottom"/>
          </w:tcPr>
          <w:p>
            <w:pPr>
              <w:spacing w:after="0"/>
              <w:rPr>
                <w:sz w:val="24"/>
                <w:szCs w:val="24"/>
                <w:color w:val="auto"/>
              </w:rPr>
            </w:pPr>
          </w:p>
        </w:tc>
      </w:tr>
      <w:tr>
        <w:trPr>
          <w:trHeight w:val="339"/>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8900" w:type="dxa"/>
            <w:vAlign w:val="bottom"/>
          </w:tcPr>
          <w:p>
            <w:pPr>
              <w:ind w:left="340"/>
              <w:spacing w:after="0"/>
              <w:rPr>
                <w:sz w:val="20"/>
                <w:szCs w:val="20"/>
                <w:color w:val="auto"/>
              </w:rPr>
            </w:pPr>
            <w:r>
              <w:rPr>
                <w:rFonts w:ascii="Courier New" w:cs="Courier New" w:eastAsia="Courier New" w:hAnsi="Courier New"/>
                <w:sz w:val="15"/>
                <w:szCs w:val="15"/>
                <w:color w:val="auto"/>
                <w:w w:val="97"/>
              </w:rPr>
              <w:t>Legal Proceedings................................................................................</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w:t>
            </w:r>
          </w:p>
        </w:tc>
      </w:tr>
      <w:tr>
        <w:trPr>
          <w:trHeight w:val="339"/>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8900" w:type="dxa"/>
            <w:vAlign w:val="bottom"/>
          </w:tcPr>
          <w:p>
            <w:pPr>
              <w:ind w:left="340"/>
              <w:spacing w:after="0"/>
              <w:rPr>
                <w:sz w:val="20"/>
                <w:szCs w:val="20"/>
                <w:color w:val="auto"/>
              </w:rPr>
            </w:pPr>
            <w:r>
              <w:rPr>
                <w:rFonts w:ascii="Courier New" w:cs="Courier New" w:eastAsia="Courier New" w:hAnsi="Courier New"/>
                <w:sz w:val="15"/>
                <w:szCs w:val="15"/>
                <w:color w:val="auto"/>
                <w:w w:val="97"/>
              </w:rPr>
              <w:t>Submission of Matters to a Vote of Security Holders..............................................</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w:t>
            </w:r>
          </w:p>
        </w:tc>
      </w:tr>
      <w:tr>
        <w:trPr>
          <w:trHeight w:val="339"/>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8900" w:type="dxa"/>
            <w:vAlign w:val="bottom"/>
          </w:tcPr>
          <w:p>
            <w:pPr>
              <w:ind w:left="340"/>
              <w:spacing w:after="0"/>
              <w:rPr>
                <w:sz w:val="20"/>
                <w:szCs w:val="20"/>
                <w:color w:val="auto"/>
              </w:rPr>
            </w:pPr>
            <w:r>
              <w:rPr>
                <w:rFonts w:ascii="Courier New" w:cs="Courier New" w:eastAsia="Courier New" w:hAnsi="Courier New"/>
                <w:sz w:val="15"/>
                <w:szCs w:val="15"/>
                <w:color w:val="auto"/>
                <w:w w:val="97"/>
              </w:rPr>
              <w:t>Exhibits and Reports on Form 8-K.................................................................</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w:t>
            </w:r>
          </w:p>
        </w:tc>
      </w:tr>
      <w:tr>
        <w:trPr>
          <w:trHeight w:val="339"/>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Signatures</w:t>
            </w:r>
          </w:p>
        </w:tc>
        <w:tc>
          <w:tcPr>
            <w:tcW w:w="8900" w:type="dxa"/>
            <w:vAlign w:val="bottom"/>
          </w:tcPr>
          <w:p>
            <w:pPr>
              <w:spacing w:after="0"/>
              <w:rPr>
                <w:sz w:val="20"/>
                <w:szCs w:val="20"/>
                <w:color w:val="auto"/>
              </w:rPr>
            </w:pPr>
            <w:r>
              <w:rPr>
                <w:rFonts w:ascii="Courier New" w:cs="Courier New" w:eastAsia="Courier New" w:hAnsi="Courier New"/>
                <w:sz w:val="15"/>
                <w:szCs w:val="15"/>
                <w:color w:val="auto"/>
                <w:w w:val="97"/>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w:t>
            </w:r>
          </w:p>
        </w:tc>
      </w:tr>
      <w:tr>
        <w:trPr>
          <w:trHeight w:val="339"/>
        </w:trPr>
        <w:tc>
          <w:tcPr>
            <w:tcW w:w="9780" w:type="dxa"/>
            <w:vAlign w:val="bottom"/>
            <w:gridSpan w:val="2"/>
          </w:tcPr>
          <w:p>
            <w:pPr>
              <w:spacing w:after="0"/>
              <w:rPr>
                <w:sz w:val="20"/>
                <w:szCs w:val="20"/>
                <w:color w:val="auto"/>
              </w:rPr>
            </w:pPr>
            <w:r>
              <w:rPr>
                <w:rFonts w:ascii="Courier New" w:cs="Courier New" w:eastAsia="Courier New" w:hAnsi="Courier New"/>
                <w:sz w:val="15"/>
                <w:szCs w:val="15"/>
                <w:color w:val="auto"/>
                <w:w w:val="97"/>
              </w:rPr>
              <w:t>Index to Exhibits..............................................................................................</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w:t>
            </w:r>
          </w:p>
        </w:tc>
      </w:tr>
      <w:tr>
        <w:trPr>
          <w:trHeight w:val="678"/>
        </w:trPr>
        <w:tc>
          <w:tcPr>
            <w:tcW w:w="880" w:type="dxa"/>
            <w:vAlign w:val="bottom"/>
          </w:tcPr>
          <w:p>
            <w:pPr>
              <w:spacing w:after="0"/>
              <w:rPr>
                <w:sz w:val="24"/>
                <w:szCs w:val="24"/>
                <w:color w:val="auto"/>
              </w:rPr>
            </w:pPr>
          </w:p>
        </w:tc>
        <w:tc>
          <w:tcPr>
            <w:tcW w:w="8900" w:type="dxa"/>
            <w:vAlign w:val="bottom"/>
          </w:tcPr>
          <w:p>
            <w:pPr>
              <w:ind w:left="2540"/>
              <w:spacing w:after="0"/>
              <w:rPr>
                <w:sz w:val="20"/>
                <w:szCs w:val="20"/>
                <w:color w:val="auto"/>
              </w:rPr>
            </w:pPr>
            <w:r>
              <w:rPr>
                <w:rFonts w:ascii="Courier New" w:cs="Courier New" w:eastAsia="Courier New" w:hAnsi="Courier New"/>
                <w:sz w:val="15"/>
                <w:szCs w:val="15"/>
                <w:color w:val="auto"/>
              </w:rPr>
              <w:t>2</w:t>
            </w:r>
          </w:p>
        </w:tc>
        <w:tc>
          <w:tcPr>
            <w:tcW w:w="700" w:type="dxa"/>
            <w:vAlign w:val="bottom"/>
          </w:tcPr>
          <w:p>
            <w:pPr>
              <w:spacing w:after="0"/>
              <w:rPr>
                <w:sz w:val="24"/>
                <w:szCs w:val="24"/>
                <w:color w:val="auto"/>
              </w:rPr>
            </w:pPr>
          </w:p>
        </w:tc>
      </w:tr>
    </w:tbl>
    <w:p>
      <w:pPr>
        <w:sectPr>
          <w:pgSz w:w="11900" w:h="16838" w:orient="portrait"/>
          <w:cols w:equalWidth="0" w:num="1">
            <w:col w:w="10480"/>
          </w:cols>
          <w:pgMar w:left="240" w:top="452" w:right="1179" w:bottom="1440" w:gutter="0" w:footer="0" w:header="0"/>
        </w:sectPr>
      </w:pPr>
    </w:p>
    <w:bookmarkStart w:id="2" w:name="page3"/>
    <w:bookmarkEnd w:id="2"/>
    <w:p>
      <w:pPr>
        <w:ind w:left="2200"/>
        <w:spacing w:after="0"/>
        <w:rPr>
          <w:sz w:val="20"/>
          <w:szCs w:val="20"/>
          <w:color w:val="auto"/>
        </w:rPr>
      </w:pPr>
      <w:r>
        <w:rPr>
          <w:rFonts w:ascii="Courier New" w:cs="Courier New" w:eastAsia="Courier New" w:hAnsi="Courier New"/>
          <w:sz w:val="15"/>
          <w:szCs w:val="15"/>
          <w:color w:val="auto"/>
        </w:rPr>
        <w:t>PART I - FINANCIAL INFORMATION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FINANCIAL STATEMENTS</w:t>
      </w:r>
    </w:p>
    <w:p>
      <w:pPr>
        <w:spacing w:after="0" w:line="169" w:lineRule="exact"/>
        <w:rPr>
          <w:sz w:val="20"/>
          <w:szCs w:val="20"/>
          <w:color w:val="auto"/>
        </w:rPr>
      </w:pPr>
    </w:p>
    <w:p>
      <w:pPr>
        <w:jc w:val="center"/>
        <w:ind w:right="3620"/>
        <w:spacing w:after="0"/>
        <w:rPr>
          <w:sz w:val="20"/>
          <w:szCs w:val="20"/>
          <w:color w:val="auto"/>
        </w:rPr>
      </w:pPr>
      <w:r>
        <w:rPr>
          <w:rFonts w:ascii="Courier New" w:cs="Courier New" w:eastAsia="Courier New" w:hAnsi="Courier New"/>
          <w:sz w:val="15"/>
          <w:szCs w:val="15"/>
          <w:color w:val="auto"/>
        </w:rPr>
        <w:t>THE SCOTTS COMPANY</w:t>
      </w:r>
    </w:p>
    <w:p>
      <w:pPr>
        <w:jc w:val="center"/>
        <w:ind w:right="3620"/>
        <w:spacing w:after="0"/>
        <w:rPr>
          <w:sz w:val="20"/>
          <w:szCs w:val="20"/>
          <w:color w:val="auto"/>
        </w:rPr>
      </w:pPr>
      <w:r>
        <w:rPr>
          <w:rFonts w:ascii="Courier New" w:cs="Courier New" w:eastAsia="Courier New" w:hAnsi="Courier New"/>
          <w:sz w:val="15"/>
          <w:szCs w:val="15"/>
          <w:color w:val="auto"/>
        </w:rPr>
        <w:t>CONDENSED, CONSOLIDATED STATEMENTS OF OPERATIONS</w:t>
      </w:r>
    </w:p>
    <w:p>
      <w:pPr>
        <w:jc w:val="center"/>
        <w:ind w:right="3520"/>
        <w:spacing w:after="0"/>
        <w:rPr>
          <w:sz w:val="20"/>
          <w:szCs w:val="20"/>
          <w:color w:val="auto"/>
        </w:rPr>
      </w:pPr>
      <w:r>
        <w:rPr>
          <w:rFonts w:ascii="Courier New" w:cs="Courier New" w:eastAsia="Courier New" w:hAnsi="Courier New"/>
          <w:sz w:val="15"/>
          <w:szCs w:val="15"/>
          <w:color w:val="auto"/>
        </w:rPr>
        <w:t>(UNAUDITED)</w:t>
      </w:r>
    </w:p>
    <w:tbl>
      <w:tblPr>
        <w:tblLayout w:type="fixed"/>
        <w:tblInd w:w="880" w:type="dxa"/>
        <w:tblCellMar>
          <w:top w:w="0" w:type="dxa"/>
          <w:left w:w="0" w:type="dxa"/>
          <w:bottom w:w="0" w:type="dxa"/>
          <w:right w:w="0" w:type="dxa"/>
        </w:tblCellMar>
      </w:tblPr>
      <w:tr>
        <w:trPr>
          <w:trHeight w:val="169"/>
        </w:trPr>
        <w:tc>
          <w:tcPr>
            <w:tcW w:w="6960" w:type="dxa"/>
            <w:vAlign w:val="bottom"/>
          </w:tcPr>
          <w:p>
            <w:pPr>
              <w:jc w:val="right"/>
              <w:ind w:right="2567"/>
              <w:spacing w:after="0" w:line="169" w:lineRule="exact"/>
              <w:rPr>
                <w:sz w:val="20"/>
                <w:szCs w:val="20"/>
                <w:color w:val="auto"/>
              </w:rPr>
            </w:pPr>
            <w:r>
              <w:rPr>
                <w:rFonts w:ascii="Courier New" w:cs="Courier New" w:eastAsia="Courier New" w:hAnsi="Courier New"/>
                <w:sz w:val="15"/>
                <w:szCs w:val="15"/>
                <w:color w:val="auto"/>
              </w:rPr>
              <w:t>(IN MILLIONS EXCEPT PER SHARE AMOUNTS)</w:t>
            </w: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848"/>
        </w:trPr>
        <w:tc>
          <w:tcPr>
            <w:tcW w:w="6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0" w:type="dxa"/>
            <w:vAlign w:val="bottom"/>
            <w:gridSpan w:val="3"/>
          </w:tcPr>
          <w:p>
            <w:pPr>
              <w:jc w:val="right"/>
              <w:ind w:right="467"/>
              <w:spacing w:after="0"/>
              <w:rPr>
                <w:sz w:val="20"/>
                <w:szCs w:val="20"/>
                <w:color w:val="auto"/>
              </w:rPr>
            </w:pPr>
            <w:r>
              <w:rPr>
                <w:rFonts w:ascii="Courier New" w:cs="Courier New" w:eastAsia="Courier New" w:hAnsi="Courier New"/>
                <w:sz w:val="15"/>
                <w:szCs w:val="15"/>
                <w:color w:val="auto"/>
              </w:rPr>
              <w:t>THREE MONTHS ENDED</w:t>
            </w:r>
          </w:p>
        </w:tc>
      </w:tr>
      <w:tr>
        <w:trPr>
          <w:trHeight w:val="170"/>
        </w:trPr>
        <w:tc>
          <w:tcPr>
            <w:tcW w:w="6960" w:type="dxa"/>
            <w:vAlign w:val="bottom"/>
          </w:tcPr>
          <w:p>
            <w:pPr>
              <w:spacing w:after="0"/>
              <w:rPr>
                <w:sz w:val="14"/>
                <w:szCs w:val="14"/>
                <w:color w:val="auto"/>
              </w:rPr>
            </w:pPr>
          </w:p>
        </w:tc>
        <w:tc>
          <w:tcPr>
            <w:tcW w:w="15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DECEMBER 27,</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28,</w:t>
            </w:r>
          </w:p>
        </w:tc>
      </w:tr>
      <w:tr>
        <w:trPr>
          <w:trHeight w:val="170"/>
        </w:trPr>
        <w:tc>
          <w:tcPr>
            <w:tcW w:w="6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88"/>
              </w:rPr>
              <w:t>2003</w:t>
            </w:r>
          </w:p>
        </w:tc>
        <w:tc>
          <w:tcPr>
            <w:tcW w:w="520" w:type="dxa"/>
            <w:vAlign w:val="bottom"/>
          </w:tcPr>
          <w:p>
            <w:pPr>
              <w:spacing w:after="0"/>
              <w:rPr>
                <w:sz w:val="14"/>
                <w:szCs w:val="14"/>
                <w:color w:val="auto"/>
              </w:rPr>
            </w:pPr>
          </w:p>
        </w:tc>
        <w:tc>
          <w:tcPr>
            <w:tcW w:w="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2002</w:t>
            </w:r>
          </w:p>
        </w:tc>
      </w:tr>
      <w:tr>
        <w:trPr>
          <w:trHeight w:val="170"/>
        </w:trPr>
        <w:tc>
          <w:tcPr>
            <w:tcW w:w="6960" w:type="dxa"/>
            <w:vAlign w:val="bottom"/>
          </w:tcPr>
          <w:p>
            <w:pPr>
              <w:spacing w:after="0"/>
              <w:rPr>
                <w:sz w:val="14"/>
                <w:szCs w:val="14"/>
                <w:color w:val="auto"/>
              </w:rPr>
            </w:pPr>
          </w:p>
        </w:tc>
        <w:tc>
          <w:tcPr>
            <w:tcW w:w="2820" w:type="dxa"/>
            <w:vAlign w:val="bottom"/>
            <w:gridSpan w:val="4"/>
          </w:tcPr>
          <w:p>
            <w:pPr>
              <w:jc w:val="right"/>
              <w:ind w:right="287"/>
              <w:spacing w:after="0"/>
              <w:rPr>
                <w:sz w:val="20"/>
                <w:szCs w:val="20"/>
                <w:color w:val="auto"/>
              </w:rPr>
            </w:pPr>
            <w:r>
              <w:rPr>
                <w:rFonts w:ascii="Courier New" w:cs="Courier New" w:eastAsia="Courier New" w:hAnsi="Courier New"/>
                <w:sz w:val="15"/>
                <w:szCs w:val="15"/>
                <w:color w:val="auto"/>
              </w:rPr>
              <w:t>---------------- ----------</w:t>
            </w:r>
          </w:p>
        </w:tc>
      </w:tr>
      <w:tr>
        <w:trPr>
          <w:trHeight w:val="339"/>
        </w:trPr>
        <w:tc>
          <w:tcPr>
            <w:tcW w:w="6960" w:type="dxa"/>
            <w:vAlign w:val="bottom"/>
          </w:tcPr>
          <w:p>
            <w:pPr>
              <w:spacing w:after="0"/>
              <w:rPr>
                <w:sz w:val="20"/>
                <w:szCs w:val="20"/>
                <w:color w:val="auto"/>
              </w:rPr>
            </w:pPr>
            <w:r>
              <w:rPr>
                <w:rFonts w:ascii="Courier New" w:cs="Courier New" w:eastAsia="Courier New" w:hAnsi="Courier New"/>
                <w:sz w:val="15"/>
                <w:szCs w:val="15"/>
                <w:color w:val="auto"/>
                <w:w w:val="98"/>
              </w:rPr>
              <w:t>Net sales.....................................................................</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186.2</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180.8</w:t>
            </w:r>
          </w:p>
        </w:tc>
      </w:tr>
      <w:tr>
        <w:trPr>
          <w:trHeight w:val="170"/>
        </w:trPr>
        <w:tc>
          <w:tcPr>
            <w:tcW w:w="6960" w:type="dxa"/>
            <w:vAlign w:val="bottom"/>
          </w:tcPr>
          <w:p>
            <w:pPr>
              <w:spacing w:after="0"/>
              <w:rPr>
                <w:sz w:val="20"/>
                <w:szCs w:val="20"/>
                <w:color w:val="auto"/>
              </w:rPr>
            </w:pPr>
            <w:r>
              <w:rPr>
                <w:rFonts w:ascii="Courier New" w:cs="Courier New" w:eastAsia="Courier New" w:hAnsi="Courier New"/>
                <w:sz w:val="15"/>
                <w:szCs w:val="15"/>
                <w:color w:val="auto"/>
                <w:w w:val="98"/>
              </w:rPr>
              <w:t>Cost of sales.................................................................</w:t>
            </w:r>
          </w:p>
        </w:tc>
        <w:tc>
          <w:tcPr>
            <w:tcW w:w="62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136.4</w:t>
            </w:r>
          </w:p>
        </w:tc>
        <w:tc>
          <w:tcPr>
            <w:tcW w:w="520" w:type="dxa"/>
            <w:vAlign w:val="bottom"/>
          </w:tcPr>
          <w:p>
            <w:pPr>
              <w:spacing w:after="0"/>
              <w:rPr>
                <w:sz w:val="14"/>
                <w:szCs w:val="14"/>
                <w:color w:val="auto"/>
              </w:rPr>
            </w:pP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139.1</w:t>
            </w:r>
          </w:p>
        </w:tc>
      </w:tr>
      <w:tr>
        <w:trPr>
          <w:trHeight w:val="170"/>
        </w:trPr>
        <w:tc>
          <w:tcPr>
            <w:tcW w:w="6960" w:type="dxa"/>
            <w:vAlign w:val="bottom"/>
          </w:tcPr>
          <w:p>
            <w:pPr>
              <w:spacing w:after="0"/>
              <w:rPr>
                <w:sz w:val="20"/>
                <w:szCs w:val="20"/>
                <w:color w:val="auto"/>
              </w:rPr>
            </w:pPr>
            <w:r>
              <w:rPr>
                <w:rFonts w:ascii="Courier New" w:cs="Courier New" w:eastAsia="Courier New" w:hAnsi="Courier New"/>
                <w:sz w:val="15"/>
                <w:szCs w:val="15"/>
                <w:color w:val="auto"/>
                <w:w w:val="98"/>
              </w:rPr>
              <w:t>Restructuring and other charges...............................................</w:t>
            </w:r>
          </w:p>
        </w:tc>
        <w:tc>
          <w:tcPr>
            <w:tcW w:w="62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0.5</w:t>
            </w:r>
          </w:p>
        </w:tc>
        <w:tc>
          <w:tcPr>
            <w:tcW w:w="520" w:type="dxa"/>
            <w:vAlign w:val="bottom"/>
          </w:tcPr>
          <w:p>
            <w:pPr>
              <w:spacing w:after="0"/>
              <w:rPr>
                <w:sz w:val="14"/>
                <w:szCs w:val="14"/>
                <w:color w:val="auto"/>
              </w:rPr>
            </w:pP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w:t>
            </w:r>
          </w:p>
        </w:tc>
      </w:tr>
      <w:tr>
        <w:trPr>
          <w:trHeight w:val="170"/>
        </w:trPr>
        <w:tc>
          <w:tcPr>
            <w:tcW w:w="6960" w:type="dxa"/>
            <w:vAlign w:val="bottom"/>
          </w:tcPr>
          <w:p>
            <w:pPr>
              <w:spacing w:after="0"/>
              <w:rPr>
                <w:sz w:val="14"/>
                <w:szCs w:val="14"/>
                <w:color w:val="auto"/>
              </w:rPr>
            </w:pPr>
          </w:p>
        </w:tc>
        <w:tc>
          <w:tcPr>
            <w:tcW w:w="15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6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Gross profit............................................................</w:t>
            </w:r>
          </w:p>
        </w:tc>
        <w:tc>
          <w:tcPr>
            <w:tcW w:w="62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49.3</w:t>
            </w:r>
          </w:p>
        </w:tc>
        <w:tc>
          <w:tcPr>
            <w:tcW w:w="520" w:type="dxa"/>
            <w:vAlign w:val="bottom"/>
          </w:tcPr>
          <w:p>
            <w:pPr>
              <w:spacing w:after="0"/>
              <w:rPr>
                <w:sz w:val="14"/>
                <w:szCs w:val="14"/>
                <w:color w:val="auto"/>
              </w:rPr>
            </w:pP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37.2</w:t>
            </w:r>
          </w:p>
        </w:tc>
      </w:tr>
      <w:tr>
        <w:trPr>
          <w:trHeight w:val="170"/>
        </w:trPr>
        <w:tc>
          <w:tcPr>
            <w:tcW w:w="69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Gross commission earned from marketing agreement..............................</w:t>
            </w: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69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Costs associated with marketing agreement.....................................</w:t>
            </w:r>
          </w:p>
        </w:tc>
        <w:tc>
          <w:tcPr>
            <w:tcW w:w="62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7.1</w:t>
            </w:r>
          </w:p>
        </w:tc>
        <w:tc>
          <w:tcPr>
            <w:tcW w:w="520" w:type="dxa"/>
            <w:vAlign w:val="bottom"/>
          </w:tcPr>
          <w:p>
            <w:pPr>
              <w:spacing w:after="0"/>
              <w:rPr>
                <w:sz w:val="14"/>
                <w:szCs w:val="14"/>
                <w:color w:val="auto"/>
              </w:rPr>
            </w:pP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w:t>
            </w:r>
          </w:p>
        </w:tc>
      </w:tr>
      <w:tr>
        <w:trPr>
          <w:trHeight w:val="170"/>
        </w:trPr>
        <w:tc>
          <w:tcPr>
            <w:tcW w:w="6960" w:type="dxa"/>
            <w:vAlign w:val="bottom"/>
          </w:tcPr>
          <w:p>
            <w:pPr>
              <w:spacing w:after="0"/>
              <w:rPr>
                <w:sz w:val="14"/>
                <w:szCs w:val="14"/>
                <w:color w:val="auto"/>
              </w:rPr>
            </w:pPr>
          </w:p>
        </w:tc>
        <w:tc>
          <w:tcPr>
            <w:tcW w:w="15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69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Net expense from marketing agreement..........................................</w:t>
            </w:r>
          </w:p>
        </w:tc>
        <w:tc>
          <w:tcPr>
            <w:tcW w:w="620" w:type="dxa"/>
            <w:vAlign w:val="bottom"/>
          </w:tcPr>
          <w:p>
            <w:pPr>
              <w:spacing w:after="0"/>
              <w:rPr>
                <w:sz w:val="14"/>
                <w:szCs w:val="1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(7.1)</w:t>
            </w:r>
          </w:p>
        </w:tc>
        <w:tc>
          <w:tcPr>
            <w:tcW w:w="5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(7.1)</w:t>
            </w:r>
          </w:p>
        </w:tc>
      </w:tr>
      <w:tr>
        <w:trPr>
          <w:trHeight w:val="170"/>
        </w:trPr>
        <w:tc>
          <w:tcPr>
            <w:tcW w:w="69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6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Advertising................................................................</w:t>
            </w:r>
          </w:p>
        </w:tc>
        <w:tc>
          <w:tcPr>
            <w:tcW w:w="62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8.3</w:t>
            </w:r>
          </w:p>
        </w:tc>
        <w:tc>
          <w:tcPr>
            <w:tcW w:w="520" w:type="dxa"/>
            <w:vAlign w:val="bottom"/>
          </w:tcPr>
          <w:p>
            <w:pPr>
              <w:spacing w:after="0"/>
              <w:rPr>
                <w:sz w:val="14"/>
                <w:szCs w:val="14"/>
                <w:color w:val="auto"/>
              </w:rPr>
            </w:pP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8.6</w:t>
            </w:r>
          </w:p>
        </w:tc>
      </w:tr>
      <w:tr>
        <w:trPr>
          <w:trHeight w:val="170"/>
        </w:trPr>
        <w:tc>
          <w:tcPr>
            <w:tcW w:w="6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Selling, general and administrative........................................</w:t>
            </w:r>
          </w:p>
        </w:tc>
        <w:tc>
          <w:tcPr>
            <w:tcW w:w="62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78.1</w:t>
            </w:r>
          </w:p>
        </w:tc>
        <w:tc>
          <w:tcPr>
            <w:tcW w:w="520" w:type="dxa"/>
            <w:vAlign w:val="bottom"/>
          </w:tcPr>
          <w:p>
            <w:pPr>
              <w:spacing w:after="0"/>
              <w:rPr>
                <w:sz w:val="14"/>
                <w:szCs w:val="14"/>
                <w:color w:val="auto"/>
              </w:rPr>
            </w:pP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67.4</w:t>
            </w:r>
          </w:p>
        </w:tc>
      </w:tr>
      <w:tr>
        <w:trPr>
          <w:trHeight w:val="170"/>
        </w:trPr>
        <w:tc>
          <w:tcPr>
            <w:tcW w:w="6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Selling, general and administrative - lawn service business................</w:t>
            </w:r>
          </w:p>
        </w:tc>
        <w:tc>
          <w:tcPr>
            <w:tcW w:w="62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12.4</w:t>
            </w:r>
          </w:p>
        </w:tc>
        <w:tc>
          <w:tcPr>
            <w:tcW w:w="520" w:type="dxa"/>
            <w:vAlign w:val="bottom"/>
          </w:tcPr>
          <w:p>
            <w:pPr>
              <w:spacing w:after="0"/>
              <w:rPr>
                <w:sz w:val="14"/>
                <w:szCs w:val="14"/>
                <w:color w:val="auto"/>
              </w:rPr>
            </w:pP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6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Stock-based compensation...................................................</w:t>
            </w:r>
          </w:p>
        </w:tc>
        <w:tc>
          <w:tcPr>
            <w:tcW w:w="62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w:t>
            </w:r>
          </w:p>
        </w:tc>
        <w:tc>
          <w:tcPr>
            <w:tcW w:w="520" w:type="dxa"/>
            <w:vAlign w:val="bottom"/>
          </w:tcPr>
          <w:p>
            <w:pPr>
              <w:spacing w:after="0"/>
              <w:rPr>
                <w:sz w:val="14"/>
                <w:szCs w:val="14"/>
                <w:color w:val="auto"/>
              </w:rPr>
            </w:pP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0.4</w:t>
            </w:r>
          </w:p>
        </w:tc>
      </w:tr>
      <w:tr>
        <w:trPr>
          <w:trHeight w:val="170"/>
        </w:trPr>
        <w:tc>
          <w:tcPr>
            <w:tcW w:w="6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Restructuring and other charges............................................</w:t>
            </w:r>
          </w:p>
        </w:tc>
        <w:tc>
          <w:tcPr>
            <w:tcW w:w="62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0.5</w:t>
            </w:r>
          </w:p>
        </w:tc>
        <w:tc>
          <w:tcPr>
            <w:tcW w:w="520" w:type="dxa"/>
            <w:vAlign w:val="bottom"/>
          </w:tcPr>
          <w:p>
            <w:pPr>
              <w:spacing w:after="0"/>
              <w:rPr>
                <w:sz w:val="14"/>
                <w:szCs w:val="14"/>
                <w:color w:val="auto"/>
              </w:rPr>
            </w:pP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w:t>
            </w:r>
          </w:p>
        </w:tc>
      </w:tr>
      <w:tr>
        <w:trPr>
          <w:trHeight w:val="170"/>
        </w:trPr>
        <w:tc>
          <w:tcPr>
            <w:tcW w:w="6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Amortization of intangibles................................................</w:t>
            </w:r>
          </w:p>
        </w:tc>
        <w:tc>
          <w:tcPr>
            <w:tcW w:w="62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2.4</w:t>
            </w:r>
          </w:p>
        </w:tc>
        <w:tc>
          <w:tcPr>
            <w:tcW w:w="520" w:type="dxa"/>
            <w:vAlign w:val="bottom"/>
          </w:tcPr>
          <w:p>
            <w:pPr>
              <w:spacing w:after="0"/>
              <w:rPr>
                <w:sz w:val="14"/>
                <w:szCs w:val="14"/>
                <w:color w:val="auto"/>
              </w:rPr>
            </w:pP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w:t>
            </w:r>
          </w:p>
        </w:tc>
      </w:tr>
      <w:tr>
        <w:trPr>
          <w:trHeight w:val="170"/>
        </w:trPr>
        <w:tc>
          <w:tcPr>
            <w:tcW w:w="6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Other income, net..........................................................</w:t>
            </w:r>
          </w:p>
        </w:tc>
        <w:tc>
          <w:tcPr>
            <w:tcW w:w="620" w:type="dxa"/>
            <w:vAlign w:val="bottom"/>
          </w:tcPr>
          <w:p>
            <w:pPr>
              <w:spacing w:after="0"/>
              <w:rPr>
                <w:sz w:val="14"/>
                <w:szCs w:val="1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w:t>
            </w:r>
          </w:p>
        </w:tc>
        <w:tc>
          <w:tcPr>
            <w:tcW w:w="5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w:t>
            </w:r>
          </w:p>
        </w:tc>
      </w:tr>
      <w:tr>
        <w:trPr>
          <w:trHeight w:val="170"/>
        </w:trPr>
        <w:tc>
          <w:tcPr>
            <w:tcW w:w="6960" w:type="dxa"/>
            <w:vAlign w:val="bottom"/>
          </w:tcPr>
          <w:p>
            <w:pPr>
              <w:spacing w:after="0"/>
              <w:rPr>
                <w:sz w:val="14"/>
                <w:szCs w:val="14"/>
                <w:color w:val="auto"/>
              </w:rPr>
            </w:pPr>
          </w:p>
        </w:tc>
        <w:tc>
          <w:tcPr>
            <w:tcW w:w="15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6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Loss from operations....................................................</w:t>
            </w:r>
          </w:p>
        </w:tc>
        <w:tc>
          <w:tcPr>
            <w:tcW w:w="620" w:type="dxa"/>
            <w:vAlign w:val="bottom"/>
          </w:tcPr>
          <w:p>
            <w:pPr>
              <w:spacing w:after="0"/>
              <w:rPr>
                <w:sz w:val="14"/>
                <w:szCs w:val="1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(59.0)</w:t>
            </w:r>
          </w:p>
        </w:tc>
        <w:tc>
          <w:tcPr>
            <w:tcW w:w="5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(58.9)</w:t>
            </w:r>
          </w:p>
        </w:tc>
      </w:tr>
      <w:tr>
        <w:trPr>
          <w:trHeight w:val="170"/>
        </w:trPr>
        <w:tc>
          <w:tcPr>
            <w:tcW w:w="69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Interest expense..............................................................</w:t>
            </w:r>
          </w:p>
        </w:tc>
        <w:tc>
          <w:tcPr>
            <w:tcW w:w="62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11.9</w:t>
            </w:r>
          </w:p>
        </w:tc>
        <w:tc>
          <w:tcPr>
            <w:tcW w:w="520" w:type="dxa"/>
            <w:vAlign w:val="bottom"/>
          </w:tcPr>
          <w:p>
            <w:pPr>
              <w:spacing w:after="0"/>
              <w:rPr>
                <w:sz w:val="14"/>
                <w:szCs w:val="14"/>
                <w:color w:val="auto"/>
              </w:rPr>
            </w:pP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16.5</w:t>
            </w:r>
          </w:p>
        </w:tc>
      </w:tr>
      <w:tr>
        <w:trPr>
          <w:trHeight w:val="170"/>
        </w:trPr>
        <w:tc>
          <w:tcPr>
            <w:tcW w:w="69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Costs related to refinancing .................................................</w:t>
            </w:r>
          </w:p>
        </w:tc>
        <w:tc>
          <w:tcPr>
            <w:tcW w:w="62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43.7</w:t>
            </w: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6960" w:type="dxa"/>
            <w:vAlign w:val="bottom"/>
          </w:tcPr>
          <w:p>
            <w:pPr>
              <w:spacing w:after="0"/>
              <w:rPr>
                <w:sz w:val="14"/>
                <w:szCs w:val="14"/>
                <w:color w:val="auto"/>
              </w:rPr>
            </w:pPr>
          </w:p>
        </w:tc>
        <w:tc>
          <w:tcPr>
            <w:tcW w:w="15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6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Loss before income taxes................................................</w:t>
            </w:r>
          </w:p>
        </w:tc>
        <w:tc>
          <w:tcPr>
            <w:tcW w:w="620" w:type="dxa"/>
            <w:vAlign w:val="bottom"/>
          </w:tcPr>
          <w:p>
            <w:pPr>
              <w:spacing w:after="0"/>
              <w:rPr>
                <w:sz w:val="14"/>
                <w:szCs w:val="1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1"/>
              </w:rPr>
              <w:t>(114.6)</w:t>
            </w:r>
          </w:p>
        </w:tc>
        <w:tc>
          <w:tcPr>
            <w:tcW w:w="5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(75.4)</w:t>
            </w:r>
          </w:p>
        </w:tc>
      </w:tr>
      <w:tr>
        <w:trPr>
          <w:trHeight w:val="170"/>
        </w:trPr>
        <w:tc>
          <w:tcPr>
            <w:tcW w:w="69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Income taxes (benefit) .......................................................</w:t>
            </w:r>
          </w:p>
        </w:tc>
        <w:tc>
          <w:tcPr>
            <w:tcW w:w="620" w:type="dxa"/>
            <w:vAlign w:val="bottom"/>
          </w:tcPr>
          <w:p>
            <w:pPr>
              <w:spacing w:after="0"/>
              <w:rPr>
                <w:sz w:val="14"/>
                <w:szCs w:val="1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(43.9)</w:t>
            </w:r>
          </w:p>
        </w:tc>
        <w:tc>
          <w:tcPr>
            <w:tcW w:w="5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(28.6)</w:t>
            </w:r>
          </w:p>
        </w:tc>
      </w:tr>
      <w:tr>
        <w:trPr>
          <w:trHeight w:val="170"/>
        </w:trPr>
        <w:tc>
          <w:tcPr>
            <w:tcW w:w="6960" w:type="dxa"/>
            <w:vAlign w:val="bottom"/>
          </w:tcPr>
          <w:p>
            <w:pPr>
              <w:spacing w:after="0"/>
              <w:rPr>
                <w:sz w:val="14"/>
                <w:szCs w:val="14"/>
                <w:color w:val="auto"/>
              </w:rPr>
            </w:pPr>
          </w:p>
        </w:tc>
        <w:tc>
          <w:tcPr>
            <w:tcW w:w="15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6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Net loss................................................................</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(70.7)</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(46.8)</w:t>
            </w:r>
          </w:p>
        </w:tc>
      </w:tr>
      <w:tr>
        <w:trPr>
          <w:trHeight w:val="170"/>
        </w:trPr>
        <w:tc>
          <w:tcPr>
            <w:tcW w:w="6960" w:type="dxa"/>
            <w:vAlign w:val="bottom"/>
          </w:tcPr>
          <w:p>
            <w:pPr>
              <w:spacing w:after="0"/>
              <w:rPr>
                <w:sz w:val="14"/>
                <w:szCs w:val="14"/>
                <w:color w:val="auto"/>
              </w:rPr>
            </w:pPr>
          </w:p>
        </w:tc>
        <w:tc>
          <w:tcPr>
            <w:tcW w:w="15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6960" w:type="dxa"/>
            <w:vAlign w:val="bottom"/>
          </w:tcPr>
          <w:p>
            <w:pPr>
              <w:spacing w:after="0"/>
              <w:rPr>
                <w:sz w:val="20"/>
                <w:szCs w:val="20"/>
                <w:color w:val="auto"/>
              </w:rPr>
            </w:pPr>
            <w:r>
              <w:rPr>
                <w:rFonts w:ascii="Courier New" w:cs="Courier New" w:eastAsia="Courier New" w:hAnsi="Courier New"/>
                <w:sz w:val="15"/>
                <w:szCs w:val="15"/>
                <w:color w:val="auto"/>
              </w:rPr>
              <w:t>BASIC LOSS PER COMMON SHARE:</w:t>
            </w: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69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Weighted-average common shares outstanding during the period..................</w:t>
            </w:r>
          </w:p>
        </w:tc>
        <w:tc>
          <w:tcPr>
            <w:tcW w:w="62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32.0</w:t>
            </w:r>
          </w:p>
        </w:tc>
        <w:tc>
          <w:tcPr>
            <w:tcW w:w="520" w:type="dxa"/>
            <w:vAlign w:val="bottom"/>
          </w:tcPr>
          <w:p>
            <w:pPr>
              <w:spacing w:after="0"/>
              <w:rPr>
                <w:sz w:val="14"/>
                <w:szCs w:val="14"/>
                <w:color w:val="auto"/>
              </w:rPr>
            </w:pP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30.2</w:t>
            </w:r>
          </w:p>
        </w:tc>
      </w:tr>
      <w:tr>
        <w:trPr>
          <w:trHeight w:val="170"/>
        </w:trPr>
        <w:tc>
          <w:tcPr>
            <w:tcW w:w="69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Basic loss per common share...................................................</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(2.21)</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(1.55)</w:t>
            </w:r>
          </w:p>
        </w:tc>
      </w:tr>
      <w:tr>
        <w:trPr>
          <w:trHeight w:val="170"/>
        </w:trPr>
        <w:tc>
          <w:tcPr>
            <w:tcW w:w="6960" w:type="dxa"/>
            <w:vAlign w:val="bottom"/>
          </w:tcPr>
          <w:p>
            <w:pPr>
              <w:spacing w:after="0"/>
              <w:rPr>
                <w:sz w:val="20"/>
                <w:szCs w:val="20"/>
                <w:color w:val="auto"/>
              </w:rPr>
            </w:pPr>
            <w:r>
              <w:rPr>
                <w:rFonts w:ascii="Courier New" w:cs="Courier New" w:eastAsia="Courier New" w:hAnsi="Courier New"/>
                <w:sz w:val="15"/>
                <w:szCs w:val="15"/>
                <w:color w:val="auto"/>
              </w:rPr>
              <w:t>DILUTED LOSS PER COMMON SHARE:</w:t>
            </w: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69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Weighted-average common shares outstanding during the period..................</w:t>
            </w:r>
          </w:p>
        </w:tc>
        <w:tc>
          <w:tcPr>
            <w:tcW w:w="62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32.0</w:t>
            </w:r>
          </w:p>
        </w:tc>
        <w:tc>
          <w:tcPr>
            <w:tcW w:w="520" w:type="dxa"/>
            <w:vAlign w:val="bottom"/>
          </w:tcPr>
          <w:p>
            <w:pPr>
              <w:spacing w:after="0"/>
              <w:rPr>
                <w:sz w:val="14"/>
                <w:szCs w:val="14"/>
                <w:color w:val="auto"/>
              </w:rPr>
            </w:pP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30.2</w:t>
            </w:r>
          </w:p>
        </w:tc>
      </w:tr>
      <w:tr>
        <w:trPr>
          <w:trHeight w:val="170"/>
        </w:trPr>
        <w:tc>
          <w:tcPr>
            <w:tcW w:w="69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Diluted loss per common share.................................................</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(2.21)</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(1.55)</w:t>
            </w:r>
          </w:p>
        </w:tc>
      </w:tr>
    </w:tbl>
    <w:p>
      <w:pPr>
        <w:spacing w:after="0" w:line="339" w:lineRule="exact"/>
        <w:rPr>
          <w:sz w:val="20"/>
          <w:szCs w:val="20"/>
          <w:color w:val="auto"/>
        </w:rPr>
      </w:pPr>
    </w:p>
    <w:p>
      <w:pPr>
        <w:jc w:val="center"/>
        <w:ind w:right="3700"/>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660"/>
          </w:cols>
          <w:pgMar w:left="240" w:top="961" w:right="999" w:bottom="1440" w:gutter="0" w:footer="0" w:header="0"/>
        </w:sectPr>
      </w:pPr>
    </w:p>
    <w:bookmarkStart w:id="3" w:name="page4"/>
    <w:bookmarkEnd w:id="3"/>
    <w:p>
      <w:pPr>
        <w:jc w:val="center"/>
        <w:ind w:right="4220"/>
        <w:spacing w:after="0"/>
        <w:rPr>
          <w:sz w:val="20"/>
          <w:szCs w:val="20"/>
          <w:color w:val="auto"/>
        </w:rPr>
      </w:pPr>
      <w:r>
        <w:rPr>
          <w:rFonts w:ascii="Courier New" w:cs="Courier New" w:eastAsia="Courier New" w:hAnsi="Courier New"/>
          <w:sz w:val="15"/>
          <w:szCs w:val="15"/>
          <w:color w:val="auto"/>
        </w:rPr>
        <w:t>THE SCOTTS COMPANY</w:t>
      </w:r>
    </w:p>
    <w:p>
      <w:pPr>
        <w:jc w:val="center"/>
        <w:ind w:right="4220"/>
        <w:spacing w:after="0"/>
        <w:rPr>
          <w:sz w:val="20"/>
          <w:szCs w:val="20"/>
          <w:color w:val="auto"/>
        </w:rPr>
      </w:pPr>
      <w:r>
        <w:rPr>
          <w:rFonts w:ascii="Courier New" w:cs="Courier New" w:eastAsia="Courier New" w:hAnsi="Courier New"/>
          <w:sz w:val="15"/>
          <w:szCs w:val="15"/>
          <w:color w:val="auto"/>
        </w:rPr>
        <w:t>CONDENSED, CONSOLIDATED STATEMENTS OF CASH FLOWS</w:t>
      </w:r>
    </w:p>
    <w:p>
      <w:pPr>
        <w:jc w:val="center"/>
        <w:ind w:right="4140"/>
        <w:spacing w:after="0"/>
        <w:rPr>
          <w:sz w:val="20"/>
          <w:szCs w:val="20"/>
          <w:color w:val="auto"/>
        </w:rPr>
      </w:pPr>
      <w:r>
        <w:rPr>
          <w:rFonts w:ascii="Courier New" w:cs="Courier New" w:eastAsia="Courier New" w:hAnsi="Courier New"/>
          <w:sz w:val="15"/>
          <w:szCs w:val="15"/>
          <w:color w:val="auto"/>
        </w:rPr>
        <w:t>(UNAUDITED)</w:t>
      </w:r>
    </w:p>
    <w:p>
      <w:pPr>
        <w:ind w:left="2020"/>
        <w:spacing w:after="0" w:line="238" w:lineRule="auto"/>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6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6"/>
              </w:rPr>
              <w:t>THREE MONTHS</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ENDED</w:t>
            </w:r>
          </w:p>
        </w:tc>
      </w:tr>
      <w:tr>
        <w:trPr>
          <w:trHeight w:val="170"/>
        </w:trPr>
        <w:tc>
          <w:tcPr>
            <w:tcW w:w="6360" w:type="dxa"/>
            <w:vAlign w:val="bottom"/>
          </w:tcPr>
          <w:p>
            <w:pPr>
              <w:spacing w:after="0"/>
              <w:rPr>
                <w:sz w:val="14"/>
                <w:szCs w:val="14"/>
                <w:color w:val="auto"/>
              </w:rPr>
            </w:pPr>
          </w:p>
        </w:tc>
        <w:tc>
          <w:tcPr>
            <w:tcW w:w="16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DECEMBER 27,</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DECEMBER 28,</w:t>
            </w:r>
          </w:p>
        </w:tc>
      </w:tr>
      <w:tr>
        <w:trPr>
          <w:trHeight w:val="170"/>
        </w:trPr>
        <w:tc>
          <w:tcPr>
            <w:tcW w:w="6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2003</w:t>
            </w:r>
          </w:p>
        </w:tc>
        <w:tc>
          <w:tcPr>
            <w:tcW w:w="300" w:type="dxa"/>
            <w:vAlign w:val="bottom"/>
          </w:tcPr>
          <w:p>
            <w:pPr>
              <w:spacing w:after="0"/>
              <w:rPr>
                <w:sz w:val="14"/>
                <w:szCs w:val="14"/>
                <w:color w:val="auto"/>
              </w:rPr>
            </w:pPr>
          </w:p>
        </w:tc>
        <w:tc>
          <w:tcPr>
            <w:tcW w:w="8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2002</w:t>
            </w:r>
          </w:p>
        </w:tc>
      </w:tr>
      <w:tr>
        <w:trPr>
          <w:trHeight w:val="170"/>
        </w:trPr>
        <w:tc>
          <w:tcPr>
            <w:tcW w:w="6360" w:type="dxa"/>
            <w:vAlign w:val="bottom"/>
          </w:tcPr>
          <w:p>
            <w:pPr>
              <w:spacing w:after="0"/>
              <w:rPr>
                <w:sz w:val="14"/>
                <w:szCs w:val="14"/>
                <w:color w:val="auto"/>
              </w:rPr>
            </w:pPr>
          </w:p>
        </w:tc>
        <w:tc>
          <w:tcPr>
            <w:tcW w:w="16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63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63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52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(70.7)</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(46.8)</w:t>
            </w:r>
          </w:p>
        </w:tc>
      </w:tr>
      <w:tr>
        <w:trPr>
          <w:trHeight w:val="170"/>
        </w:trPr>
        <w:tc>
          <w:tcPr>
            <w:tcW w:w="636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loss to net cash used in</w:t>
            </w: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360" w:type="dxa"/>
            <w:vAlign w:val="bottom"/>
          </w:tcPr>
          <w:p>
            <w:pPr>
              <w:ind w:left="260"/>
              <w:spacing w:after="0"/>
              <w:rPr>
                <w:sz w:val="20"/>
                <w:szCs w:val="20"/>
                <w:color w:val="auto"/>
              </w:rPr>
            </w:pPr>
            <w:r>
              <w:rPr>
                <w:rFonts w:ascii="Courier New" w:cs="Courier New" w:eastAsia="Courier New" w:hAnsi="Courier New"/>
                <w:sz w:val="15"/>
                <w:szCs w:val="15"/>
                <w:color w:val="auto"/>
              </w:rPr>
              <w:t>operating activities:</w:t>
            </w: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Write-off of deferred costs on retired debt.......................</w:t>
            </w:r>
          </w:p>
        </w:tc>
        <w:tc>
          <w:tcPr>
            <w:tcW w:w="52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19.4</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Stock-based compensation expense..................................</w:t>
            </w:r>
          </w:p>
        </w:tc>
        <w:tc>
          <w:tcPr>
            <w:tcW w:w="52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1.3</w:t>
            </w:r>
          </w:p>
        </w:tc>
        <w:tc>
          <w:tcPr>
            <w:tcW w:w="3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0.4</w:t>
            </w:r>
          </w:p>
        </w:tc>
      </w:tr>
      <w:tr>
        <w:trPr>
          <w:trHeight w:val="170"/>
        </w:trPr>
        <w:tc>
          <w:tcPr>
            <w:tcW w:w="6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Depreciation......................................................</w:t>
            </w:r>
          </w:p>
        </w:tc>
        <w:tc>
          <w:tcPr>
            <w:tcW w:w="52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10.2</w:t>
            </w:r>
          </w:p>
        </w:tc>
        <w:tc>
          <w:tcPr>
            <w:tcW w:w="3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8.8</w:t>
            </w:r>
          </w:p>
        </w:tc>
      </w:tr>
      <w:tr>
        <w:trPr>
          <w:trHeight w:val="170"/>
        </w:trPr>
        <w:tc>
          <w:tcPr>
            <w:tcW w:w="6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Amortization......................................................</w:t>
            </w:r>
          </w:p>
        </w:tc>
        <w:tc>
          <w:tcPr>
            <w:tcW w:w="52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3.2</w:t>
            </w:r>
          </w:p>
        </w:tc>
        <w:tc>
          <w:tcPr>
            <w:tcW w:w="3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w:t>
            </w:r>
          </w:p>
        </w:tc>
      </w:tr>
      <w:tr>
        <w:trPr>
          <w:trHeight w:val="170"/>
        </w:trPr>
        <w:tc>
          <w:tcPr>
            <w:tcW w:w="6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Deferred taxes....................................................</w:t>
            </w:r>
          </w:p>
        </w:tc>
        <w:tc>
          <w:tcPr>
            <w:tcW w:w="52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1.8</w:t>
            </w:r>
          </w:p>
        </w:tc>
        <w:tc>
          <w:tcPr>
            <w:tcW w:w="3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w:t>
            </w:r>
          </w:p>
        </w:tc>
      </w:tr>
      <w:tr>
        <w:trPr>
          <w:trHeight w:val="170"/>
        </w:trPr>
        <w:tc>
          <w:tcPr>
            <w:tcW w:w="6360" w:type="dxa"/>
            <w:vAlign w:val="bottom"/>
          </w:tcPr>
          <w:p>
            <w:pPr>
              <w:ind w:left="260"/>
              <w:spacing w:after="0"/>
              <w:rPr>
                <w:sz w:val="20"/>
                <w:szCs w:val="20"/>
                <w:color w:val="auto"/>
              </w:rPr>
            </w:pPr>
            <w:r>
              <w:rPr>
                <w:rFonts w:ascii="Courier New" w:cs="Courier New" w:eastAsia="Courier New" w:hAnsi="Courier New"/>
                <w:sz w:val="15"/>
                <w:szCs w:val="15"/>
                <w:color w:val="auto"/>
              </w:rPr>
              <w:t>Changes in assets and liabilities, net of acquired businesses:</w:t>
            </w: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Accounts receivable............................................</w:t>
            </w:r>
          </w:p>
        </w:tc>
        <w:tc>
          <w:tcPr>
            <w:tcW w:w="52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61.4</w:t>
            </w:r>
          </w:p>
        </w:tc>
        <w:tc>
          <w:tcPr>
            <w:tcW w:w="3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43.0</w:t>
            </w:r>
          </w:p>
        </w:tc>
      </w:tr>
      <w:tr>
        <w:trPr>
          <w:trHeight w:val="170"/>
        </w:trPr>
        <w:tc>
          <w:tcPr>
            <w:tcW w:w="6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Inventories....................................................</w:t>
            </w:r>
          </w:p>
        </w:tc>
        <w:tc>
          <w:tcPr>
            <w:tcW w:w="5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(166.3)</w:t>
            </w:r>
          </w:p>
        </w:tc>
        <w:tc>
          <w:tcPr>
            <w:tcW w:w="30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(147.9)</w:t>
            </w:r>
          </w:p>
        </w:tc>
      </w:tr>
      <w:tr>
        <w:trPr>
          <w:trHeight w:val="170"/>
        </w:trPr>
        <w:tc>
          <w:tcPr>
            <w:tcW w:w="6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Prepaid and other current assets...............................</w:t>
            </w:r>
          </w:p>
        </w:tc>
        <w:tc>
          <w:tcPr>
            <w:tcW w:w="52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w:t>
            </w:r>
          </w:p>
        </w:tc>
        <w:tc>
          <w:tcPr>
            <w:tcW w:w="30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(0.2)</w:t>
            </w:r>
          </w:p>
        </w:tc>
      </w:tr>
      <w:tr>
        <w:trPr>
          <w:trHeight w:val="170"/>
        </w:trPr>
        <w:tc>
          <w:tcPr>
            <w:tcW w:w="6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Accounts payable...............................................</w:t>
            </w:r>
          </w:p>
        </w:tc>
        <w:tc>
          <w:tcPr>
            <w:tcW w:w="52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32.4</w:t>
            </w:r>
          </w:p>
        </w:tc>
        <w:tc>
          <w:tcPr>
            <w:tcW w:w="3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52.3</w:t>
            </w:r>
          </w:p>
        </w:tc>
      </w:tr>
      <w:tr>
        <w:trPr>
          <w:trHeight w:val="170"/>
        </w:trPr>
        <w:tc>
          <w:tcPr>
            <w:tcW w:w="6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Accrued taxes and liabilities..................................</w:t>
            </w:r>
          </w:p>
        </w:tc>
        <w:tc>
          <w:tcPr>
            <w:tcW w:w="5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(83.2)</w:t>
            </w:r>
          </w:p>
        </w:tc>
        <w:tc>
          <w:tcPr>
            <w:tcW w:w="30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(38.5)</w:t>
            </w:r>
          </w:p>
        </w:tc>
      </w:tr>
      <w:tr>
        <w:trPr>
          <w:trHeight w:val="170"/>
        </w:trPr>
        <w:tc>
          <w:tcPr>
            <w:tcW w:w="6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Restructuring reserves.........................................</w:t>
            </w:r>
          </w:p>
        </w:tc>
        <w:tc>
          <w:tcPr>
            <w:tcW w:w="5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w:t>
            </w:r>
          </w:p>
        </w:tc>
        <w:tc>
          <w:tcPr>
            <w:tcW w:w="30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w:t>
            </w:r>
          </w:p>
        </w:tc>
      </w:tr>
      <w:tr>
        <w:trPr>
          <w:trHeight w:val="170"/>
        </w:trPr>
        <w:tc>
          <w:tcPr>
            <w:tcW w:w="6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Other assets...................................................</w:t>
            </w:r>
          </w:p>
        </w:tc>
        <w:tc>
          <w:tcPr>
            <w:tcW w:w="5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(0.5)</w:t>
            </w:r>
          </w:p>
        </w:tc>
        <w:tc>
          <w:tcPr>
            <w:tcW w:w="3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w:t>
            </w:r>
          </w:p>
        </w:tc>
      </w:tr>
      <w:tr>
        <w:trPr>
          <w:trHeight w:val="170"/>
        </w:trPr>
        <w:tc>
          <w:tcPr>
            <w:tcW w:w="6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Other liabilities..............................................</w:t>
            </w:r>
          </w:p>
        </w:tc>
        <w:tc>
          <w:tcPr>
            <w:tcW w:w="52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3.5</w:t>
            </w:r>
          </w:p>
        </w:tc>
        <w:tc>
          <w:tcPr>
            <w:tcW w:w="3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w:t>
            </w:r>
          </w:p>
        </w:tc>
      </w:tr>
      <w:tr>
        <w:trPr>
          <w:trHeight w:val="170"/>
        </w:trPr>
        <w:tc>
          <w:tcPr>
            <w:tcW w:w="6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Other, net........................................................</w:t>
            </w:r>
          </w:p>
        </w:tc>
        <w:tc>
          <w:tcPr>
            <w:tcW w:w="5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(16.9)</w:t>
            </w:r>
          </w:p>
        </w:tc>
        <w:tc>
          <w:tcPr>
            <w:tcW w:w="30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w:t>
            </w:r>
          </w:p>
        </w:tc>
      </w:tr>
      <w:tr>
        <w:trPr>
          <w:trHeight w:val="170"/>
        </w:trPr>
        <w:tc>
          <w:tcPr>
            <w:tcW w:w="6360" w:type="dxa"/>
            <w:vAlign w:val="bottom"/>
          </w:tcPr>
          <w:p>
            <w:pPr>
              <w:spacing w:after="0"/>
              <w:rPr>
                <w:sz w:val="14"/>
                <w:szCs w:val="14"/>
                <w:color w:val="auto"/>
              </w:rPr>
            </w:pPr>
          </w:p>
        </w:tc>
        <w:tc>
          <w:tcPr>
            <w:tcW w:w="16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6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Net cash used in operating activities..........................</w:t>
            </w:r>
          </w:p>
        </w:tc>
        <w:tc>
          <w:tcPr>
            <w:tcW w:w="5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(205.2)</w:t>
            </w:r>
          </w:p>
        </w:tc>
        <w:tc>
          <w:tcPr>
            <w:tcW w:w="30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(126.2)</w:t>
            </w:r>
          </w:p>
        </w:tc>
      </w:tr>
      <w:tr>
        <w:trPr>
          <w:trHeight w:val="170"/>
        </w:trPr>
        <w:tc>
          <w:tcPr>
            <w:tcW w:w="6360" w:type="dxa"/>
            <w:vAlign w:val="bottom"/>
          </w:tcPr>
          <w:p>
            <w:pPr>
              <w:spacing w:after="0"/>
              <w:rPr>
                <w:sz w:val="14"/>
                <w:szCs w:val="14"/>
                <w:color w:val="auto"/>
              </w:rPr>
            </w:pPr>
          </w:p>
        </w:tc>
        <w:tc>
          <w:tcPr>
            <w:tcW w:w="16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63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Investment in property, plant and equipment.......................</w:t>
            </w:r>
          </w:p>
        </w:tc>
        <w:tc>
          <w:tcPr>
            <w:tcW w:w="5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(4.0)</w:t>
            </w:r>
          </w:p>
        </w:tc>
        <w:tc>
          <w:tcPr>
            <w:tcW w:w="30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(18.6)</w:t>
            </w:r>
          </w:p>
        </w:tc>
      </w:tr>
      <w:tr>
        <w:trPr>
          <w:trHeight w:val="170"/>
        </w:trPr>
        <w:tc>
          <w:tcPr>
            <w:tcW w:w="6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Investment in acquired businesses, net of cash acquired...........</w:t>
            </w:r>
          </w:p>
        </w:tc>
        <w:tc>
          <w:tcPr>
            <w:tcW w:w="5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(0.6)</w:t>
            </w:r>
          </w:p>
        </w:tc>
        <w:tc>
          <w:tcPr>
            <w:tcW w:w="30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w:t>
            </w:r>
          </w:p>
        </w:tc>
      </w:tr>
      <w:tr>
        <w:trPr>
          <w:trHeight w:val="170"/>
        </w:trPr>
        <w:tc>
          <w:tcPr>
            <w:tcW w:w="6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Payments on seller notes..........................................</w:t>
            </w:r>
          </w:p>
        </w:tc>
        <w:tc>
          <w:tcPr>
            <w:tcW w:w="5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w:t>
            </w:r>
          </w:p>
        </w:tc>
        <w:tc>
          <w:tcPr>
            <w:tcW w:w="30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(12.1)</w:t>
            </w:r>
          </w:p>
        </w:tc>
      </w:tr>
      <w:tr>
        <w:trPr>
          <w:trHeight w:val="170"/>
        </w:trPr>
        <w:tc>
          <w:tcPr>
            <w:tcW w:w="6360" w:type="dxa"/>
            <w:vAlign w:val="bottom"/>
          </w:tcPr>
          <w:p>
            <w:pPr>
              <w:spacing w:after="0"/>
              <w:rPr>
                <w:sz w:val="14"/>
                <w:szCs w:val="14"/>
                <w:color w:val="auto"/>
              </w:rPr>
            </w:pPr>
          </w:p>
        </w:tc>
        <w:tc>
          <w:tcPr>
            <w:tcW w:w="16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6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Net cash used in investing activities..........................</w:t>
            </w:r>
          </w:p>
        </w:tc>
        <w:tc>
          <w:tcPr>
            <w:tcW w:w="5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(6.5)</w:t>
            </w:r>
          </w:p>
        </w:tc>
        <w:tc>
          <w:tcPr>
            <w:tcW w:w="30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(32.1)</w:t>
            </w:r>
          </w:p>
        </w:tc>
      </w:tr>
      <w:tr>
        <w:trPr>
          <w:trHeight w:val="170"/>
        </w:trPr>
        <w:tc>
          <w:tcPr>
            <w:tcW w:w="6360" w:type="dxa"/>
            <w:vAlign w:val="bottom"/>
          </w:tcPr>
          <w:p>
            <w:pPr>
              <w:spacing w:after="0"/>
              <w:rPr>
                <w:sz w:val="14"/>
                <w:szCs w:val="14"/>
                <w:color w:val="auto"/>
              </w:rPr>
            </w:pPr>
          </w:p>
        </w:tc>
        <w:tc>
          <w:tcPr>
            <w:tcW w:w="16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63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Net borrowings under revolving and bank lines of credit...........</w:t>
            </w:r>
          </w:p>
        </w:tc>
        <w:tc>
          <w:tcPr>
            <w:tcW w:w="52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91.7</w:t>
            </w:r>
          </w:p>
        </w:tc>
        <w:tc>
          <w:tcPr>
            <w:tcW w:w="3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95.0</w:t>
            </w:r>
          </w:p>
        </w:tc>
      </w:tr>
      <w:tr>
        <w:trPr>
          <w:trHeight w:val="170"/>
        </w:trPr>
        <w:tc>
          <w:tcPr>
            <w:tcW w:w="6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Proceeds from issuance of term loans - New Credit Agreement.......</w:t>
            </w:r>
          </w:p>
        </w:tc>
        <w:tc>
          <w:tcPr>
            <w:tcW w:w="52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500.0</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Repayment of term loans - former Credit Agreement.................</w:t>
            </w:r>
          </w:p>
        </w:tc>
        <w:tc>
          <w:tcPr>
            <w:tcW w:w="5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(326.5)</w:t>
            </w:r>
          </w:p>
        </w:tc>
        <w:tc>
          <w:tcPr>
            <w:tcW w:w="30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(24.5)</w:t>
            </w:r>
          </w:p>
        </w:tc>
      </w:tr>
      <w:tr>
        <w:trPr>
          <w:trHeight w:val="170"/>
        </w:trPr>
        <w:tc>
          <w:tcPr>
            <w:tcW w:w="6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Issuance of 6 5/8% Senior Subordinated Notes......................</w:t>
            </w:r>
          </w:p>
        </w:tc>
        <w:tc>
          <w:tcPr>
            <w:tcW w:w="52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200.0</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Redemption of 8 5/8% Senior Subordinated Notes....................</w:t>
            </w:r>
          </w:p>
        </w:tc>
        <w:tc>
          <w:tcPr>
            <w:tcW w:w="5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(379.9)</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Financing fees, net...............................................</w:t>
            </w:r>
          </w:p>
        </w:tc>
        <w:tc>
          <w:tcPr>
            <w:tcW w:w="5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(10.9)</w:t>
            </w:r>
          </w:p>
        </w:tc>
        <w:tc>
          <w:tcPr>
            <w:tcW w:w="30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(0.5)</w:t>
            </w:r>
          </w:p>
        </w:tc>
      </w:tr>
      <w:tr>
        <w:trPr>
          <w:trHeight w:val="170"/>
        </w:trPr>
        <w:tc>
          <w:tcPr>
            <w:tcW w:w="6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Cash received from the exercise of stock options..................</w:t>
            </w:r>
          </w:p>
        </w:tc>
        <w:tc>
          <w:tcPr>
            <w:tcW w:w="52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7.1</w:t>
            </w:r>
          </w:p>
        </w:tc>
        <w:tc>
          <w:tcPr>
            <w:tcW w:w="3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w:t>
            </w:r>
          </w:p>
        </w:tc>
      </w:tr>
      <w:tr>
        <w:trPr>
          <w:trHeight w:val="170"/>
        </w:trPr>
        <w:tc>
          <w:tcPr>
            <w:tcW w:w="6360" w:type="dxa"/>
            <w:vAlign w:val="bottom"/>
          </w:tcPr>
          <w:p>
            <w:pPr>
              <w:spacing w:after="0"/>
              <w:rPr>
                <w:sz w:val="14"/>
                <w:szCs w:val="14"/>
                <w:color w:val="auto"/>
              </w:rPr>
            </w:pPr>
          </w:p>
        </w:tc>
        <w:tc>
          <w:tcPr>
            <w:tcW w:w="16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6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Net cash provided by financing activities......................</w:t>
            </w:r>
          </w:p>
        </w:tc>
        <w:tc>
          <w:tcPr>
            <w:tcW w:w="52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81.5</w:t>
            </w:r>
          </w:p>
        </w:tc>
        <w:tc>
          <w:tcPr>
            <w:tcW w:w="3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74.5</w:t>
            </w:r>
          </w:p>
        </w:tc>
      </w:tr>
      <w:tr>
        <w:trPr>
          <w:trHeight w:val="170"/>
        </w:trPr>
        <w:tc>
          <w:tcPr>
            <w:tcW w:w="636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7"/>
              </w:rPr>
              <w:t>Effect of exchange rate changes on cash..............................</w:t>
            </w:r>
          </w:p>
        </w:tc>
        <w:tc>
          <w:tcPr>
            <w:tcW w:w="52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0.6</w:t>
            </w:r>
          </w:p>
        </w:tc>
        <w:tc>
          <w:tcPr>
            <w:tcW w:w="3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0.5</w:t>
            </w:r>
          </w:p>
        </w:tc>
      </w:tr>
      <w:tr>
        <w:trPr>
          <w:trHeight w:val="170"/>
        </w:trPr>
        <w:tc>
          <w:tcPr>
            <w:tcW w:w="6360" w:type="dxa"/>
            <w:vAlign w:val="bottom"/>
          </w:tcPr>
          <w:p>
            <w:pPr>
              <w:spacing w:after="0"/>
              <w:rPr>
                <w:sz w:val="14"/>
                <w:szCs w:val="14"/>
                <w:color w:val="auto"/>
              </w:rPr>
            </w:pPr>
          </w:p>
        </w:tc>
        <w:tc>
          <w:tcPr>
            <w:tcW w:w="16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636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7"/>
              </w:rPr>
              <w:t>Net decrease in cash.................................................</w:t>
            </w:r>
          </w:p>
        </w:tc>
        <w:tc>
          <w:tcPr>
            <w:tcW w:w="5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(129.6)</w:t>
            </w:r>
          </w:p>
        </w:tc>
        <w:tc>
          <w:tcPr>
            <w:tcW w:w="30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(83.3)</w:t>
            </w:r>
          </w:p>
        </w:tc>
      </w:tr>
      <w:tr>
        <w:trPr>
          <w:trHeight w:val="170"/>
        </w:trPr>
        <w:tc>
          <w:tcPr>
            <w:tcW w:w="636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7"/>
              </w:rPr>
              <w:t>Cash and cash equivalents at beginning of period.....................</w:t>
            </w:r>
          </w:p>
        </w:tc>
        <w:tc>
          <w:tcPr>
            <w:tcW w:w="52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155.9</w:t>
            </w:r>
          </w:p>
        </w:tc>
        <w:tc>
          <w:tcPr>
            <w:tcW w:w="3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99.7</w:t>
            </w:r>
          </w:p>
        </w:tc>
      </w:tr>
      <w:tr>
        <w:trPr>
          <w:trHeight w:val="170"/>
        </w:trPr>
        <w:tc>
          <w:tcPr>
            <w:tcW w:w="6360" w:type="dxa"/>
            <w:vAlign w:val="bottom"/>
          </w:tcPr>
          <w:p>
            <w:pPr>
              <w:spacing w:after="0"/>
              <w:rPr>
                <w:sz w:val="14"/>
                <w:szCs w:val="14"/>
                <w:color w:val="auto"/>
              </w:rPr>
            </w:pPr>
          </w:p>
        </w:tc>
        <w:tc>
          <w:tcPr>
            <w:tcW w:w="16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636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7"/>
              </w:rPr>
              <w:t>Cash and cash equivalents at end of period...........................</w:t>
            </w:r>
          </w:p>
        </w:tc>
        <w:tc>
          <w:tcPr>
            <w:tcW w:w="52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26.3</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16.4</w:t>
            </w:r>
          </w:p>
        </w:tc>
      </w:tr>
      <w:tr>
        <w:trPr>
          <w:trHeight w:val="170"/>
        </w:trPr>
        <w:tc>
          <w:tcPr>
            <w:tcW w:w="6360" w:type="dxa"/>
            <w:vAlign w:val="bottom"/>
          </w:tcPr>
          <w:p>
            <w:pPr>
              <w:spacing w:after="0"/>
              <w:rPr>
                <w:sz w:val="14"/>
                <w:szCs w:val="14"/>
                <w:color w:val="auto"/>
              </w:rPr>
            </w:pPr>
          </w:p>
        </w:tc>
        <w:tc>
          <w:tcPr>
            <w:tcW w:w="16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jc w:val="center"/>
        <w:ind w:right="4320"/>
        <w:spacing w:after="0"/>
        <w:rPr>
          <w:sz w:val="20"/>
          <w:szCs w:val="20"/>
          <w:color w:val="auto"/>
        </w:rPr>
      </w:pPr>
      <w:r>
        <w:rPr>
          <w:rFonts w:ascii="Courier New" w:cs="Courier New" w:eastAsia="Courier New" w:hAnsi="Courier New"/>
          <w:sz w:val="14"/>
          <w:szCs w:val="14"/>
          <w:color w:val="auto"/>
        </w:rPr>
        <w:t>See notes to condensed, consolidated financial statements</w:t>
      </w:r>
    </w:p>
    <w:p>
      <w:pPr>
        <w:spacing w:after="0" w:line="17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340"/>
          </w:cols>
          <w:pgMar w:left="1200" w:top="452" w:right="1359" w:bottom="1440" w:gutter="0" w:footer="0" w:header="0"/>
        </w:sectPr>
      </w:pPr>
    </w:p>
    <w:bookmarkStart w:id="4" w:name="page5"/>
    <w:bookmarkEnd w:id="4"/>
    <w:p>
      <w:pPr>
        <w:jc w:val="center"/>
        <w:ind w:right="4640"/>
        <w:spacing w:after="0"/>
        <w:rPr>
          <w:sz w:val="20"/>
          <w:szCs w:val="20"/>
          <w:color w:val="auto"/>
        </w:rPr>
      </w:pPr>
      <w:r>
        <w:rPr>
          <w:rFonts w:ascii="Courier New" w:cs="Courier New" w:eastAsia="Courier New" w:hAnsi="Courier New"/>
          <w:sz w:val="15"/>
          <w:szCs w:val="15"/>
          <w:color w:val="auto"/>
        </w:rPr>
        <w:t>THE SCOTTS COMPANY</w:t>
      </w:r>
    </w:p>
    <w:p>
      <w:pPr>
        <w:jc w:val="center"/>
        <w:ind w:right="4640"/>
        <w:spacing w:after="0"/>
        <w:rPr>
          <w:sz w:val="20"/>
          <w:szCs w:val="20"/>
          <w:color w:val="auto"/>
        </w:rPr>
      </w:pPr>
      <w:r>
        <w:rPr>
          <w:rFonts w:ascii="Courier New" w:cs="Courier New" w:eastAsia="Courier New" w:hAnsi="Courier New"/>
          <w:sz w:val="15"/>
          <w:szCs w:val="15"/>
          <w:color w:val="auto"/>
        </w:rPr>
        <w:t>CONDENSED, CONSOLIDATED BALANCE SHEETS</w:t>
      </w:r>
    </w:p>
    <w:tbl>
      <w:tblPr>
        <w:tblLayout w:type="fixed"/>
        <w:tblInd w:w="0" w:type="dxa"/>
        <w:tblCellMar>
          <w:top w:w="0" w:type="dxa"/>
          <w:left w:w="0" w:type="dxa"/>
          <w:bottom w:w="0" w:type="dxa"/>
          <w:right w:w="0" w:type="dxa"/>
        </w:tblCellMar>
      </w:tblPr>
      <w:tr>
        <w:trPr>
          <w:trHeight w:val="169"/>
        </w:trPr>
        <w:tc>
          <w:tcPr>
            <w:tcW w:w="7240" w:type="dxa"/>
            <w:vAlign w:val="bottom"/>
          </w:tcPr>
          <w:p>
            <w:pPr>
              <w:jc w:val="right"/>
              <w:ind w:right="3187"/>
              <w:spacing w:after="0"/>
              <w:rPr>
                <w:sz w:val="20"/>
                <w:szCs w:val="20"/>
                <w:color w:val="auto"/>
              </w:rPr>
            </w:pPr>
            <w:r>
              <w:rPr>
                <w:rFonts w:ascii="Courier New" w:cs="Courier New" w:eastAsia="Courier New" w:hAnsi="Courier New"/>
                <w:sz w:val="15"/>
                <w:szCs w:val="15"/>
                <w:color w:val="auto"/>
              </w:rPr>
              <w:t>(IN MILLIONS)</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78"/>
        </w:trPr>
        <w:tc>
          <w:tcPr>
            <w:tcW w:w="7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UNAUDITED</w:t>
            </w: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7240" w:type="dxa"/>
            <w:vAlign w:val="bottom"/>
          </w:tcPr>
          <w:p>
            <w:pPr>
              <w:spacing w:after="0"/>
              <w:rPr>
                <w:sz w:val="14"/>
                <w:szCs w:val="14"/>
                <w:color w:val="auto"/>
              </w:rPr>
            </w:pP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6"/>
              </w:rPr>
              <w:t>DECEMBER 27,</w:t>
            </w:r>
          </w:p>
        </w:tc>
        <w:tc>
          <w:tcPr>
            <w:tcW w:w="14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DECEMBER 28,</w:t>
            </w:r>
          </w:p>
        </w:tc>
        <w:tc>
          <w:tcPr>
            <w:tcW w:w="1400" w:type="dxa"/>
            <w:vAlign w:val="bottom"/>
            <w:gridSpan w:val="2"/>
          </w:tcPr>
          <w:p>
            <w:pPr>
              <w:ind w:left="280"/>
              <w:spacing w:after="0"/>
              <w:rPr>
                <w:sz w:val="20"/>
                <w:szCs w:val="20"/>
                <w:color w:val="auto"/>
              </w:rPr>
            </w:pPr>
            <w:r>
              <w:rPr>
                <w:rFonts w:ascii="Courier New" w:cs="Courier New" w:eastAsia="Courier New" w:hAnsi="Courier New"/>
                <w:sz w:val="15"/>
                <w:szCs w:val="15"/>
                <w:color w:val="auto"/>
                <w:w w:val="93"/>
              </w:rPr>
              <w:t>SEPTEMBER 30,</w:t>
            </w:r>
          </w:p>
        </w:tc>
      </w:tr>
      <w:tr>
        <w:trPr>
          <w:trHeight w:val="170"/>
        </w:trPr>
        <w:tc>
          <w:tcPr>
            <w:tcW w:w="7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4"/>
              </w:rPr>
              <w:t>2003</w:t>
            </w:r>
          </w:p>
        </w:tc>
        <w:tc>
          <w:tcPr>
            <w:tcW w:w="380" w:type="dxa"/>
            <w:vAlign w:val="bottom"/>
          </w:tcPr>
          <w:p>
            <w:pPr>
              <w:spacing w:after="0"/>
              <w:rPr>
                <w:sz w:val="14"/>
                <w:szCs w:val="14"/>
                <w:color w:val="auto"/>
              </w:rPr>
            </w:pP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2002</w:t>
            </w:r>
          </w:p>
        </w:tc>
        <w:tc>
          <w:tcPr>
            <w:tcW w:w="440" w:type="dxa"/>
            <w:vAlign w:val="bottom"/>
          </w:tcPr>
          <w:p>
            <w:pPr>
              <w:spacing w:after="0"/>
              <w:rPr>
                <w:sz w:val="14"/>
                <w:szCs w:val="14"/>
                <w:color w:val="auto"/>
              </w:rPr>
            </w:pP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7240" w:type="dxa"/>
            <w:vAlign w:val="bottom"/>
          </w:tcPr>
          <w:p>
            <w:pPr>
              <w:spacing w:after="0"/>
              <w:rPr>
                <w:sz w:val="14"/>
                <w:szCs w:val="14"/>
                <w:color w:val="auto"/>
              </w:rPr>
            </w:pPr>
          </w:p>
        </w:tc>
        <w:tc>
          <w:tcPr>
            <w:tcW w:w="12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rPr>
              <w:t>----------</w:t>
            </w:r>
          </w:p>
        </w:tc>
      </w:tr>
      <w:tr>
        <w:trPr>
          <w:trHeight w:val="170"/>
        </w:trPr>
        <w:tc>
          <w:tcPr>
            <w:tcW w:w="7240" w:type="dxa"/>
            <w:vAlign w:val="bottom"/>
          </w:tcPr>
          <w:p>
            <w:pPr>
              <w:jc w:val="right"/>
              <w:ind w:right="1247"/>
              <w:spacing w:after="0"/>
              <w:rPr>
                <w:sz w:val="20"/>
                <w:szCs w:val="20"/>
                <w:color w:val="auto"/>
              </w:rPr>
            </w:pPr>
            <w:r>
              <w:rPr>
                <w:rFonts w:ascii="Courier New" w:cs="Courier New" w:eastAsia="Courier New" w:hAnsi="Courier New"/>
                <w:sz w:val="15"/>
                <w:szCs w:val="15"/>
                <w:color w:val="auto"/>
              </w:rPr>
              <w:t>ASSETS</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9"/>
        </w:trPr>
        <w:tc>
          <w:tcPr>
            <w:tcW w:w="72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7240" w:type="dxa"/>
            <w:vAlign w:val="bottom"/>
          </w:tcPr>
          <w:p>
            <w:pPr>
              <w:ind w:left="280"/>
              <w:spacing w:after="0"/>
              <w:rPr>
                <w:sz w:val="20"/>
                <w:szCs w:val="20"/>
                <w:color w:val="auto"/>
              </w:rPr>
            </w:pPr>
            <w:r>
              <w:rPr>
                <w:rFonts w:ascii="Courier New" w:cs="Courier New" w:eastAsia="Courier New" w:hAnsi="Courier New"/>
                <w:sz w:val="15"/>
                <w:szCs w:val="15"/>
                <w:color w:val="auto"/>
              </w:rPr>
              <w:t>Cash and cash equivalents................................................</w:t>
            </w: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26.3</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16.4</w:t>
            </w:r>
          </w:p>
        </w:tc>
        <w:tc>
          <w:tcPr>
            <w:tcW w:w="4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155.9</w:t>
            </w:r>
          </w:p>
        </w:tc>
      </w:tr>
      <w:tr>
        <w:trPr>
          <w:trHeight w:val="170"/>
        </w:trPr>
        <w:tc>
          <w:tcPr>
            <w:tcW w:w="7240" w:type="dxa"/>
            <w:vAlign w:val="bottom"/>
          </w:tcPr>
          <w:p>
            <w:pPr>
              <w:ind w:left="280"/>
              <w:spacing w:after="0"/>
              <w:rPr>
                <w:sz w:val="20"/>
                <w:szCs w:val="20"/>
                <w:color w:val="auto"/>
              </w:rPr>
            </w:pPr>
            <w:r>
              <w:rPr>
                <w:rFonts w:ascii="Courier New" w:cs="Courier New" w:eastAsia="Courier New" w:hAnsi="Courier New"/>
                <w:sz w:val="15"/>
                <w:szCs w:val="15"/>
                <w:color w:val="auto"/>
              </w:rPr>
              <w:t>Accounts receivable, less allowances of $19.2,</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7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$21.1 and $20.0, respectively.........................................</w:t>
            </w:r>
          </w:p>
        </w:tc>
        <w:tc>
          <w:tcPr>
            <w:tcW w:w="34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229.1</w:t>
            </w:r>
          </w:p>
        </w:tc>
        <w:tc>
          <w:tcPr>
            <w:tcW w:w="38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219.3</w:t>
            </w:r>
          </w:p>
        </w:tc>
        <w:tc>
          <w:tcPr>
            <w:tcW w:w="440" w:type="dxa"/>
            <w:vAlign w:val="bottom"/>
          </w:tcPr>
          <w:p>
            <w:pPr>
              <w:spacing w:after="0"/>
              <w:rPr>
                <w:sz w:val="14"/>
                <w:szCs w:val="14"/>
                <w:color w:val="auto"/>
              </w:rPr>
            </w:pPr>
          </w:p>
        </w:tc>
        <w:tc>
          <w:tcPr>
            <w:tcW w:w="9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290.5</w:t>
            </w:r>
          </w:p>
        </w:tc>
      </w:tr>
      <w:tr>
        <w:trPr>
          <w:trHeight w:val="170"/>
        </w:trPr>
        <w:tc>
          <w:tcPr>
            <w:tcW w:w="7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Inventories, net.........................................................</w:t>
            </w:r>
          </w:p>
        </w:tc>
        <w:tc>
          <w:tcPr>
            <w:tcW w:w="34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442.4</w:t>
            </w:r>
          </w:p>
        </w:tc>
        <w:tc>
          <w:tcPr>
            <w:tcW w:w="38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417.0</w:t>
            </w:r>
          </w:p>
        </w:tc>
        <w:tc>
          <w:tcPr>
            <w:tcW w:w="440" w:type="dxa"/>
            <w:vAlign w:val="bottom"/>
          </w:tcPr>
          <w:p>
            <w:pPr>
              <w:spacing w:after="0"/>
              <w:rPr>
                <w:sz w:val="14"/>
                <w:szCs w:val="14"/>
                <w:color w:val="auto"/>
              </w:rPr>
            </w:pPr>
          </w:p>
        </w:tc>
        <w:tc>
          <w:tcPr>
            <w:tcW w:w="9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276.1</w:t>
            </w:r>
          </w:p>
        </w:tc>
      </w:tr>
      <w:tr>
        <w:trPr>
          <w:trHeight w:val="170"/>
        </w:trPr>
        <w:tc>
          <w:tcPr>
            <w:tcW w:w="7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Current deferred tax asset...............................................</w:t>
            </w:r>
          </w:p>
        </w:tc>
        <w:tc>
          <w:tcPr>
            <w:tcW w:w="34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60.7</w:t>
            </w:r>
          </w:p>
        </w:tc>
        <w:tc>
          <w:tcPr>
            <w:tcW w:w="38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73.8</w:t>
            </w:r>
          </w:p>
        </w:tc>
        <w:tc>
          <w:tcPr>
            <w:tcW w:w="440" w:type="dxa"/>
            <w:vAlign w:val="bottom"/>
          </w:tcPr>
          <w:p>
            <w:pPr>
              <w:spacing w:after="0"/>
              <w:rPr>
                <w:sz w:val="14"/>
                <w:szCs w:val="14"/>
                <w:color w:val="auto"/>
              </w:rPr>
            </w:pPr>
          </w:p>
        </w:tc>
        <w:tc>
          <w:tcPr>
            <w:tcW w:w="9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56.9</w:t>
            </w:r>
          </w:p>
        </w:tc>
      </w:tr>
      <w:tr>
        <w:trPr>
          <w:trHeight w:val="170"/>
        </w:trPr>
        <w:tc>
          <w:tcPr>
            <w:tcW w:w="7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Prepaid and other assets.................................................</w:t>
            </w:r>
          </w:p>
        </w:tc>
        <w:tc>
          <w:tcPr>
            <w:tcW w:w="34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32.3</w:t>
            </w:r>
          </w:p>
        </w:tc>
        <w:tc>
          <w:tcPr>
            <w:tcW w:w="38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37.2</w:t>
            </w:r>
          </w:p>
        </w:tc>
        <w:tc>
          <w:tcPr>
            <w:tcW w:w="440" w:type="dxa"/>
            <w:vAlign w:val="bottom"/>
          </w:tcPr>
          <w:p>
            <w:pPr>
              <w:spacing w:after="0"/>
              <w:rPr>
                <w:sz w:val="14"/>
                <w:szCs w:val="14"/>
                <w:color w:val="auto"/>
              </w:rPr>
            </w:pPr>
          </w:p>
        </w:tc>
        <w:tc>
          <w:tcPr>
            <w:tcW w:w="9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33.2</w:t>
            </w:r>
          </w:p>
        </w:tc>
      </w:tr>
      <w:tr>
        <w:trPr>
          <w:trHeight w:val="170"/>
        </w:trPr>
        <w:tc>
          <w:tcPr>
            <w:tcW w:w="7240" w:type="dxa"/>
            <w:vAlign w:val="bottom"/>
          </w:tcPr>
          <w:p>
            <w:pPr>
              <w:spacing w:after="0"/>
              <w:rPr>
                <w:sz w:val="14"/>
                <w:szCs w:val="14"/>
                <w:color w:val="auto"/>
              </w:rPr>
            </w:pPr>
          </w:p>
        </w:tc>
        <w:tc>
          <w:tcPr>
            <w:tcW w:w="12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rPr>
              <w:t>----------</w:t>
            </w:r>
          </w:p>
        </w:tc>
      </w:tr>
      <w:tr>
        <w:trPr>
          <w:trHeight w:val="170"/>
        </w:trPr>
        <w:tc>
          <w:tcPr>
            <w:tcW w:w="7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Total current assets..................................................</w:t>
            </w:r>
          </w:p>
        </w:tc>
        <w:tc>
          <w:tcPr>
            <w:tcW w:w="34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790.8</w:t>
            </w:r>
          </w:p>
        </w:tc>
        <w:tc>
          <w:tcPr>
            <w:tcW w:w="38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763.7</w:t>
            </w:r>
          </w:p>
        </w:tc>
        <w:tc>
          <w:tcPr>
            <w:tcW w:w="440" w:type="dxa"/>
            <w:vAlign w:val="bottom"/>
          </w:tcPr>
          <w:p>
            <w:pPr>
              <w:spacing w:after="0"/>
              <w:rPr>
                <w:sz w:val="14"/>
                <w:szCs w:val="14"/>
                <w:color w:val="auto"/>
              </w:rPr>
            </w:pPr>
          </w:p>
        </w:tc>
        <w:tc>
          <w:tcPr>
            <w:tcW w:w="9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812.6</w:t>
            </w:r>
          </w:p>
        </w:tc>
      </w:tr>
      <w:tr>
        <w:trPr>
          <w:trHeight w:val="170"/>
        </w:trPr>
        <w:tc>
          <w:tcPr>
            <w:tcW w:w="7240" w:type="dxa"/>
            <w:vAlign w:val="bottom"/>
          </w:tcPr>
          <w:p>
            <w:pPr>
              <w:ind w:left="280"/>
              <w:spacing w:after="0"/>
              <w:rPr>
                <w:sz w:val="20"/>
                <w:szCs w:val="20"/>
                <w:color w:val="auto"/>
              </w:rPr>
            </w:pPr>
            <w:r>
              <w:rPr>
                <w:rFonts w:ascii="Courier New" w:cs="Courier New" w:eastAsia="Courier New" w:hAnsi="Courier New"/>
                <w:sz w:val="15"/>
                <w:szCs w:val="15"/>
                <w:color w:val="auto"/>
              </w:rPr>
              <w:t>Property, plant and equipment, net of accumulated depreciation</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7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of $284.1, $250.1 and $270.5, respectively............................</w:t>
            </w:r>
          </w:p>
        </w:tc>
        <w:tc>
          <w:tcPr>
            <w:tcW w:w="34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333.8</w:t>
            </w:r>
          </w:p>
        </w:tc>
        <w:tc>
          <w:tcPr>
            <w:tcW w:w="38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338.4</w:t>
            </w:r>
          </w:p>
        </w:tc>
        <w:tc>
          <w:tcPr>
            <w:tcW w:w="440" w:type="dxa"/>
            <w:vAlign w:val="bottom"/>
          </w:tcPr>
          <w:p>
            <w:pPr>
              <w:spacing w:after="0"/>
              <w:rPr>
                <w:sz w:val="14"/>
                <w:szCs w:val="14"/>
                <w:color w:val="auto"/>
              </w:rPr>
            </w:pPr>
          </w:p>
        </w:tc>
        <w:tc>
          <w:tcPr>
            <w:tcW w:w="9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338.2</w:t>
            </w:r>
          </w:p>
        </w:tc>
      </w:tr>
      <w:tr>
        <w:trPr>
          <w:trHeight w:val="170"/>
        </w:trPr>
        <w:tc>
          <w:tcPr>
            <w:tcW w:w="7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Goodwill.................................................................</w:t>
            </w:r>
          </w:p>
        </w:tc>
        <w:tc>
          <w:tcPr>
            <w:tcW w:w="34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412.5</w:t>
            </w:r>
          </w:p>
        </w:tc>
        <w:tc>
          <w:tcPr>
            <w:tcW w:w="38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384.4</w:t>
            </w:r>
          </w:p>
        </w:tc>
        <w:tc>
          <w:tcPr>
            <w:tcW w:w="440" w:type="dxa"/>
            <w:vAlign w:val="bottom"/>
          </w:tcPr>
          <w:p>
            <w:pPr>
              <w:spacing w:after="0"/>
              <w:rPr>
                <w:sz w:val="14"/>
                <w:szCs w:val="14"/>
                <w:color w:val="auto"/>
              </w:rPr>
            </w:pPr>
          </w:p>
        </w:tc>
        <w:tc>
          <w:tcPr>
            <w:tcW w:w="9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406.5</w:t>
            </w:r>
          </w:p>
        </w:tc>
      </w:tr>
      <w:tr>
        <w:trPr>
          <w:trHeight w:val="170"/>
        </w:trPr>
        <w:tc>
          <w:tcPr>
            <w:tcW w:w="7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Intangible assets, net...................................................</w:t>
            </w:r>
          </w:p>
        </w:tc>
        <w:tc>
          <w:tcPr>
            <w:tcW w:w="34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436.2</w:t>
            </w:r>
          </w:p>
        </w:tc>
        <w:tc>
          <w:tcPr>
            <w:tcW w:w="38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418.1</w:t>
            </w:r>
          </w:p>
        </w:tc>
        <w:tc>
          <w:tcPr>
            <w:tcW w:w="440" w:type="dxa"/>
            <w:vAlign w:val="bottom"/>
          </w:tcPr>
          <w:p>
            <w:pPr>
              <w:spacing w:after="0"/>
              <w:rPr>
                <w:sz w:val="14"/>
                <w:szCs w:val="14"/>
                <w:color w:val="auto"/>
              </w:rPr>
            </w:pPr>
          </w:p>
        </w:tc>
        <w:tc>
          <w:tcPr>
            <w:tcW w:w="9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429.0</w:t>
            </w:r>
          </w:p>
        </w:tc>
      </w:tr>
      <w:tr>
        <w:trPr>
          <w:trHeight w:val="170"/>
        </w:trPr>
        <w:tc>
          <w:tcPr>
            <w:tcW w:w="7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Other assets.............................................................</w:t>
            </w:r>
          </w:p>
        </w:tc>
        <w:tc>
          <w:tcPr>
            <w:tcW w:w="34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42.0</w:t>
            </w:r>
          </w:p>
        </w:tc>
        <w:tc>
          <w:tcPr>
            <w:tcW w:w="38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48.6</w:t>
            </w:r>
          </w:p>
        </w:tc>
        <w:tc>
          <w:tcPr>
            <w:tcW w:w="440" w:type="dxa"/>
            <w:vAlign w:val="bottom"/>
          </w:tcPr>
          <w:p>
            <w:pPr>
              <w:spacing w:after="0"/>
              <w:rPr>
                <w:sz w:val="14"/>
                <w:szCs w:val="14"/>
                <w:color w:val="auto"/>
              </w:rPr>
            </w:pPr>
          </w:p>
        </w:tc>
        <w:tc>
          <w:tcPr>
            <w:tcW w:w="9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44.0</w:t>
            </w:r>
          </w:p>
        </w:tc>
      </w:tr>
      <w:tr>
        <w:trPr>
          <w:trHeight w:val="170"/>
        </w:trPr>
        <w:tc>
          <w:tcPr>
            <w:tcW w:w="7240" w:type="dxa"/>
            <w:vAlign w:val="bottom"/>
          </w:tcPr>
          <w:p>
            <w:pPr>
              <w:spacing w:after="0"/>
              <w:rPr>
                <w:sz w:val="14"/>
                <w:szCs w:val="14"/>
                <w:color w:val="auto"/>
              </w:rPr>
            </w:pPr>
          </w:p>
        </w:tc>
        <w:tc>
          <w:tcPr>
            <w:tcW w:w="12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rPr>
              <w:t>----------</w:t>
            </w:r>
          </w:p>
        </w:tc>
      </w:tr>
      <w:tr>
        <w:trPr>
          <w:trHeight w:val="170"/>
        </w:trPr>
        <w:tc>
          <w:tcPr>
            <w:tcW w:w="7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Total assets..........................................................</w:t>
            </w: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5"/>
              </w:rPr>
              <w:t>2,015.3</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1,953.2</w:t>
            </w:r>
          </w:p>
        </w:tc>
        <w:tc>
          <w:tcPr>
            <w:tcW w:w="4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2,030.3</w:t>
            </w:r>
          </w:p>
        </w:tc>
      </w:tr>
      <w:tr>
        <w:trPr>
          <w:trHeight w:val="170"/>
        </w:trPr>
        <w:tc>
          <w:tcPr>
            <w:tcW w:w="7240" w:type="dxa"/>
            <w:vAlign w:val="bottom"/>
          </w:tcPr>
          <w:p>
            <w:pPr>
              <w:spacing w:after="0"/>
              <w:rPr>
                <w:sz w:val="14"/>
                <w:szCs w:val="14"/>
                <w:color w:val="auto"/>
              </w:rPr>
            </w:pPr>
          </w:p>
        </w:tc>
        <w:tc>
          <w:tcPr>
            <w:tcW w:w="12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rPr>
              <w:t>==========</w:t>
            </w:r>
          </w:p>
        </w:tc>
      </w:tr>
      <w:tr>
        <w:trPr>
          <w:trHeight w:val="339"/>
        </w:trPr>
        <w:tc>
          <w:tcPr>
            <w:tcW w:w="7240" w:type="dxa"/>
            <w:vAlign w:val="bottom"/>
          </w:tcPr>
          <w:p>
            <w:pPr>
              <w:jc w:val="right"/>
              <w:spacing w:after="0"/>
              <w:rPr>
                <w:sz w:val="20"/>
                <w:szCs w:val="20"/>
                <w:color w:val="auto"/>
              </w:rPr>
            </w:pPr>
            <w:r>
              <w:rPr>
                <w:rFonts w:ascii="Courier New" w:cs="Courier New" w:eastAsia="Courier New" w:hAnsi="Courier New"/>
                <w:sz w:val="15"/>
                <w:szCs w:val="15"/>
                <w:color w:val="auto"/>
              </w:rPr>
              <w:t>LIABILITIES AND SHAREHOLDERS' EQUITY</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9"/>
        </w:trPr>
        <w:tc>
          <w:tcPr>
            <w:tcW w:w="72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7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Current portion of debt..................................................</w:t>
            </w: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30.8</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62.7</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55.4</w:t>
            </w:r>
          </w:p>
        </w:tc>
      </w:tr>
      <w:tr>
        <w:trPr>
          <w:trHeight w:val="170"/>
        </w:trPr>
        <w:tc>
          <w:tcPr>
            <w:tcW w:w="7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Accounts payable.........................................................</w:t>
            </w:r>
          </w:p>
        </w:tc>
        <w:tc>
          <w:tcPr>
            <w:tcW w:w="34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181.4</w:t>
            </w:r>
          </w:p>
        </w:tc>
        <w:tc>
          <w:tcPr>
            <w:tcW w:w="38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175.1</w:t>
            </w:r>
          </w:p>
        </w:tc>
        <w:tc>
          <w:tcPr>
            <w:tcW w:w="440" w:type="dxa"/>
            <w:vAlign w:val="bottom"/>
          </w:tcPr>
          <w:p>
            <w:pPr>
              <w:spacing w:after="0"/>
              <w:rPr>
                <w:sz w:val="14"/>
                <w:szCs w:val="14"/>
                <w:color w:val="auto"/>
              </w:rPr>
            </w:pPr>
          </w:p>
        </w:tc>
        <w:tc>
          <w:tcPr>
            <w:tcW w:w="9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149.0</w:t>
            </w:r>
          </w:p>
        </w:tc>
      </w:tr>
      <w:tr>
        <w:trPr>
          <w:trHeight w:val="170"/>
        </w:trPr>
        <w:tc>
          <w:tcPr>
            <w:tcW w:w="7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Accrued liabilities......................................................</w:t>
            </w:r>
          </w:p>
        </w:tc>
        <w:tc>
          <w:tcPr>
            <w:tcW w:w="34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190.7</w:t>
            </w:r>
          </w:p>
        </w:tc>
        <w:tc>
          <w:tcPr>
            <w:tcW w:w="38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217.8</w:t>
            </w:r>
          </w:p>
        </w:tc>
        <w:tc>
          <w:tcPr>
            <w:tcW w:w="440" w:type="dxa"/>
            <w:vAlign w:val="bottom"/>
          </w:tcPr>
          <w:p>
            <w:pPr>
              <w:spacing w:after="0"/>
              <w:rPr>
                <w:sz w:val="14"/>
                <w:szCs w:val="14"/>
                <w:color w:val="auto"/>
              </w:rPr>
            </w:pPr>
          </w:p>
        </w:tc>
        <w:tc>
          <w:tcPr>
            <w:tcW w:w="9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234.3</w:t>
            </w:r>
          </w:p>
        </w:tc>
      </w:tr>
      <w:tr>
        <w:trPr>
          <w:trHeight w:val="170"/>
        </w:trPr>
        <w:tc>
          <w:tcPr>
            <w:tcW w:w="7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Accrued taxes............................................................</w:t>
            </w:r>
          </w:p>
        </w:tc>
        <w:tc>
          <w:tcPr>
            <w:tcW w:w="34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(24.8)</w:t>
            </w:r>
          </w:p>
        </w:tc>
        <w:tc>
          <w:tcPr>
            <w:tcW w:w="3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(15.0)</w:t>
            </w:r>
          </w:p>
        </w:tc>
        <w:tc>
          <w:tcPr>
            <w:tcW w:w="440" w:type="dxa"/>
            <w:vAlign w:val="bottom"/>
          </w:tcPr>
          <w:p>
            <w:pPr>
              <w:spacing w:after="0"/>
              <w:rPr>
                <w:sz w:val="14"/>
                <w:szCs w:val="14"/>
                <w:color w:val="auto"/>
              </w:rPr>
            </w:pPr>
          </w:p>
        </w:tc>
        <w:tc>
          <w:tcPr>
            <w:tcW w:w="9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9.5</w:t>
            </w:r>
          </w:p>
        </w:tc>
      </w:tr>
      <w:tr>
        <w:trPr>
          <w:trHeight w:val="170"/>
        </w:trPr>
        <w:tc>
          <w:tcPr>
            <w:tcW w:w="7240" w:type="dxa"/>
            <w:vAlign w:val="bottom"/>
          </w:tcPr>
          <w:p>
            <w:pPr>
              <w:spacing w:after="0"/>
              <w:rPr>
                <w:sz w:val="14"/>
                <w:szCs w:val="14"/>
                <w:color w:val="auto"/>
              </w:rPr>
            </w:pPr>
          </w:p>
        </w:tc>
        <w:tc>
          <w:tcPr>
            <w:tcW w:w="12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rPr>
              <w:t>----------</w:t>
            </w:r>
          </w:p>
        </w:tc>
      </w:tr>
      <w:tr>
        <w:trPr>
          <w:trHeight w:val="170"/>
        </w:trPr>
        <w:tc>
          <w:tcPr>
            <w:tcW w:w="7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Total current liabilities.............................................</w:t>
            </w:r>
          </w:p>
        </w:tc>
        <w:tc>
          <w:tcPr>
            <w:tcW w:w="34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378.1</w:t>
            </w:r>
          </w:p>
        </w:tc>
        <w:tc>
          <w:tcPr>
            <w:tcW w:w="38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440.6</w:t>
            </w:r>
          </w:p>
        </w:tc>
        <w:tc>
          <w:tcPr>
            <w:tcW w:w="440" w:type="dxa"/>
            <w:vAlign w:val="bottom"/>
          </w:tcPr>
          <w:p>
            <w:pPr>
              <w:spacing w:after="0"/>
              <w:rPr>
                <w:sz w:val="14"/>
                <w:szCs w:val="14"/>
                <w:color w:val="auto"/>
              </w:rPr>
            </w:pPr>
          </w:p>
        </w:tc>
        <w:tc>
          <w:tcPr>
            <w:tcW w:w="9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448.2</w:t>
            </w:r>
          </w:p>
        </w:tc>
      </w:tr>
      <w:tr>
        <w:trPr>
          <w:trHeight w:val="170"/>
        </w:trPr>
        <w:tc>
          <w:tcPr>
            <w:tcW w:w="724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7"/>
              </w:rPr>
              <w:t>Long-term debt..............................................................</w:t>
            </w:r>
          </w:p>
        </w:tc>
        <w:tc>
          <w:tcPr>
            <w:tcW w:w="34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810.1</w:t>
            </w:r>
          </w:p>
        </w:tc>
        <w:tc>
          <w:tcPr>
            <w:tcW w:w="38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831.6</w:t>
            </w:r>
          </w:p>
        </w:tc>
        <w:tc>
          <w:tcPr>
            <w:tcW w:w="440" w:type="dxa"/>
            <w:vAlign w:val="bottom"/>
          </w:tcPr>
          <w:p>
            <w:pPr>
              <w:spacing w:after="0"/>
              <w:rPr>
                <w:sz w:val="14"/>
                <w:szCs w:val="14"/>
                <w:color w:val="auto"/>
              </w:rPr>
            </w:pPr>
          </w:p>
        </w:tc>
        <w:tc>
          <w:tcPr>
            <w:tcW w:w="9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702.2</w:t>
            </w:r>
          </w:p>
        </w:tc>
      </w:tr>
      <w:tr>
        <w:trPr>
          <w:trHeight w:val="170"/>
        </w:trPr>
        <w:tc>
          <w:tcPr>
            <w:tcW w:w="724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7"/>
              </w:rPr>
              <w:t>Other liabilities...........................................................</w:t>
            </w:r>
          </w:p>
        </w:tc>
        <w:tc>
          <w:tcPr>
            <w:tcW w:w="34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160.7</w:t>
            </w:r>
          </w:p>
        </w:tc>
        <w:tc>
          <w:tcPr>
            <w:tcW w:w="38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129.7</w:t>
            </w:r>
          </w:p>
        </w:tc>
        <w:tc>
          <w:tcPr>
            <w:tcW w:w="440" w:type="dxa"/>
            <w:vAlign w:val="bottom"/>
          </w:tcPr>
          <w:p>
            <w:pPr>
              <w:spacing w:after="0"/>
              <w:rPr>
                <w:sz w:val="14"/>
                <w:szCs w:val="14"/>
                <w:color w:val="auto"/>
              </w:rPr>
            </w:pPr>
          </w:p>
        </w:tc>
        <w:tc>
          <w:tcPr>
            <w:tcW w:w="9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151.7</w:t>
            </w:r>
          </w:p>
        </w:tc>
      </w:tr>
      <w:tr>
        <w:trPr>
          <w:trHeight w:val="170"/>
        </w:trPr>
        <w:tc>
          <w:tcPr>
            <w:tcW w:w="7240" w:type="dxa"/>
            <w:vAlign w:val="bottom"/>
          </w:tcPr>
          <w:p>
            <w:pPr>
              <w:spacing w:after="0"/>
              <w:rPr>
                <w:sz w:val="14"/>
                <w:szCs w:val="14"/>
                <w:color w:val="auto"/>
              </w:rPr>
            </w:pPr>
          </w:p>
        </w:tc>
        <w:tc>
          <w:tcPr>
            <w:tcW w:w="12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rPr>
              <w:t>----------</w:t>
            </w:r>
          </w:p>
        </w:tc>
      </w:tr>
      <w:tr>
        <w:trPr>
          <w:trHeight w:val="170"/>
        </w:trPr>
        <w:tc>
          <w:tcPr>
            <w:tcW w:w="7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Total liabilities.....................................................</w:t>
            </w:r>
          </w:p>
        </w:tc>
        <w:tc>
          <w:tcPr>
            <w:tcW w:w="34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5"/>
              </w:rPr>
              <w:t>1,348.9</w:t>
            </w:r>
          </w:p>
        </w:tc>
        <w:tc>
          <w:tcPr>
            <w:tcW w:w="38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1,401.9</w:t>
            </w:r>
          </w:p>
        </w:tc>
        <w:tc>
          <w:tcPr>
            <w:tcW w:w="440" w:type="dxa"/>
            <w:vAlign w:val="bottom"/>
          </w:tcPr>
          <w:p>
            <w:pPr>
              <w:spacing w:after="0"/>
              <w:rPr>
                <w:sz w:val="14"/>
                <w:szCs w:val="14"/>
                <w:color w:val="auto"/>
              </w:rPr>
            </w:pPr>
          </w:p>
        </w:tc>
        <w:tc>
          <w:tcPr>
            <w:tcW w:w="9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1,302.1</w:t>
            </w:r>
          </w:p>
        </w:tc>
      </w:tr>
      <w:tr>
        <w:trPr>
          <w:trHeight w:val="339"/>
        </w:trPr>
        <w:tc>
          <w:tcPr>
            <w:tcW w:w="724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(note 8)</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9"/>
        </w:trPr>
        <w:tc>
          <w:tcPr>
            <w:tcW w:w="724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7240" w:type="dxa"/>
            <w:vAlign w:val="bottom"/>
          </w:tcPr>
          <w:p>
            <w:pPr>
              <w:ind w:left="280"/>
              <w:spacing w:after="0"/>
              <w:rPr>
                <w:sz w:val="20"/>
                <w:szCs w:val="20"/>
                <w:color w:val="auto"/>
              </w:rPr>
            </w:pPr>
            <w:r>
              <w:rPr>
                <w:rFonts w:ascii="Courier New" w:cs="Courier New" w:eastAsia="Courier New" w:hAnsi="Courier New"/>
                <w:sz w:val="15"/>
                <w:szCs w:val="15"/>
                <w:color w:val="auto"/>
              </w:rPr>
              <w:t>Common Shares, no par value per share, $.01 stated value</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7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per share, 32.3, 31.3, 32.0 shares issued, respectively..................</w:t>
            </w:r>
          </w:p>
        </w:tc>
        <w:tc>
          <w:tcPr>
            <w:tcW w:w="34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0.3</w:t>
            </w:r>
          </w:p>
        </w:tc>
        <w:tc>
          <w:tcPr>
            <w:tcW w:w="38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0.3</w:t>
            </w:r>
          </w:p>
        </w:tc>
        <w:tc>
          <w:tcPr>
            <w:tcW w:w="440" w:type="dxa"/>
            <w:vAlign w:val="bottom"/>
          </w:tcPr>
          <w:p>
            <w:pPr>
              <w:spacing w:after="0"/>
              <w:rPr>
                <w:sz w:val="14"/>
                <w:szCs w:val="14"/>
                <w:color w:val="auto"/>
              </w:rPr>
            </w:pPr>
          </w:p>
        </w:tc>
        <w:tc>
          <w:tcPr>
            <w:tcW w:w="9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0.3</w:t>
            </w:r>
          </w:p>
        </w:tc>
      </w:tr>
      <w:tr>
        <w:trPr>
          <w:trHeight w:val="170"/>
        </w:trPr>
        <w:tc>
          <w:tcPr>
            <w:tcW w:w="7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Deferred compensation - stock awards.....................................</w:t>
            </w:r>
          </w:p>
        </w:tc>
        <w:tc>
          <w:tcPr>
            <w:tcW w:w="34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(19.2)</w:t>
            </w:r>
          </w:p>
        </w:tc>
        <w:tc>
          <w:tcPr>
            <w:tcW w:w="3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(6.2)</w:t>
            </w:r>
          </w:p>
        </w:tc>
        <w:tc>
          <w:tcPr>
            <w:tcW w:w="44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(8.3)</w:t>
            </w:r>
          </w:p>
        </w:tc>
      </w:tr>
      <w:tr>
        <w:trPr>
          <w:trHeight w:val="170"/>
        </w:trPr>
        <w:tc>
          <w:tcPr>
            <w:tcW w:w="7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Capital in excess of par value...........................................</w:t>
            </w:r>
          </w:p>
        </w:tc>
        <w:tc>
          <w:tcPr>
            <w:tcW w:w="34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418.9</w:t>
            </w:r>
          </w:p>
        </w:tc>
        <w:tc>
          <w:tcPr>
            <w:tcW w:w="38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405.6</w:t>
            </w:r>
          </w:p>
        </w:tc>
        <w:tc>
          <w:tcPr>
            <w:tcW w:w="440" w:type="dxa"/>
            <w:vAlign w:val="bottom"/>
          </w:tcPr>
          <w:p>
            <w:pPr>
              <w:spacing w:after="0"/>
              <w:rPr>
                <w:sz w:val="14"/>
                <w:szCs w:val="14"/>
                <w:color w:val="auto"/>
              </w:rPr>
            </w:pPr>
          </w:p>
        </w:tc>
        <w:tc>
          <w:tcPr>
            <w:tcW w:w="9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398.4</w:t>
            </w:r>
          </w:p>
        </w:tc>
      </w:tr>
      <w:tr>
        <w:trPr>
          <w:trHeight w:val="170"/>
        </w:trPr>
        <w:tc>
          <w:tcPr>
            <w:tcW w:w="7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Retained earnings........................................................</w:t>
            </w:r>
          </w:p>
        </w:tc>
        <w:tc>
          <w:tcPr>
            <w:tcW w:w="34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327.9</w:t>
            </w:r>
          </w:p>
        </w:tc>
        <w:tc>
          <w:tcPr>
            <w:tcW w:w="38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248.0</w:t>
            </w:r>
          </w:p>
        </w:tc>
        <w:tc>
          <w:tcPr>
            <w:tcW w:w="440" w:type="dxa"/>
            <w:vAlign w:val="bottom"/>
          </w:tcPr>
          <w:p>
            <w:pPr>
              <w:spacing w:after="0"/>
              <w:rPr>
                <w:sz w:val="14"/>
                <w:szCs w:val="14"/>
                <w:color w:val="auto"/>
              </w:rPr>
            </w:pPr>
          </w:p>
        </w:tc>
        <w:tc>
          <w:tcPr>
            <w:tcW w:w="9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398.6</w:t>
            </w:r>
          </w:p>
        </w:tc>
      </w:tr>
      <w:tr>
        <w:trPr>
          <w:trHeight w:val="170"/>
        </w:trPr>
        <w:tc>
          <w:tcPr>
            <w:tcW w:w="7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Treasury stock, 0.0, 1.0, and 0.0 shares, respectively, at cost..........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(37.7)</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7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Accumulated other comprehensive loss.....................................</w:t>
            </w:r>
          </w:p>
        </w:tc>
        <w:tc>
          <w:tcPr>
            <w:tcW w:w="34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(61.5)</w:t>
            </w:r>
          </w:p>
        </w:tc>
        <w:tc>
          <w:tcPr>
            <w:tcW w:w="3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(58.7)</w:t>
            </w:r>
          </w:p>
        </w:tc>
        <w:tc>
          <w:tcPr>
            <w:tcW w:w="44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(60.8)</w:t>
            </w:r>
          </w:p>
        </w:tc>
      </w:tr>
      <w:tr>
        <w:trPr>
          <w:trHeight w:val="170"/>
        </w:trPr>
        <w:tc>
          <w:tcPr>
            <w:tcW w:w="724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rPr>
              <w:t>----------</w:t>
            </w:r>
          </w:p>
        </w:tc>
      </w:tr>
      <w:tr>
        <w:trPr>
          <w:trHeight w:val="170"/>
        </w:trPr>
        <w:tc>
          <w:tcPr>
            <w:tcW w:w="7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Total shareholders' equity............................................</w:t>
            </w:r>
          </w:p>
        </w:tc>
        <w:tc>
          <w:tcPr>
            <w:tcW w:w="34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666.4</w:t>
            </w:r>
          </w:p>
        </w:tc>
        <w:tc>
          <w:tcPr>
            <w:tcW w:w="38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551.3</w:t>
            </w:r>
          </w:p>
        </w:tc>
        <w:tc>
          <w:tcPr>
            <w:tcW w:w="440" w:type="dxa"/>
            <w:vAlign w:val="bottom"/>
          </w:tcPr>
          <w:p>
            <w:pPr>
              <w:spacing w:after="0"/>
              <w:rPr>
                <w:sz w:val="14"/>
                <w:szCs w:val="14"/>
                <w:color w:val="auto"/>
              </w:rPr>
            </w:pPr>
          </w:p>
        </w:tc>
        <w:tc>
          <w:tcPr>
            <w:tcW w:w="9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728.2</w:t>
            </w:r>
          </w:p>
        </w:tc>
      </w:tr>
      <w:tr>
        <w:trPr>
          <w:trHeight w:val="170"/>
        </w:trPr>
        <w:tc>
          <w:tcPr>
            <w:tcW w:w="7240" w:type="dxa"/>
            <w:vAlign w:val="bottom"/>
          </w:tcPr>
          <w:p>
            <w:pPr>
              <w:spacing w:after="0"/>
              <w:rPr>
                <w:sz w:val="14"/>
                <w:szCs w:val="14"/>
                <w:color w:val="auto"/>
              </w:rPr>
            </w:pPr>
          </w:p>
        </w:tc>
        <w:tc>
          <w:tcPr>
            <w:tcW w:w="12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rPr>
              <w:t>----------</w:t>
            </w:r>
          </w:p>
        </w:tc>
      </w:tr>
      <w:tr>
        <w:trPr>
          <w:trHeight w:val="170"/>
        </w:trPr>
        <w:tc>
          <w:tcPr>
            <w:tcW w:w="7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Total liabilities and shareholders' equity............................</w:t>
            </w: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5"/>
              </w:rPr>
              <w:t>2,015.3</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1,953.2</w:t>
            </w:r>
          </w:p>
        </w:tc>
        <w:tc>
          <w:tcPr>
            <w:tcW w:w="4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2,030.3</w:t>
            </w:r>
          </w:p>
        </w:tc>
      </w:tr>
      <w:tr>
        <w:trPr>
          <w:trHeight w:val="170"/>
        </w:trPr>
        <w:tc>
          <w:tcPr>
            <w:tcW w:w="7240" w:type="dxa"/>
            <w:vAlign w:val="bottom"/>
          </w:tcPr>
          <w:p>
            <w:pPr>
              <w:spacing w:after="0"/>
              <w:rPr>
                <w:sz w:val="14"/>
                <w:szCs w:val="14"/>
                <w:color w:val="auto"/>
              </w:rPr>
            </w:pPr>
          </w:p>
        </w:tc>
        <w:tc>
          <w:tcPr>
            <w:tcW w:w="12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4740"/>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360"/>
          </w:cols>
          <w:pgMar w:left="400" w:top="961" w:right="139" w:bottom="1440" w:gutter="0" w:footer="0" w:header="0"/>
        </w:sectPr>
      </w:pPr>
    </w:p>
    <w:bookmarkStart w:id="5" w:name="page6"/>
    <w:bookmarkEnd w:id="5"/>
    <w:p>
      <w:pPr>
        <w:ind w:left="350"/>
        <w:spacing w:after="0"/>
        <w:rPr>
          <w:sz w:val="20"/>
          <w:szCs w:val="20"/>
          <w:color w:val="auto"/>
        </w:rPr>
      </w:pPr>
      <w:r>
        <w:rPr>
          <w:rFonts w:ascii="Courier New" w:cs="Courier New" w:eastAsia="Courier New" w:hAnsi="Courier New"/>
          <w:sz w:val="15"/>
          <w:szCs w:val="15"/>
          <w:color w:val="auto"/>
        </w:rPr>
        <w:t>NOTES TO CONDENSED, CONSOLIDATED FINANCIAL STATEMENTS (UNAUDITED)</w:t>
      </w:r>
    </w:p>
    <w:p>
      <w:pPr>
        <w:spacing w:after="0" w:line="175" w:lineRule="exact"/>
        <w:rPr>
          <w:sz w:val="20"/>
          <w:szCs w:val="20"/>
          <w:color w:val="auto"/>
        </w:rPr>
      </w:pPr>
    </w:p>
    <w:p>
      <w:pPr>
        <w:ind w:left="350" w:right="6179" w:hanging="350"/>
        <w:spacing w:after="0" w:line="471" w:lineRule="auto"/>
        <w:tabs>
          <w:tab w:leader="none" w:pos="3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NATURE OF OPERATIONS</w:t>
      </w:r>
    </w:p>
    <w:p>
      <w:pPr>
        <w:spacing w:after="0" w:line="11" w:lineRule="exact"/>
        <w:rPr>
          <w:rFonts w:ascii="Courier New" w:cs="Courier New" w:eastAsia="Courier New" w:hAnsi="Courier New"/>
          <w:sz w:val="15"/>
          <w:szCs w:val="15"/>
          <w:color w:val="auto"/>
        </w:rPr>
      </w:pPr>
    </w:p>
    <w:p>
      <w:pPr>
        <w:ind w:left="3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Scotts Company and its subsidiaries (collectively "Scotts" or the "Company") are engaged in the manufacture, marketing and sale of lawn and garden care products. The Company's major customers include home improvement centers, mass merchandisers, large hardware chains, independent hardware stores, nurseries, garden centers, food and drug stores, commercial nurseries and greenhouses, and specialty crop growers. The Company's products are sold primarily in North America and the European Union. We also operate the Scotts LawnService(R) business which provides lawn and tree and shrub fertilization, insect control and other related services in the United States.</w:t>
      </w:r>
    </w:p>
    <w:p>
      <w:pPr>
        <w:spacing w:after="0" w:line="173" w:lineRule="exact"/>
        <w:rPr>
          <w:rFonts w:ascii="Courier New" w:cs="Courier New" w:eastAsia="Courier New" w:hAnsi="Courier New"/>
          <w:sz w:val="15"/>
          <w:szCs w:val="15"/>
          <w:color w:val="auto"/>
        </w:rPr>
      </w:pP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BASIS OF PRESENTATION</w:t>
      </w:r>
    </w:p>
    <w:p>
      <w:pPr>
        <w:spacing w:after="0" w:line="174" w:lineRule="exact"/>
        <w:rPr>
          <w:rFonts w:ascii="Courier New" w:cs="Courier New" w:eastAsia="Courier New" w:hAnsi="Courier New"/>
          <w:sz w:val="15"/>
          <w:szCs w:val="15"/>
          <w:color w:val="auto"/>
        </w:rPr>
      </w:pPr>
    </w:p>
    <w:p>
      <w:pPr>
        <w:ind w:left="3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condensed, consolidated financial statements are unaudited; however, in the opinion of management, are presented in accordance with accounting principles generally accepted in the United States of America. The condensed, consolidated financial statements include the accounts of The Scotts Company and all wholly-owned and majority-owned subsidiaries. All material intercompany transactions have been eliminated in consolidation. The Company's criteria for consolidating entities is based on majority ownership (as evidenced by a majority voting interest in the entity) and an objective evaluation and determination of effective management control. Interim results reflect all normal recurring adjustments and are not necessarily indicative of results for a full year. The interim financial statements and notes are presented as specified by Regulation S-X of the Securities and Exchange Commission, and should be read in conjunction with the financial statements and accompanying notes in The Scotts Company's fiscal 2003 Annual Report on Form 10-K.</w:t>
      </w:r>
    </w:p>
    <w:p>
      <w:pPr>
        <w:spacing w:after="0" w:line="179" w:lineRule="exact"/>
        <w:rPr>
          <w:rFonts w:ascii="Courier New" w:cs="Courier New" w:eastAsia="Courier New" w:hAnsi="Courier New"/>
          <w:sz w:val="15"/>
          <w:szCs w:val="15"/>
          <w:color w:val="auto"/>
        </w:rPr>
      </w:pP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ADVERTISING</w:t>
      </w:r>
    </w:p>
    <w:p>
      <w:pPr>
        <w:spacing w:after="0" w:line="174" w:lineRule="exact"/>
        <w:rPr>
          <w:rFonts w:ascii="Courier New" w:cs="Courier New" w:eastAsia="Courier New" w:hAnsi="Courier New"/>
          <w:sz w:val="15"/>
          <w:szCs w:val="15"/>
          <w:color w:val="auto"/>
        </w:rPr>
      </w:pPr>
    </w:p>
    <w:p>
      <w:pPr>
        <w:ind w:left="350" w:right="33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advertises its branded products through national and regional media. All advertising costs, except for external production costs, are expensed within the fiscal year in which such costs are incurred. External production costs for advertising programs are deferred until the period in which the advertising is first aired.</w:t>
      </w:r>
    </w:p>
    <w:p>
      <w:pPr>
        <w:spacing w:after="0" w:line="178" w:lineRule="exact"/>
        <w:rPr>
          <w:rFonts w:ascii="Courier New" w:cs="Courier New" w:eastAsia="Courier New" w:hAnsi="Courier New"/>
          <w:sz w:val="15"/>
          <w:szCs w:val="15"/>
          <w:color w:val="auto"/>
        </w:rPr>
      </w:pPr>
    </w:p>
    <w:p>
      <w:pPr>
        <w:ind w:left="3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Scotts LawnService(R) promotes its service offerings primarily through direct response mail campaigns. The external costs associated with these campaigns are deferred and recognized ratably and recorded as advertising expense in proportion to revenues over a period not in excess of one year. The costs deferred at December 27, 2003, December 28, 2002 and September 30, 2003 are $0.9 million, $0.6 million and $1.0 million, respectively.</w:t>
      </w:r>
    </w:p>
    <w:p>
      <w:pPr>
        <w:spacing w:after="0" w:line="169" w:lineRule="exact"/>
        <w:rPr>
          <w:rFonts w:ascii="Courier New" w:cs="Courier New" w:eastAsia="Courier New" w:hAnsi="Courier New"/>
          <w:sz w:val="15"/>
          <w:szCs w:val="15"/>
          <w:color w:val="auto"/>
        </w:rPr>
      </w:pP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STOCK-BASED COMPENSATION AWARDS</w:t>
      </w:r>
    </w:p>
    <w:p>
      <w:pPr>
        <w:spacing w:after="0" w:line="174" w:lineRule="exact"/>
        <w:rPr>
          <w:rFonts w:ascii="Courier New" w:cs="Courier New" w:eastAsia="Courier New" w:hAnsi="Courier New"/>
          <w:sz w:val="15"/>
          <w:szCs w:val="15"/>
          <w:color w:val="auto"/>
        </w:rPr>
      </w:pPr>
    </w:p>
    <w:p>
      <w:pPr>
        <w:ind w:left="350" w:right="32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Beginning in fiscal 2003, the Company began expensing prospective grants of employee stock-based compensation awards in accordance with Statement of Financial Accounting Standards No. 123, "Accounting for Stock-Based Compensation" as amended by Statement of Financial Accounting Standards No. 148, "Accounting for Stock-Based Compensation -- Transition and Disclosure -- an Amendment of SFAS No. 123". The fair value of future awards will be expensed ratably over the vesting period, which has historically been three years, except for grants to members of the Board of Directors, which have a six month vesting period.</w:t>
      </w:r>
    </w:p>
    <w:p>
      <w:pPr>
        <w:spacing w:after="0" w:line="179" w:lineRule="exact"/>
        <w:rPr>
          <w:sz w:val="20"/>
          <w:szCs w:val="20"/>
          <w:color w:val="auto"/>
        </w:rPr>
      </w:pPr>
    </w:p>
    <w:p>
      <w:pPr>
        <w:ind w:left="350" w:right="3259"/>
        <w:spacing w:after="0" w:line="237" w:lineRule="auto"/>
        <w:rPr>
          <w:sz w:val="20"/>
          <w:szCs w:val="20"/>
          <w:color w:val="auto"/>
        </w:rPr>
      </w:pPr>
      <w:r>
        <w:rPr>
          <w:rFonts w:ascii="Courier New" w:cs="Courier New" w:eastAsia="Courier New" w:hAnsi="Courier New"/>
          <w:sz w:val="15"/>
          <w:szCs w:val="15"/>
          <w:color w:val="auto"/>
        </w:rPr>
        <w:t>In the first quarter of fiscal 2004, the Company granted 44,000 options and 493,000 stock appreciation rights to officers and other key employees. The exercise price for the option awards and the stated price for the stock appreciation right awards were determined by the closing price of the Company's common shares on the date of grant.</w:t>
      </w:r>
    </w:p>
    <w:p>
      <w:pPr>
        <w:spacing w:after="0" w:line="178" w:lineRule="exact"/>
        <w:rPr>
          <w:sz w:val="20"/>
          <w:szCs w:val="20"/>
          <w:color w:val="auto"/>
        </w:rPr>
      </w:pPr>
    </w:p>
    <w:p>
      <w:pPr>
        <w:ind w:left="350" w:right="3179"/>
        <w:spacing w:after="0" w:line="238" w:lineRule="auto"/>
        <w:rPr>
          <w:sz w:val="20"/>
          <w:szCs w:val="20"/>
          <w:color w:val="auto"/>
        </w:rPr>
      </w:pPr>
      <w:r>
        <w:rPr>
          <w:rFonts w:ascii="Courier New" w:cs="Courier New" w:eastAsia="Courier New" w:hAnsi="Courier New"/>
          <w:sz w:val="15"/>
          <w:szCs w:val="15"/>
          <w:color w:val="auto"/>
        </w:rPr>
        <w:t>The Black-Scholes value of options granted in fiscal 2002 was $10.7 million. The Black-Scholes value of all stock-based compensation grants awarded during fiscal 2003 and thus far in fiscal 2004 was $13.1 million and $12.2 million, respectively. Had compensation expense been recognized for stock-based compensation awards granted in periods prior to fiscal 2003 in accordance with the recognition provisions of SFAS No. 123, the Company would have recorded net loss and net loss per share as follows:</w:t>
      </w:r>
    </w:p>
    <w:p>
      <w:pPr>
        <w:spacing w:after="0" w:line="17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9"/>
          </w:cols>
          <w:pgMar w:left="230" w:top="961" w:right="1440" w:bottom="1440" w:gutter="0" w:footer="0" w:header="0"/>
        </w:sectPr>
      </w:pPr>
    </w:p>
    <w:bookmarkStart w:id="6" w:name="page7"/>
    <w:bookmarkEnd w:id="6"/>
    <w:tbl>
      <w:tblPr>
        <w:tblLayout w:type="fixed"/>
        <w:tblInd w:w="260" w:type="dxa"/>
        <w:tblCellMar>
          <w:top w:w="0" w:type="dxa"/>
          <w:left w:w="0" w:type="dxa"/>
          <w:bottom w:w="0" w:type="dxa"/>
          <w:right w:w="0" w:type="dxa"/>
        </w:tblCellMar>
      </w:tblPr>
      <w:tr>
        <w:trPr>
          <w:trHeight w:val="170"/>
        </w:trPr>
        <w:tc>
          <w:tcPr>
            <w:tcW w:w="6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FOR THE THREE MONTHS ENDED</w:t>
            </w:r>
          </w:p>
        </w:tc>
      </w:tr>
      <w:tr>
        <w:trPr>
          <w:trHeight w:val="170"/>
        </w:trPr>
        <w:tc>
          <w:tcPr>
            <w:tcW w:w="6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tcPr>
          <w:p>
            <w:pPr>
              <w:jc w:val="right"/>
              <w:ind w:right="747"/>
              <w:spacing w:after="0"/>
              <w:rPr>
                <w:sz w:val="20"/>
                <w:szCs w:val="20"/>
                <w:color w:val="auto"/>
              </w:rPr>
            </w:pPr>
            <w:r>
              <w:rPr>
                <w:rFonts w:ascii="Courier New" w:cs="Courier New" w:eastAsia="Courier New" w:hAnsi="Courier New"/>
                <w:sz w:val="15"/>
                <w:szCs w:val="15"/>
                <w:color w:val="auto"/>
                <w:w w:val="96"/>
              </w:rPr>
              <w:t>DECEMBER 27,</w:t>
            </w:r>
          </w:p>
        </w:tc>
        <w:tc>
          <w:tcPr>
            <w:tcW w:w="112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6"/>
              </w:rPr>
              <w:t>DECEMBER 28,</w:t>
            </w:r>
          </w:p>
        </w:tc>
      </w:tr>
      <w:tr>
        <w:trPr>
          <w:trHeight w:val="170"/>
        </w:trPr>
        <w:tc>
          <w:tcPr>
            <w:tcW w:w="6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tcPr>
          <w:p>
            <w:pPr>
              <w:jc w:val="right"/>
              <w:ind w:right="1187"/>
              <w:spacing w:after="0"/>
              <w:rPr>
                <w:sz w:val="20"/>
                <w:szCs w:val="20"/>
                <w:color w:val="auto"/>
              </w:rPr>
            </w:pPr>
            <w:r>
              <w:rPr>
                <w:rFonts w:ascii="Courier New" w:cs="Courier New" w:eastAsia="Courier New" w:hAnsi="Courier New"/>
                <w:sz w:val="15"/>
                <w:szCs w:val="15"/>
                <w:color w:val="auto"/>
              </w:rPr>
              <w:t>2003</w:t>
            </w:r>
          </w:p>
        </w:tc>
        <w:tc>
          <w:tcPr>
            <w:tcW w:w="220" w:type="dxa"/>
            <w:vAlign w:val="bottom"/>
          </w:tcPr>
          <w:p>
            <w:pPr>
              <w:spacing w:after="0"/>
              <w:rPr>
                <w:sz w:val="14"/>
                <w:szCs w:val="14"/>
                <w:color w:val="auto"/>
              </w:rPr>
            </w:pPr>
          </w:p>
        </w:tc>
        <w:tc>
          <w:tcPr>
            <w:tcW w:w="9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2002</w:t>
            </w:r>
          </w:p>
        </w:tc>
      </w:tr>
      <w:tr>
        <w:trPr>
          <w:trHeight w:val="170"/>
        </w:trPr>
        <w:tc>
          <w:tcPr>
            <w:tcW w:w="6360" w:type="dxa"/>
            <w:vAlign w:val="bottom"/>
          </w:tcPr>
          <w:p>
            <w:pPr>
              <w:spacing w:after="0"/>
              <w:rPr>
                <w:sz w:val="14"/>
                <w:szCs w:val="14"/>
                <w:color w:val="auto"/>
              </w:rPr>
            </w:pPr>
          </w:p>
        </w:tc>
        <w:tc>
          <w:tcPr>
            <w:tcW w:w="2320" w:type="dxa"/>
            <w:vAlign w:val="bottom"/>
            <w:gridSpan w:val="2"/>
          </w:tcPr>
          <w:p>
            <w:pPr>
              <w:jc w:val="right"/>
              <w:ind w:right="102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6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 MILLIONS,</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6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0" w:type="dxa"/>
            <w:vAlign w:val="bottom"/>
            <w:gridSpan w:val="3"/>
          </w:tcPr>
          <w:p>
            <w:pPr>
              <w:jc w:val="right"/>
              <w:ind w:right="467"/>
              <w:spacing w:after="0"/>
              <w:rPr>
                <w:sz w:val="20"/>
                <w:szCs w:val="20"/>
                <w:color w:val="auto"/>
              </w:rPr>
            </w:pPr>
            <w:r>
              <w:rPr>
                <w:rFonts w:ascii="Courier New" w:cs="Courier New" w:eastAsia="Courier New" w:hAnsi="Courier New"/>
                <w:sz w:val="15"/>
                <w:szCs w:val="15"/>
                <w:color w:val="auto"/>
              </w:rPr>
              <w:t>EXCEPT PER SHARE DATA)</w:t>
            </w:r>
          </w:p>
        </w:tc>
      </w:tr>
      <w:tr>
        <w:trPr>
          <w:trHeight w:val="339"/>
        </w:trPr>
        <w:tc>
          <w:tcPr>
            <w:tcW w:w="63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440" w:type="dxa"/>
            <w:vAlign w:val="bottom"/>
          </w:tcPr>
          <w:p>
            <w:pPr>
              <w:ind w:left="340"/>
              <w:spacing w:after="0"/>
              <w:rPr>
                <w:sz w:val="20"/>
                <w:szCs w:val="20"/>
                <w:color w:val="auto"/>
              </w:rPr>
            </w:pPr>
            <w:r>
              <w:rPr>
                <w:rFonts w:ascii="Courier New" w:cs="Courier New" w:eastAsia="Courier New" w:hAnsi="Courier New"/>
                <w:sz w:val="15"/>
                <w:szCs w:val="15"/>
                <w:color w:val="auto"/>
                <w:w w:val="88"/>
              </w:rPr>
              <w:t>$</w:t>
            </w:r>
          </w:p>
        </w:tc>
        <w:tc>
          <w:tcPr>
            <w:tcW w:w="1880" w:type="dxa"/>
            <w:vAlign w:val="bottom"/>
          </w:tcPr>
          <w:p>
            <w:pPr>
              <w:jc w:val="right"/>
              <w:ind w:right="927"/>
              <w:spacing w:after="0"/>
              <w:rPr>
                <w:sz w:val="20"/>
                <w:szCs w:val="20"/>
                <w:color w:val="auto"/>
              </w:rPr>
            </w:pPr>
            <w:r>
              <w:rPr>
                <w:rFonts w:ascii="Courier New" w:cs="Courier New" w:eastAsia="Courier New" w:hAnsi="Courier New"/>
                <w:sz w:val="15"/>
                <w:szCs w:val="15"/>
                <w:color w:val="auto"/>
              </w:rPr>
              <w:t>(70.7)</w:t>
            </w:r>
          </w:p>
        </w:tc>
        <w:tc>
          <w:tcPr>
            <w:tcW w:w="2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(46.8)</w:t>
            </w:r>
          </w:p>
        </w:tc>
      </w:tr>
      <w:tr>
        <w:trPr>
          <w:trHeight w:val="170"/>
        </w:trPr>
        <w:tc>
          <w:tcPr>
            <w:tcW w:w="6360" w:type="dxa"/>
            <w:vAlign w:val="bottom"/>
          </w:tcPr>
          <w:p>
            <w:pPr>
              <w:spacing w:after="0"/>
              <w:rPr>
                <w:sz w:val="20"/>
                <w:szCs w:val="20"/>
                <w:color w:val="auto"/>
              </w:rPr>
            </w:pPr>
            <w:r>
              <w:rPr>
                <w:rFonts w:ascii="Courier New" w:cs="Courier New" w:eastAsia="Courier New" w:hAnsi="Courier New"/>
                <w:sz w:val="15"/>
                <w:szCs w:val="15"/>
                <w:color w:val="auto"/>
              </w:rPr>
              <w:t>Stock-based compensation expense included in reported net loss, net</w:t>
            </w:r>
          </w:p>
        </w:tc>
        <w:tc>
          <w:tcPr>
            <w:tcW w:w="4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6360" w:type="dxa"/>
            <w:vAlign w:val="bottom"/>
          </w:tcPr>
          <w:p>
            <w:pPr>
              <w:spacing w:after="0"/>
              <w:rPr>
                <w:sz w:val="20"/>
                <w:szCs w:val="20"/>
                <w:color w:val="auto"/>
              </w:rPr>
            </w:pPr>
            <w:r>
              <w:rPr>
                <w:rFonts w:ascii="Courier New" w:cs="Courier New" w:eastAsia="Courier New" w:hAnsi="Courier New"/>
                <w:sz w:val="15"/>
                <w:szCs w:val="15"/>
                <w:color w:val="auto"/>
              </w:rPr>
              <w:t>of tax</w:t>
            </w:r>
          </w:p>
        </w:tc>
        <w:tc>
          <w:tcPr>
            <w:tcW w:w="440" w:type="dxa"/>
            <w:vAlign w:val="bottom"/>
          </w:tcPr>
          <w:p>
            <w:pPr>
              <w:spacing w:after="0"/>
              <w:rPr>
                <w:sz w:val="14"/>
                <w:szCs w:val="14"/>
                <w:color w:val="auto"/>
              </w:rPr>
            </w:pPr>
          </w:p>
        </w:tc>
        <w:tc>
          <w:tcPr>
            <w:tcW w:w="188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0.8</w:t>
            </w:r>
          </w:p>
        </w:tc>
        <w:tc>
          <w:tcPr>
            <w:tcW w:w="220" w:type="dxa"/>
            <w:vAlign w:val="bottom"/>
          </w:tcPr>
          <w:p>
            <w:pPr>
              <w:spacing w:after="0"/>
              <w:rPr>
                <w:sz w:val="14"/>
                <w:szCs w:val="14"/>
                <w:color w:val="auto"/>
              </w:rPr>
            </w:pP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0.2</w:t>
            </w:r>
          </w:p>
        </w:tc>
      </w:tr>
      <w:tr>
        <w:trPr>
          <w:trHeight w:val="170"/>
        </w:trPr>
        <w:tc>
          <w:tcPr>
            <w:tcW w:w="6360" w:type="dxa"/>
            <w:vAlign w:val="bottom"/>
          </w:tcPr>
          <w:p>
            <w:pPr>
              <w:spacing w:after="0"/>
              <w:rPr>
                <w:sz w:val="20"/>
                <w:szCs w:val="20"/>
                <w:color w:val="auto"/>
              </w:rPr>
            </w:pPr>
            <w:r>
              <w:rPr>
                <w:rFonts w:ascii="Courier New" w:cs="Courier New" w:eastAsia="Courier New" w:hAnsi="Courier New"/>
                <w:sz w:val="15"/>
                <w:szCs w:val="15"/>
                <w:color w:val="auto"/>
              </w:rPr>
              <w:t>Total stock-based employee compensation expense determined under fair</w:t>
            </w:r>
          </w:p>
        </w:tc>
        <w:tc>
          <w:tcPr>
            <w:tcW w:w="4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6360" w:type="dxa"/>
            <w:vAlign w:val="bottom"/>
          </w:tcPr>
          <w:p>
            <w:pPr>
              <w:spacing w:after="0"/>
              <w:rPr>
                <w:sz w:val="20"/>
                <w:szCs w:val="20"/>
                <w:color w:val="auto"/>
              </w:rPr>
            </w:pPr>
            <w:r>
              <w:rPr>
                <w:rFonts w:ascii="Courier New" w:cs="Courier New" w:eastAsia="Courier New" w:hAnsi="Courier New"/>
                <w:sz w:val="15"/>
                <w:szCs w:val="15"/>
                <w:color w:val="auto"/>
              </w:rPr>
              <w:t>value based method for all awards, net of tax</w:t>
            </w:r>
          </w:p>
        </w:tc>
        <w:tc>
          <w:tcPr>
            <w:tcW w:w="440" w:type="dxa"/>
            <w:vAlign w:val="bottom"/>
          </w:tcPr>
          <w:p>
            <w:pPr>
              <w:spacing w:after="0"/>
              <w:rPr>
                <w:sz w:val="14"/>
                <w:szCs w:val="14"/>
                <w:color w:val="auto"/>
              </w:rPr>
            </w:pPr>
          </w:p>
        </w:tc>
        <w:tc>
          <w:tcPr>
            <w:tcW w:w="1880" w:type="dxa"/>
            <w:vAlign w:val="bottom"/>
          </w:tcPr>
          <w:p>
            <w:pPr>
              <w:jc w:val="right"/>
              <w:ind w:right="927"/>
              <w:spacing w:after="0"/>
              <w:rPr>
                <w:sz w:val="20"/>
                <w:szCs w:val="20"/>
                <w:color w:val="auto"/>
              </w:rPr>
            </w:pPr>
            <w:r>
              <w:rPr>
                <w:rFonts w:ascii="Courier New" w:cs="Courier New" w:eastAsia="Courier New" w:hAnsi="Courier New"/>
                <w:sz w:val="15"/>
                <w:szCs w:val="15"/>
                <w:color w:val="auto"/>
              </w:rPr>
              <w:t>(1.3)</w:t>
            </w:r>
          </w:p>
        </w:tc>
        <w:tc>
          <w:tcPr>
            <w:tcW w:w="22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w:t>
            </w:r>
          </w:p>
        </w:tc>
      </w:tr>
      <w:tr>
        <w:trPr>
          <w:trHeight w:val="170"/>
        </w:trPr>
        <w:tc>
          <w:tcPr>
            <w:tcW w:w="6360" w:type="dxa"/>
            <w:vAlign w:val="bottom"/>
          </w:tcPr>
          <w:p>
            <w:pPr>
              <w:spacing w:after="0"/>
              <w:rPr>
                <w:sz w:val="14"/>
                <w:szCs w:val="14"/>
                <w:color w:val="auto"/>
              </w:rPr>
            </w:pPr>
          </w:p>
        </w:tc>
        <w:tc>
          <w:tcPr>
            <w:tcW w:w="2320" w:type="dxa"/>
            <w:vAlign w:val="bottom"/>
            <w:gridSpan w:val="2"/>
          </w:tcPr>
          <w:p>
            <w:pPr>
              <w:jc w:val="right"/>
              <w:ind w:right="102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360" w:type="dxa"/>
            <w:vAlign w:val="bottom"/>
          </w:tcPr>
          <w:p>
            <w:pPr>
              <w:spacing w:after="0"/>
              <w:rPr>
                <w:sz w:val="20"/>
                <w:szCs w:val="20"/>
                <w:color w:val="auto"/>
              </w:rPr>
            </w:pPr>
            <w:r>
              <w:rPr>
                <w:rFonts w:ascii="Courier New" w:cs="Courier New" w:eastAsia="Courier New" w:hAnsi="Courier New"/>
                <w:sz w:val="15"/>
                <w:szCs w:val="15"/>
                <w:color w:val="auto"/>
              </w:rPr>
              <w:t>Net loss as adjusted</w:t>
            </w:r>
          </w:p>
        </w:tc>
        <w:tc>
          <w:tcPr>
            <w:tcW w:w="440" w:type="dxa"/>
            <w:vAlign w:val="bottom"/>
          </w:tcPr>
          <w:p>
            <w:pPr>
              <w:ind w:left="340"/>
              <w:spacing w:after="0"/>
              <w:rPr>
                <w:sz w:val="20"/>
                <w:szCs w:val="20"/>
                <w:color w:val="auto"/>
              </w:rPr>
            </w:pPr>
            <w:r>
              <w:rPr>
                <w:rFonts w:ascii="Courier New" w:cs="Courier New" w:eastAsia="Courier New" w:hAnsi="Courier New"/>
                <w:sz w:val="15"/>
                <w:szCs w:val="15"/>
                <w:color w:val="auto"/>
                <w:w w:val="88"/>
              </w:rPr>
              <w:t>$</w:t>
            </w:r>
          </w:p>
        </w:tc>
        <w:tc>
          <w:tcPr>
            <w:tcW w:w="1880" w:type="dxa"/>
            <w:vAlign w:val="bottom"/>
          </w:tcPr>
          <w:p>
            <w:pPr>
              <w:jc w:val="right"/>
              <w:ind w:right="927"/>
              <w:spacing w:after="0"/>
              <w:rPr>
                <w:sz w:val="20"/>
                <w:szCs w:val="20"/>
                <w:color w:val="auto"/>
              </w:rPr>
            </w:pPr>
            <w:r>
              <w:rPr>
                <w:rFonts w:ascii="Courier New" w:cs="Courier New" w:eastAsia="Courier New" w:hAnsi="Courier New"/>
                <w:sz w:val="15"/>
                <w:szCs w:val="15"/>
                <w:color w:val="auto"/>
              </w:rPr>
              <w:t>(71.2)</w:t>
            </w:r>
          </w:p>
        </w:tc>
        <w:tc>
          <w:tcPr>
            <w:tcW w:w="2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(47.8)</w:t>
            </w:r>
          </w:p>
        </w:tc>
      </w:tr>
      <w:tr>
        <w:trPr>
          <w:trHeight w:val="170"/>
        </w:trPr>
        <w:tc>
          <w:tcPr>
            <w:tcW w:w="6360" w:type="dxa"/>
            <w:vAlign w:val="bottom"/>
          </w:tcPr>
          <w:p>
            <w:pPr>
              <w:spacing w:after="0"/>
              <w:rPr>
                <w:sz w:val="14"/>
                <w:szCs w:val="14"/>
                <w:color w:val="auto"/>
              </w:rPr>
            </w:pPr>
          </w:p>
        </w:tc>
        <w:tc>
          <w:tcPr>
            <w:tcW w:w="23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360" w:type="dxa"/>
            <w:vAlign w:val="bottom"/>
          </w:tcPr>
          <w:p>
            <w:pPr>
              <w:spacing w:after="0"/>
              <w:rPr>
                <w:sz w:val="20"/>
                <w:szCs w:val="20"/>
                <w:color w:val="auto"/>
              </w:rPr>
            </w:pPr>
            <w:r>
              <w:rPr>
                <w:rFonts w:ascii="Courier New" w:cs="Courier New" w:eastAsia="Courier New" w:hAnsi="Courier New"/>
                <w:sz w:val="15"/>
                <w:szCs w:val="15"/>
                <w:color w:val="auto"/>
              </w:rPr>
              <w:t>Net loss per share:</w:t>
            </w:r>
          </w:p>
        </w:tc>
        <w:tc>
          <w:tcPr>
            <w:tcW w:w="4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636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440" w:type="dxa"/>
            <w:vAlign w:val="bottom"/>
          </w:tcPr>
          <w:p>
            <w:pPr>
              <w:ind w:left="340"/>
              <w:spacing w:after="0"/>
              <w:rPr>
                <w:sz w:val="20"/>
                <w:szCs w:val="20"/>
                <w:color w:val="auto"/>
              </w:rPr>
            </w:pPr>
            <w:r>
              <w:rPr>
                <w:rFonts w:ascii="Courier New" w:cs="Courier New" w:eastAsia="Courier New" w:hAnsi="Courier New"/>
                <w:sz w:val="15"/>
                <w:szCs w:val="15"/>
                <w:color w:val="auto"/>
                <w:w w:val="88"/>
              </w:rPr>
              <w:t>$</w:t>
            </w:r>
          </w:p>
        </w:tc>
        <w:tc>
          <w:tcPr>
            <w:tcW w:w="1880" w:type="dxa"/>
            <w:vAlign w:val="bottom"/>
          </w:tcPr>
          <w:p>
            <w:pPr>
              <w:jc w:val="right"/>
              <w:ind w:right="927"/>
              <w:spacing w:after="0"/>
              <w:rPr>
                <w:sz w:val="20"/>
                <w:szCs w:val="20"/>
                <w:color w:val="auto"/>
              </w:rPr>
            </w:pPr>
            <w:r>
              <w:rPr>
                <w:rFonts w:ascii="Courier New" w:cs="Courier New" w:eastAsia="Courier New" w:hAnsi="Courier New"/>
                <w:sz w:val="15"/>
                <w:szCs w:val="15"/>
                <w:color w:val="auto"/>
              </w:rPr>
              <w:t>(2.21)</w:t>
            </w:r>
          </w:p>
        </w:tc>
        <w:tc>
          <w:tcPr>
            <w:tcW w:w="2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(1.55)</w:t>
            </w:r>
          </w:p>
        </w:tc>
      </w:tr>
      <w:tr>
        <w:trPr>
          <w:trHeight w:val="170"/>
        </w:trPr>
        <w:tc>
          <w:tcPr>
            <w:tcW w:w="636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440" w:type="dxa"/>
            <w:vAlign w:val="bottom"/>
          </w:tcPr>
          <w:p>
            <w:pPr>
              <w:ind w:left="340"/>
              <w:spacing w:after="0"/>
              <w:rPr>
                <w:sz w:val="20"/>
                <w:szCs w:val="20"/>
                <w:color w:val="auto"/>
              </w:rPr>
            </w:pPr>
            <w:r>
              <w:rPr>
                <w:rFonts w:ascii="Courier New" w:cs="Courier New" w:eastAsia="Courier New" w:hAnsi="Courier New"/>
                <w:sz w:val="15"/>
                <w:szCs w:val="15"/>
                <w:color w:val="auto"/>
                <w:w w:val="88"/>
              </w:rPr>
              <w:t>$</w:t>
            </w:r>
          </w:p>
        </w:tc>
        <w:tc>
          <w:tcPr>
            <w:tcW w:w="1880" w:type="dxa"/>
            <w:vAlign w:val="bottom"/>
          </w:tcPr>
          <w:p>
            <w:pPr>
              <w:jc w:val="right"/>
              <w:ind w:right="927"/>
              <w:spacing w:after="0"/>
              <w:rPr>
                <w:sz w:val="20"/>
                <w:szCs w:val="20"/>
                <w:color w:val="auto"/>
              </w:rPr>
            </w:pPr>
            <w:r>
              <w:rPr>
                <w:rFonts w:ascii="Courier New" w:cs="Courier New" w:eastAsia="Courier New" w:hAnsi="Courier New"/>
                <w:sz w:val="15"/>
                <w:szCs w:val="15"/>
                <w:color w:val="auto"/>
              </w:rPr>
              <w:t>(2.21)</w:t>
            </w:r>
          </w:p>
        </w:tc>
        <w:tc>
          <w:tcPr>
            <w:tcW w:w="2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(1.55)</w:t>
            </w:r>
          </w:p>
        </w:tc>
      </w:tr>
      <w:tr>
        <w:trPr>
          <w:trHeight w:val="170"/>
        </w:trPr>
        <w:tc>
          <w:tcPr>
            <w:tcW w:w="6360" w:type="dxa"/>
            <w:vAlign w:val="bottom"/>
          </w:tcPr>
          <w:p>
            <w:pPr>
              <w:spacing w:after="0"/>
              <w:rPr>
                <w:sz w:val="20"/>
                <w:szCs w:val="20"/>
                <w:color w:val="auto"/>
              </w:rPr>
            </w:pPr>
            <w:r>
              <w:rPr>
                <w:rFonts w:ascii="Courier New" w:cs="Courier New" w:eastAsia="Courier New" w:hAnsi="Courier New"/>
                <w:sz w:val="15"/>
                <w:szCs w:val="15"/>
                <w:color w:val="auto"/>
              </w:rPr>
              <w:t>Net loss per share, as adjusted:</w:t>
            </w:r>
          </w:p>
        </w:tc>
        <w:tc>
          <w:tcPr>
            <w:tcW w:w="4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636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440" w:type="dxa"/>
            <w:vAlign w:val="bottom"/>
          </w:tcPr>
          <w:p>
            <w:pPr>
              <w:ind w:left="340"/>
              <w:spacing w:after="0"/>
              <w:rPr>
                <w:sz w:val="20"/>
                <w:szCs w:val="20"/>
                <w:color w:val="auto"/>
              </w:rPr>
            </w:pPr>
            <w:r>
              <w:rPr>
                <w:rFonts w:ascii="Courier New" w:cs="Courier New" w:eastAsia="Courier New" w:hAnsi="Courier New"/>
                <w:sz w:val="15"/>
                <w:szCs w:val="15"/>
                <w:color w:val="auto"/>
                <w:w w:val="88"/>
              </w:rPr>
              <w:t>$</w:t>
            </w:r>
          </w:p>
        </w:tc>
        <w:tc>
          <w:tcPr>
            <w:tcW w:w="1880" w:type="dxa"/>
            <w:vAlign w:val="bottom"/>
          </w:tcPr>
          <w:p>
            <w:pPr>
              <w:jc w:val="right"/>
              <w:ind w:right="927"/>
              <w:spacing w:after="0"/>
              <w:rPr>
                <w:sz w:val="20"/>
                <w:szCs w:val="20"/>
                <w:color w:val="auto"/>
              </w:rPr>
            </w:pPr>
            <w:r>
              <w:rPr>
                <w:rFonts w:ascii="Courier New" w:cs="Courier New" w:eastAsia="Courier New" w:hAnsi="Courier New"/>
                <w:sz w:val="15"/>
                <w:szCs w:val="15"/>
                <w:color w:val="auto"/>
              </w:rPr>
              <w:t>(2.23)</w:t>
            </w:r>
          </w:p>
        </w:tc>
        <w:tc>
          <w:tcPr>
            <w:tcW w:w="2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(1.58)</w:t>
            </w:r>
          </w:p>
        </w:tc>
      </w:tr>
      <w:tr>
        <w:trPr>
          <w:trHeight w:val="170"/>
        </w:trPr>
        <w:tc>
          <w:tcPr>
            <w:tcW w:w="636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440" w:type="dxa"/>
            <w:vAlign w:val="bottom"/>
          </w:tcPr>
          <w:p>
            <w:pPr>
              <w:ind w:left="340"/>
              <w:spacing w:after="0"/>
              <w:rPr>
                <w:sz w:val="20"/>
                <w:szCs w:val="20"/>
                <w:color w:val="auto"/>
              </w:rPr>
            </w:pPr>
            <w:r>
              <w:rPr>
                <w:rFonts w:ascii="Courier New" w:cs="Courier New" w:eastAsia="Courier New" w:hAnsi="Courier New"/>
                <w:sz w:val="15"/>
                <w:szCs w:val="15"/>
                <w:color w:val="auto"/>
                <w:w w:val="88"/>
              </w:rPr>
              <w:t>$</w:t>
            </w:r>
          </w:p>
        </w:tc>
        <w:tc>
          <w:tcPr>
            <w:tcW w:w="1880" w:type="dxa"/>
            <w:vAlign w:val="bottom"/>
          </w:tcPr>
          <w:p>
            <w:pPr>
              <w:jc w:val="right"/>
              <w:ind w:right="927"/>
              <w:spacing w:after="0"/>
              <w:rPr>
                <w:sz w:val="20"/>
                <w:szCs w:val="20"/>
                <w:color w:val="auto"/>
              </w:rPr>
            </w:pPr>
            <w:r>
              <w:rPr>
                <w:rFonts w:ascii="Courier New" w:cs="Courier New" w:eastAsia="Courier New" w:hAnsi="Courier New"/>
                <w:sz w:val="15"/>
                <w:szCs w:val="15"/>
                <w:color w:val="auto"/>
              </w:rPr>
              <w:t>(2.23)</w:t>
            </w:r>
          </w:p>
        </w:tc>
        <w:tc>
          <w:tcPr>
            <w:tcW w:w="2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(1.58)</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440"/>
        <w:spacing w:after="0" w:line="235" w:lineRule="auto"/>
        <w:rPr>
          <w:sz w:val="20"/>
          <w:szCs w:val="20"/>
          <w:color w:val="auto"/>
        </w:rPr>
      </w:pPr>
      <w:r>
        <w:rPr>
          <w:rFonts w:ascii="Courier New" w:cs="Courier New" w:eastAsia="Courier New" w:hAnsi="Courier New"/>
          <w:sz w:val="15"/>
          <w:szCs w:val="15"/>
          <w:color w:val="auto"/>
        </w:rPr>
        <w:t>The pro forma amounts shown above are not necessarily representative of the impact on net income/loss in future periods.</w:t>
      </w:r>
    </w:p>
    <w:p>
      <w:pPr>
        <w:spacing w:after="0" w:line="176" w:lineRule="exact"/>
        <w:rPr>
          <w:sz w:val="20"/>
          <w:szCs w:val="20"/>
          <w:color w:val="auto"/>
        </w:rPr>
      </w:pPr>
    </w:p>
    <w:p>
      <w:pPr>
        <w:ind w:right="3440"/>
        <w:spacing w:after="0" w:line="237" w:lineRule="auto"/>
        <w:rPr>
          <w:sz w:val="20"/>
          <w:szCs w:val="20"/>
          <w:color w:val="auto"/>
        </w:rPr>
      </w:pPr>
      <w:r>
        <w:rPr>
          <w:rFonts w:ascii="Courier New" w:cs="Courier New" w:eastAsia="Courier New" w:hAnsi="Courier New"/>
          <w:sz w:val="15"/>
          <w:szCs w:val="15"/>
          <w:color w:val="auto"/>
        </w:rPr>
        <w:t>Prior to fiscal 2003, the Company accounted for stock options under APB 25, "Accounting for Stock Issued to Employees" and, as allowable, adopted only the disclosure provisions of SFAS No. 123.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LONG-LIVED ASSETS</w:t>
      </w:r>
    </w:p>
    <w:p>
      <w:pPr>
        <w:spacing w:after="0" w:line="175" w:lineRule="exact"/>
        <w:rPr>
          <w:sz w:val="20"/>
          <w:szCs w:val="20"/>
          <w:color w:val="auto"/>
        </w:rPr>
      </w:pPr>
    </w:p>
    <w:p>
      <w:pPr>
        <w:ind w:right="3440"/>
        <w:spacing w:after="0" w:line="238" w:lineRule="auto"/>
        <w:rPr>
          <w:sz w:val="20"/>
          <w:szCs w:val="20"/>
          <w:color w:val="auto"/>
        </w:rPr>
      </w:pPr>
      <w:r>
        <w:rPr>
          <w:rFonts w:ascii="Courier New" w:cs="Courier New" w:eastAsia="Courier New" w:hAnsi="Courier New"/>
          <w:sz w:val="15"/>
          <w:szCs w:val="15"/>
          <w:color w:val="auto"/>
        </w:rPr>
        <w:t>Management assesses the recoverability of property and equipment whenever events or changes in circumstances indicate that the carrying amount of an asset may not be recoverable from its future undiscounted cash flows. If it is determined that an impairment has occurred, an impairment loss is recognized for the amount by which the carrying amount of the asset exceeds its estimated fair value.</w:t>
      </w:r>
    </w:p>
    <w:p>
      <w:pPr>
        <w:spacing w:after="0" w:line="176" w:lineRule="exact"/>
        <w:rPr>
          <w:sz w:val="20"/>
          <w:szCs w:val="20"/>
          <w:color w:val="auto"/>
        </w:rPr>
      </w:pPr>
    </w:p>
    <w:p>
      <w:pPr>
        <w:ind w:right="3360"/>
        <w:spacing w:after="0" w:line="238" w:lineRule="auto"/>
        <w:rPr>
          <w:sz w:val="20"/>
          <w:szCs w:val="20"/>
          <w:color w:val="auto"/>
        </w:rPr>
      </w:pPr>
      <w:r>
        <w:rPr>
          <w:rFonts w:ascii="Courier New" w:cs="Courier New" w:eastAsia="Courier New" w:hAnsi="Courier New"/>
          <w:sz w:val="15"/>
          <w:szCs w:val="15"/>
          <w:color w:val="auto"/>
        </w:rPr>
        <w:t>Management also assesses the recoverability of goodwill, tradenames and other intangible assets whenever events or changes in circumstances indicate that the carrying amount of an asset may not be recoverable from its discounted future cash flows. Goodwill and unamortizable intangible assets are reviewed for impairment at least annually during the first fiscal quarter. If it is determined that an impairment of intangible assets has occurred, an impairment loss is recognized for the amount by which the carrying value of the asset exceeds its estimated fair value. No impairment charges were recorded during the first quarter of fiscal 2004 or during fiscal 2003.</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 PER COMMON SHARE</w:t>
      </w:r>
    </w:p>
    <w:p>
      <w:pPr>
        <w:spacing w:after="0" w:line="175" w:lineRule="exact"/>
        <w:rPr>
          <w:sz w:val="20"/>
          <w:szCs w:val="20"/>
          <w:color w:val="auto"/>
        </w:rPr>
      </w:pPr>
    </w:p>
    <w:p>
      <w:pPr>
        <w:ind w:right="3360"/>
        <w:spacing w:after="0" w:line="257" w:lineRule="auto"/>
        <w:rPr>
          <w:sz w:val="20"/>
          <w:szCs w:val="20"/>
          <w:color w:val="auto"/>
        </w:rPr>
      </w:pPr>
      <w:r>
        <w:rPr>
          <w:rFonts w:ascii="Courier New" w:cs="Courier New" w:eastAsia="Courier New" w:hAnsi="Courier New"/>
          <w:sz w:val="14"/>
          <w:szCs w:val="14"/>
          <w:color w:val="auto"/>
        </w:rPr>
        <w:t>Basic earnings per common share are computed by dividing net income by the weighted average number of common shares outstanding. Diluted earnings per common share is calculated including common stock equivalents pertaining to options and warrants where the exercise price was less than the average market price of the common shares. Because of the first quarter loss, common stock equivalents were not included in the calculation of diluted earnings per share because to do so would have been anti-dilutive. These common stock equivalents equate to 0.8 million and 1.7 million shares of common stock for the periods ending December 27, 2003 and December 28, 2002, respectively.</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5" w:lineRule="exact"/>
        <w:rPr>
          <w:sz w:val="20"/>
          <w:szCs w:val="20"/>
          <w:color w:val="auto"/>
        </w:rPr>
      </w:pPr>
    </w:p>
    <w:p>
      <w:pPr>
        <w:ind w:right="3720"/>
        <w:spacing w:after="0" w:line="238" w:lineRule="auto"/>
        <w:rPr>
          <w:sz w:val="20"/>
          <w:szCs w:val="20"/>
          <w:color w:val="auto"/>
        </w:rPr>
      </w:pPr>
      <w:r>
        <w:rPr>
          <w:rFonts w:ascii="Courier New" w:cs="Courier New" w:eastAsia="Courier New" w:hAnsi="Courier New"/>
          <w:sz w:val="15"/>
          <w:szCs w:val="15"/>
          <w:color w:val="auto"/>
        </w:rPr>
        <w:t>The preparation of financial statements in conformity with accounting principles generally accepted in the United States of America requires management to make estimates and assumptions that affect the amounts reported in the consolidated financial statements and accompanying disclosures. Although these estimates are based on management's best knowledge of current events and actions the Company may undertake in the future, actual results ultimately may differ from the estimates.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RECLASSIFICATIONS</w:t>
      </w:r>
    </w:p>
    <w:p>
      <w:pPr>
        <w:spacing w:after="0" w:line="175" w:lineRule="exact"/>
        <w:rPr>
          <w:sz w:val="20"/>
          <w:szCs w:val="20"/>
          <w:color w:val="auto"/>
        </w:rPr>
      </w:pPr>
    </w:p>
    <w:p>
      <w:pPr>
        <w:ind w:right="4060"/>
        <w:spacing w:after="0" w:line="235" w:lineRule="auto"/>
        <w:rPr>
          <w:sz w:val="20"/>
          <w:szCs w:val="20"/>
          <w:color w:val="auto"/>
        </w:rPr>
      </w:pPr>
      <w:r>
        <w:rPr>
          <w:rFonts w:ascii="Courier New" w:cs="Courier New" w:eastAsia="Courier New" w:hAnsi="Courier New"/>
          <w:sz w:val="15"/>
          <w:szCs w:val="15"/>
          <w:color w:val="auto"/>
        </w:rPr>
        <w:t>Certain reclassifications have been made in prior periods' financial statements to conform to fiscal 2004 classifications.</w:t>
      </w:r>
    </w:p>
    <w:p>
      <w:pPr>
        <w:spacing w:after="0" w:line="17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060"/>
          </w:cols>
          <w:pgMar w:left="580" w:top="961" w:right="1259" w:bottom="1440" w:gutter="0" w:footer="0" w:header="0"/>
        </w:sectPr>
      </w:pPr>
    </w:p>
    <w:bookmarkStart w:id="7" w:name="page8"/>
    <w:bookmarkEnd w:id="7"/>
    <w:p>
      <w:pPr>
        <w:ind w:left="350" w:hanging="350"/>
        <w:spacing w:after="0"/>
        <w:tabs>
          <w:tab w:leader="none" w:pos="3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DETAIL OF INVENTORIES, NET</w:t>
      </w:r>
    </w:p>
    <w:p>
      <w:pPr>
        <w:spacing w:after="0" w:line="169" w:lineRule="exact"/>
        <w:rPr>
          <w:rFonts w:ascii="Courier New" w:cs="Courier New" w:eastAsia="Courier New" w:hAnsi="Courier New"/>
          <w:sz w:val="15"/>
          <w:szCs w:val="15"/>
          <w:color w:val="auto"/>
        </w:rPr>
      </w:pP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 net of provisions for slow moving and obsolete inventory of</w:t>
      </w: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$21.3 million, $27.7 million, and $22.0 million, respectively, consisted of:</w:t>
      </w:r>
    </w:p>
    <w:p>
      <w:pPr>
        <w:spacing w:after="0" w:line="200" w:lineRule="exact"/>
        <w:rPr>
          <w:sz w:val="20"/>
          <w:szCs w:val="20"/>
          <w:color w:val="auto"/>
        </w:rPr>
      </w:pPr>
    </w:p>
    <w:p>
      <w:pPr>
        <w:spacing w:after="0" w:line="308" w:lineRule="exact"/>
        <w:rPr>
          <w:sz w:val="20"/>
          <w:szCs w:val="20"/>
          <w:color w:val="auto"/>
        </w:rPr>
      </w:pPr>
    </w:p>
    <w:tbl>
      <w:tblPr>
        <w:tblLayout w:type="fixed"/>
        <w:tblInd w:w="1230" w:type="dxa"/>
        <w:tblCellMar>
          <w:top w:w="0" w:type="dxa"/>
          <w:left w:w="0" w:type="dxa"/>
          <w:bottom w:w="0" w:type="dxa"/>
          <w:right w:w="0" w:type="dxa"/>
        </w:tblCellMar>
      </w:tblPr>
      <w:tr>
        <w:trPr>
          <w:trHeight w:val="170"/>
        </w:trPr>
        <w:tc>
          <w:tcPr>
            <w:tcW w:w="486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27,</w:t>
            </w:r>
          </w:p>
        </w:tc>
      </w:tr>
      <w:tr>
        <w:trPr>
          <w:trHeight w:val="170"/>
        </w:trPr>
        <w:tc>
          <w:tcPr>
            <w:tcW w:w="4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4860" w:type="dxa"/>
            <w:vAlign w:val="bottom"/>
          </w:tcPr>
          <w:p>
            <w:pPr>
              <w:spacing w:after="0"/>
              <w:rPr>
                <w:sz w:val="14"/>
                <w:szCs w:val="14"/>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509"/>
        </w:trPr>
        <w:tc>
          <w:tcPr>
            <w:tcW w:w="4860" w:type="dxa"/>
            <w:vAlign w:val="bottom"/>
          </w:tcPr>
          <w:p>
            <w:pPr>
              <w:spacing w:after="0"/>
              <w:rPr>
                <w:sz w:val="20"/>
                <w:szCs w:val="20"/>
                <w:color w:val="auto"/>
              </w:rPr>
            </w:pPr>
            <w:r>
              <w:rPr>
                <w:rFonts w:ascii="Courier New" w:cs="Courier New" w:eastAsia="Courier New" w:hAnsi="Courier New"/>
                <w:sz w:val="15"/>
                <w:szCs w:val="15"/>
                <w:color w:val="auto"/>
              </w:rPr>
              <w:t>INVENTORIES, NET</w:t>
            </w: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486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357.9</w:t>
            </w:r>
          </w:p>
        </w:tc>
      </w:tr>
      <w:tr>
        <w:trPr>
          <w:trHeight w:val="170"/>
        </w:trPr>
        <w:tc>
          <w:tcPr>
            <w:tcW w:w="486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5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84.5</w:t>
            </w:r>
          </w:p>
        </w:tc>
      </w:tr>
      <w:tr>
        <w:trPr>
          <w:trHeight w:val="170"/>
        </w:trPr>
        <w:tc>
          <w:tcPr>
            <w:tcW w:w="4860" w:type="dxa"/>
            <w:vAlign w:val="bottom"/>
          </w:tcPr>
          <w:p>
            <w:pPr>
              <w:spacing w:after="0"/>
              <w:rPr>
                <w:sz w:val="14"/>
                <w:szCs w:val="14"/>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8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442.4</w:t>
            </w:r>
          </w:p>
        </w:tc>
      </w:tr>
      <w:tr>
        <w:trPr>
          <w:trHeight w:val="170"/>
        </w:trPr>
        <w:tc>
          <w:tcPr>
            <w:tcW w:w="4860" w:type="dxa"/>
            <w:vAlign w:val="bottom"/>
          </w:tcPr>
          <w:p>
            <w:pPr>
              <w:spacing w:after="0"/>
              <w:rPr>
                <w:sz w:val="14"/>
                <w:szCs w:val="14"/>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ind w:left="350" w:hanging="350"/>
        <w:spacing w:after="0"/>
        <w:tabs>
          <w:tab w:leader="none" w:pos="3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MARKETING AGREEMENT</w:t>
      </w:r>
    </w:p>
    <w:p>
      <w:pPr>
        <w:spacing w:after="0" w:line="174" w:lineRule="exact"/>
        <w:rPr>
          <w:rFonts w:ascii="Courier New" w:cs="Courier New" w:eastAsia="Courier New" w:hAnsi="Courier New"/>
          <w:sz w:val="15"/>
          <w:szCs w:val="15"/>
          <w:color w:val="auto"/>
        </w:rPr>
      </w:pPr>
    </w:p>
    <w:p>
      <w:pPr>
        <w:ind w:left="350" w:right="360"/>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September 30, 1998, the Company entered into an agreement with Monsanto Company ("Monsanto") for exclusive domestic and international marketing and agency rights to Monsanto's consumer Roundup(R) herbicide products. Under the terms of the agreement, the Company is entitled to receive an annual commission from Monsanto in consideration for the performance of its duties as agent. The annual commission is calculated as a percentage of the actual earnings before interest and income taxes (EBIT), as defined in the agreement, of the Roundup(R) business. Each year's percentage varies in accordance with the terms of the agreement based on the achievement of two earnings thresholds and on commission rates that vary by threshold and program year.</w:t>
      </w:r>
    </w:p>
    <w:p>
      <w:pPr>
        <w:spacing w:after="0" w:line="180" w:lineRule="exact"/>
        <w:rPr>
          <w:rFonts w:ascii="Courier New" w:cs="Courier New" w:eastAsia="Courier New" w:hAnsi="Courier New"/>
          <w:sz w:val="15"/>
          <w:szCs w:val="15"/>
          <w:color w:val="auto"/>
        </w:rPr>
      </w:pPr>
    </w:p>
    <w:p>
      <w:pPr>
        <w:ind w:left="350" w:right="360"/>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agreement also requires the Company to make fixed annual payments to Monsanto as a contribution against the overall expenses of the Roundup(R) business. The annual fixed payment is defined as $20 million. However, portions of the annual payments for the first three years of the agreement are deferred. No payment was required for the first year (fiscal 1999), a payment of $5 million was required for the second year and a payment of $15 million was required for the third year so that a total of $40 million of the contribution payments were deferred. Beginning in fiscal 2003, the fifth year of the agreement, the annual payments to Monsanto increased to at least $25 million, which include per annum interest charges at 8%. The annual payments may be increased above $25 million if certain significant earnings targets are exceeded. If all of the deferred contribution amounts are paid prior to 2018, the annual contribution payments revert to $20 million. Regardless of whether the deferred contribution amounts are paid, all contribution payments cease entirely in 2018.</w:t>
      </w:r>
    </w:p>
    <w:p>
      <w:pPr>
        <w:spacing w:after="0" w:line="184" w:lineRule="exact"/>
        <w:rPr>
          <w:rFonts w:ascii="Courier New" w:cs="Courier New" w:eastAsia="Courier New" w:hAnsi="Courier New"/>
          <w:sz w:val="15"/>
          <w:szCs w:val="15"/>
          <w:color w:val="auto"/>
        </w:rPr>
      </w:pPr>
    </w:p>
    <w:p>
      <w:pPr>
        <w:ind w:left="350" w:right="360"/>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recognizing a charge each year associated with the annual contribution payments equal to the required payment for that year. The Company is not recognizing a charge for the portions of the contribution payments that are deferred until the time those deferred amounts are paid. The Company considers this method of accounting for the contribution payments to be appropriate after consideration of the likely term of the agreement, the Company's ability to terminate the agreement without paying the deferred amounts, and the fact that approximately $18.6 million of the deferred amount is never paid, even if the agreement is not terminated prior to 2018, unless significant earnings targets are exceeded.</w:t>
      </w:r>
    </w:p>
    <w:p>
      <w:pPr>
        <w:spacing w:after="0" w:line="179" w:lineRule="exact"/>
        <w:rPr>
          <w:rFonts w:ascii="Courier New" w:cs="Courier New" w:eastAsia="Courier New" w:hAnsi="Courier New"/>
          <w:sz w:val="15"/>
          <w:szCs w:val="15"/>
          <w:color w:val="auto"/>
        </w:rPr>
      </w:pPr>
    </w:p>
    <w:p>
      <w:pPr>
        <w:ind w:left="350" w:right="360"/>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express terms of the agreement permit the Company to terminate the agreement only upon Material Breach, Material Fraud or Material Willful Misconduct by Monsanto, as such terms are defined in the agreement, or upon the sale of the Roundup(R) business by Monsanto. In such instances, the agreement permits the Company to avoid payment of any deferred contribution and related per annum charge. The Company's basis for not recording a financial liability to Monsanto for the deferred portions of the annual contribution and per annum charge is based on our assessment and consultations with our legal counsel and the Company's independent accountants. In addition, the Company has obtained a legal opinion from The Bayard Firm, P.A., which concluded, subject to certain qualifications, that if the matter were litigated, a Delaware court would likely conclude that the Company is entitled to terminate the agreement at will, with appropriate prior notice, without incurring significant penalty, and avoid paying the unpaid deferred amounts. We have concluded that, should the Company elect to terminate the agreement at any balance sheet date, it will not incur significant economic consequences as a result of such action.</w:t>
      </w:r>
    </w:p>
    <w:p>
      <w:pPr>
        <w:spacing w:after="0" w:line="333" w:lineRule="exact"/>
        <w:rPr>
          <w:rFonts w:ascii="Courier New" w:cs="Courier New" w:eastAsia="Courier New" w:hAnsi="Courier New"/>
          <w:sz w:val="15"/>
          <w:szCs w:val="15"/>
          <w:color w:val="auto"/>
        </w:rPr>
      </w:pPr>
    </w:p>
    <w:p>
      <w:pPr>
        <w:ind w:left="350" w:right="360"/>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Bayard Firm was special Delaware counsel retained during fiscal 2000 solely for the limited purpose of providing a legal opinion in support of the contingent liability treatment of the agreement previously adopted by the Company and has neither generally represented or advised the Company nor participated in the preparation or review of the Company's financial statements or any SEC filings. The terms of such opinion specifically limit the parties who are entitled to rely on it.</w:t>
      </w:r>
    </w:p>
    <w:p>
      <w:pPr>
        <w:spacing w:after="0" w:line="17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DECEMBER 28,</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0"/>
        </w:trPr>
        <w:tc>
          <w:tcPr>
            <w:tcW w:w="360" w:type="dxa"/>
            <w:vAlign w:val="bottom"/>
          </w:tcPr>
          <w:p>
            <w:pPr>
              <w:spacing w:after="0"/>
              <w:rPr>
                <w:sz w:val="14"/>
                <w:szCs w:val="14"/>
                <w:color w:val="auto"/>
              </w:rPr>
            </w:pP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2002</w:t>
            </w:r>
          </w:p>
        </w:tc>
        <w:tc>
          <w:tcPr>
            <w:tcW w:w="44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6"/>
              </w:rPr>
              <w:t>($ MILLIONS)</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509"/>
        </w:trPr>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326.1</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203.7</w:t>
            </w:r>
          </w:p>
        </w:tc>
      </w:tr>
      <w:tr>
        <w:trPr>
          <w:trHeight w:val="170"/>
        </w:trPr>
        <w:tc>
          <w:tcPr>
            <w:tcW w:w="36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90.9</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72.4</w:t>
            </w:r>
          </w:p>
        </w:tc>
      </w:tr>
      <w:tr>
        <w:trPr>
          <w:trHeight w:val="170"/>
        </w:trPr>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417.0</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276.1</w:t>
            </w:r>
          </w:p>
        </w:tc>
      </w:tr>
      <w:tr>
        <w:trPr>
          <w:trHeight w:val="170"/>
        </w:trPr>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410" w:space="260"/>
            <w:col w:w="2640"/>
          </w:cols>
          <w:pgMar w:left="230" w:top="622" w:right="1359" w:bottom="565" w:gutter="0" w:footer="0" w:header="0"/>
        </w:sectPr>
      </w:pPr>
    </w:p>
    <w:bookmarkStart w:id="8" w:name="page9"/>
    <w:bookmarkEnd w:id="8"/>
    <w:p>
      <w:pPr>
        <w:ind w:left="350" w:right="3259"/>
        <w:spacing w:after="0" w:line="238" w:lineRule="auto"/>
        <w:rPr>
          <w:sz w:val="20"/>
          <w:szCs w:val="20"/>
          <w:color w:val="auto"/>
        </w:rPr>
      </w:pPr>
      <w:r>
        <w:rPr>
          <w:rFonts w:ascii="Courier New" w:cs="Courier New" w:eastAsia="Courier New" w:hAnsi="Courier New"/>
          <w:sz w:val="15"/>
          <w:szCs w:val="15"/>
          <w:color w:val="auto"/>
        </w:rPr>
        <w:t>The Company's conclusion is not free from challenge and, in fact, would likely be challenged if the Company were to terminate the agreement. If it were determined that, upon termination, the Company must pay any remaining deferred contribution amounts and related per annum charges, the resulting charge to earnings could have a material impact on the Company's results of operations and financial position. At December 27, 2003, contribution payments and related per annum charges of approximately $48.9 million had been deferred under the agreement. This amount is considered a contingent obligation and has not been reflected in the financial statements as of and for the year then ended.</w:t>
      </w:r>
    </w:p>
    <w:p>
      <w:pPr>
        <w:spacing w:after="0" w:line="180" w:lineRule="exact"/>
        <w:rPr>
          <w:sz w:val="20"/>
          <w:szCs w:val="20"/>
          <w:color w:val="auto"/>
        </w:rPr>
      </w:pPr>
    </w:p>
    <w:p>
      <w:pPr>
        <w:ind w:left="350" w:right="3619"/>
        <w:spacing w:after="0" w:line="237" w:lineRule="auto"/>
        <w:rPr>
          <w:sz w:val="20"/>
          <w:szCs w:val="20"/>
          <w:color w:val="auto"/>
        </w:rPr>
      </w:pPr>
      <w:r>
        <w:rPr>
          <w:rFonts w:ascii="Courier New" w:cs="Courier New" w:eastAsia="Courier New" w:hAnsi="Courier New"/>
          <w:sz w:val="15"/>
          <w:szCs w:val="15"/>
          <w:color w:val="auto"/>
        </w:rPr>
        <w:t>Monsanto has disclosed that it is accruing the $20 million fixed contribution fee per year beginning in the fourth quarter of Monsanto's fiscal year 1998, plus interest on the deferred portion.</w:t>
      </w:r>
    </w:p>
    <w:p>
      <w:pPr>
        <w:spacing w:after="0" w:line="175" w:lineRule="exact"/>
        <w:rPr>
          <w:sz w:val="20"/>
          <w:szCs w:val="20"/>
          <w:color w:val="auto"/>
        </w:rPr>
      </w:pPr>
    </w:p>
    <w:p>
      <w:pPr>
        <w:ind w:left="350" w:right="3179"/>
        <w:spacing w:after="0" w:line="238" w:lineRule="auto"/>
        <w:rPr>
          <w:sz w:val="20"/>
          <w:szCs w:val="20"/>
          <w:color w:val="auto"/>
        </w:rPr>
      </w:pPr>
      <w:r>
        <w:rPr>
          <w:rFonts w:ascii="Courier New" w:cs="Courier New" w:eastAsia="Courier New" w:hAnsi="Courier New"/>
          <w:sz w:val="15"/>
          <w:szCs w:val="15"/>
          <w:color w:val="auto"/>
        </w:rPr>
        <w:t>The agreement has a term of seven years for all countries within the European Union (at the option of both parties, the agreement can be renewed for up to 20 years for the European Union countries). For countries outside of the European Union, the agreement continues indefinitely unless terminated by either party. The agreement provides Monsanto with the right to terminate the agreement for an event of default (as defined in the agreement) by the Company or a change in control of Monsanto or the sale of the Roundup(R) business. The agreement provides the Company with the right to terminate the agreement in certain circumstances including an event of default by Monsanto or the sale of the Roundup(R) business. Unless Monsanto terminates the agreement for an event of default by the Company, Monsanto is required to pay a termination fee to the Company that varies by program year. The termination fee is $150 million for each of the first five program years, gradually declines to $100 million by year ten of the program and then declines to a minimum of $16 million if the program continues for years 11 through 20.</w:t>
      </w:r>
    </w:p>
    <w:p>
      <w:pPr>
        <w:spacing w:after="0" w:line="186" w:lineRule="exact"/>
        <w:rPr>
          <w:sz w:val="20"/>
          <w:szCs w:val="20"/>
          <w:color w:val="auto"/>
        </w:rPr>
      </w:pPr>
    </w:p>
    <w:p>
      <w:pPr>
        <w:ind w:left="350" w:right="3179"/>
        <w:spacing w:after="0" w:line="258" w:lineRule="auto"/>
        <w:rPr>
          <w:sz w:val="20"/>
          <w:szCs w:val="20"/>
          <w:color w:val="auto"/>
        </w:rPr>
      </w:pPr>
      <w:r>
        <w:rPr>
          <w:rFonts w:ascii="Courier New" w:cs="Courier New" w:eastAsia="Courier New" w:hAnsi="Courier New"/>
          <w:sz w:val="14"/>
          <w:szCs w:val="14"/>
          <w:color w:val="auto"/>
        </w:rPr>
        <w:t>In consideration for the rights granted to the Company under the agreement for North America, the Company was required to pay a marketing fee of $32 million to Monsanto. The Company has deferred the expense relating to this amount on the basis that the payment will provide a future benefit through commissions that will be earned under the agreement and is amortizing the balance over ten years, which is the estimated likely term of the agreement.</w:t>
      </w:r>
    </w:p>
    <w:p>
      <w:pPr>
        <w:spacing w:after="0" w:line="164" w:lineRule="exact"/>
        <w:rPr>
          <w:sz w:val="20"/>
          <w:szCs w:val="20"/>
          <w:color w:val="auto"/>
        </w:rPr>
      </w:pPr>
    </w:p>
    <w:p>
      <w:pPr>
        <w:ind w:left="350" w:right="7139" w:hanging="350"/>
        <w:spacing w:after="0" w:line="471" w:lineRule="auto"/>
        <w:tabs>
          <w:tab w:leader="none" w:pos="3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RESTRUCTURING AND OTHER CHARGES FISCAL 2004 CHARGES</w:t>
      </w:r>
    </w:p>
    <w:p>
      <w:pPr>
        <w:spacing w:after="0" w:line="11" w:lineRule="exact"/>
        <w:rPr>
          <w:rFonts w:ascii="Courier New" w:cs="Courier New" w:eastAsia="Courier New" w:hAnsi="Courier New"/>
          <w:sz w:val="15"/>
          <w:szCs w:val="15"/>
          <w:color w:val="auto"/>
        </w:rPr>
      </w:pPr>
    </w:p>
    <w:p>
      <w:pPr>
        <w:ind w:left="350" w:right="317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During the first quarter of fiscal 2004, the Company recorded $1.0 million of restructuring and other charges. These charges, related to our North American distribution restructuring and our International Profit Improvement Plan, were included in cost of sales and selling, general and administrative costs in the amounts of $0.5 million and $0.5 million, respectively.</w:t>
      </w:r>
    </w:p>
    <w:p>
      <w:pPr>
        <w:spacing w:after="0" w:line="159" w:lineRule="exact"/>
        <w:rPr>
          <w:rFonts w:ascii="Courier New" w:cs="Courier New" w:eastAsia="Courier New" w:hAnsi="Courier New"/>
          <w:sz w:val="15"/>
          <w:szCs w:val="15"/>
          <w:color w:val="auto"/>
        </w:rPr>
      </w:pP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FISCAL 2003 CHARGES</w:t>
      </w:r>
    </w:p>
    <w:p>
      <w:pPr>
        <w:spacing w:after="0" w:line="174" w:lineRule="exact"/>
        <w:rPr>
          <w:rFonts w:ascii="Courier New" w:cs="Courier New" w:eastAsia="Courier New" w:hAnsi="Courier New"/>
          <w:sz w:val="15"/>
          <w:szCs w:val="15"/>
          <w:color w:val="auto"/>
        </w:rPr>
      </w:pPr>
    </w:p>
    <w:p>
      <w:pPr>
        <w:ind w:left="350" w:right="33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first quarter of fiscal 2003, the Company recorded $6.3 million of restructuring and other charges.</w:t>
      </w:r>
    </w:p>
    <w:p>
      <w:pPr>
        <w:spacing w:after="0" w:line="175" w:lineRule="exact"/>
        <w:rPr>
          <w:rFonts w:ascii="Courier New" w:cs="Courier New" w:eastAsia="Courier New" w:hAnsi="Courier New"/>
          <w:sz w:val="15"/>
          <w:szCs w:val="15"/>
          <w:color w:val="auto"/>
        </w:rPr>
      </w:pPr>
    </w:p>
    <w:p>
      <w:pPr>
        <w:ind w:left="350" w:right="343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Costs of $4.3 million associated with exiting certain warehouses in North America, as part of improvements to the North American supply chain, and $0.2 million of accelerated depreciation, related to the closure of our Bramford, England manufacturing facility, were included in cost of sales. Costs of $1.8 million were charged to selling, general and administrative expense for the continued European integration efforts that began in the fourth quarter of fiscal 2002.</w:t>
      </w:r>
    </w:p>
    <w:p>
      <w:pPr>
        <w:spacing w:after="0" w:line="176" w:lineRule="exact"/>
        <w:rPr>
          <w:rFonts w:ascii="Courier New" w:cs="Courier New" w:eastAsia="Courier New" w:hAnsi="Courier New"/>
          <w:sz w:val="15"/>
          <w:szCs w:val="15"/>
          <w:color w:val="auto"/>
        </w:rPr>
      </w:pPr>
    </w:p>
    <w:p>
      <w:pPr>
        <w:ind w:left="350" w:right="325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following is a rollforward from September 30, 2003 of the cash portion of the restructuring and other charges. The accrued charges are included in accrued liabilities on the Condensed, Consolidated Balance Sheets.</w:t>
      </w:r>
    </w:p>
    <w:p>
      <w:pPr>
        <w:spacing w:after="0" w:line="200" w:lineRule="exact"/>
        <w:rPr>
          <w:sz w:val="20"/>
          <w:szCs w:val="20"/>
          <w:color w:val="auto"/>
        </w:rPr>
      </w:pPr>
    </w:p>
    <w:p>
      <w:pPr>
        <w:spacing w:after="0" w:line="296"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700" w:type="dxa"/>
            <w:vAlign w:val="bottom"/>
            <w:gridSpan w:val="3"/>
          </w:tcPr>
          <w:p>
            <w:pPr>
              <w:jc w:val="right"/>
              <w:ind w:right="147"/>
              <w:spacing w:after="0"/>
              <w:rPr>
                <w:sz w:val="20"/>
                <w:szCs w:val="20"/>
                <w:color w:val="auto"/>
              </w:rPr>
            </w:pPr>
            <w:r>
              <w:rPr>
                <w:rFonts w:ascii="Courier New" w:cs="Courier New" w:eastAsia="Courier New" w:hAnsi="Courier New"/>
                <w:sz w:val="15"/>
                <w:szCs w:val="15"/>
                <w:color w:val="auto"/>
              </w:rPr>
              <w:t>SEPTEMBER 30,</w:t>
            </w: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DECEMBER 27,</w:t>
            </w:r>
          </w:p>
        </w:tc>
      </w:tr>
      <w:tr>
        <w:trPr>
          <w:trHeight w:val="170"/>
        </w:trPr>
        <w:tc>
          <w:tcPr>
            <w:tcW w:w="2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4"/>
              </w:rPr>
              <w:t>2003</w:t>
            </w: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ind w:left="440"/>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2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700" w:type="dxa"/>
            <w:vAlign w:val="bottom"/>
            <w:gridSpan w:val="3"/>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1220" w:type="dxa"/>
            <w:vAlign w:val="bottom"/>
          </w:tcPr>
          <w:p>
            <w:pPr>
              <w:ind w:left="520"/>
              <w:spacing w:after="0"/>
              <w:rPr>
                <w:sz w:val="20"/>
                <w:szCs w:val="20"/>
                <w:color w:val="auto"/>
              </w:rPr>
            </w:pPr>
            <w:r>
              <w:rPr>
                <w:rFonts w:ascii="Courier New" w:cs="Courier New" w:eastAsia="Courier New" w:hAnsi="Courier New"/>
                <w:sz w:val="15"/>
                <w:szCs w:val="15"/>
                <w:color w:val="auto"/>
              </w:rPr>
              <w:t>TYPE</w:t>
            </w:r>
          </w:p>
        </w:tc>
        <w:tc>
          <w:tcPr>
            <w:tcW w:w="150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8"/>
              </w:rPr>
              <w:t>CLASSIFICATION</w:t>
            </w:r>
          </w:p>
        </w:tc>
        <w:tc>
          <w:tcPr>
            <w:tcW w:w="12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w w:val="95"/>
              </w:rPr>
              <w:t>BALANCE</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PAYMENT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ACCRUAL</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BALANCE</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20" w:type="dxa"/>
            <w:vAlign w:val="bottom"/>
          </w:tcPr>
          <w:p>
            <w:pPr>
              <w:ind w:left="520"/>
              <w:spacing w:after="0"/>
              <w:rPr>
                <w:sz w:val="20"/>
                <w:szCs w:val="20"/>
                <w:color w:val="auto"/>
              </w:rPr>
            </w:pPr>
            <w:r>
              <w:rPr>
                <w:rFonts w:ascii="Courier New" w:cs="Courier New" w:eastAsia="Courier New" w:hAnsi="Courier New"/>
                <w:sz w:val="15"/>
                <w:szCs w:val="15"/>
                <w:color w:val="auto"/>
                <w:w w:val="94"/>
              </w:rPr>
              <w: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r>
      <w:tr>
        <w:trPr>
          <w:trHeight w:val="170"/>
        </w:trPr>
        <w:tc>
          <w:tcPr>
            <w:tcW w:w="2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 MILLIONS)</w:t>
            </w:r>
          </w:p>
        </w:tc>
        <w:tc>
          <w:tcPr>
            <w:tcW w:w="1160" w:type="dxa"/>
            <w:vAlign w:val="bottom"/>
          </w:tcPr>
          <w:p>
            <w:pPr>
              <w:spacing w:after="0"/>
              <w:rPr>
                <w:sz w:val="14"/>
                <w:szCs w:val="14"/>
                <w:color w:val="auto"/>
              </w:rPr>
            </w:pPr>
          </w:p>
        </w:tc>
      </w:tr>
      <w:tr>
        <w:trPr>
          <w:trHeight w:val="339"/>
        </w:trPr>
        <w:tc>
          <w:tcPr>
            <w:tcW w:w="2200" w:type="dxa"/>
            <w:vAlign w:val="bottom"/>
          </w:tcPr>
          <w:p>
            <w:pPr>
              <w:spacing w:after="0"/>
              <w:rPr>
                <w:sz w:val="20"/>
                <w:szCs w:val="20"/>
                <w:color w:val="auto"/>
              </w:rPr>
            </w:pPr>
            <w:r>
              <w:rPr>
                <w:rFonts w:ascii="Courier New" w:cs="Courier New" w:eastAsia="Courier New" w:hAnsi="Courier New"/>
                <w:sz w:val="15"/>
                <w:szCs w:val="15"/>
                <w:color w:val="auto"/>
              </w:rPr>
              <w:t>Severance</w:t>
            </w:r>
          </w:p>
        </w:tc>
        <w:tc>
          <w:tcPr>
            <w:tcW w:w="1220" w:type="dxa"/>
            <w:vAlign w:val="bottom"/>
          </w:tcPr>
          <w:p>
            <w:pPr>
              <w:ind w:left="520"/>
              <w:spacing w:after="0"/>
              <w:rPr>
                <w:sz w:val="20"/>
                <w:szCs w:val="20"/>
                <w:color w:val="auto"/>
              </w:rPr>
            </w:pPr>
            <w:r>
              <w:rPr>
                <w:rFonts w:ascii="Courier New" w:cs="Courier New" w:eastAsia="Courier New" w:hAnsi="Courier New"/>
                <w:sz w:val="15"/>
                <w:szCs w:val="15"/>
                <w:color w:val="auto"/>
              </w:rPr>
              <w:t>Cash</w:t>
            </w:r>
          </w:p>
        </w:tc>
        <w:tc>
          <w:tcPr>
            <w:tcW w:w="150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9"/>
              </w:rPr>
              <w:t>SG&amp;A</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1.6</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(0.6)</w:t>
            </w:r>
          </w:p>
        </w:tc>
        <w:tc>
          <w:tcPr>
            <w:tcW w:w="9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$ 1.0</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Facility exit costs</w:t>
            </w:r>
          </w:p>
        </w:tc>
        <w:tc>
          <w:tcPr>
            <w:tcW w:w="1220" w:type="dxa"/>
            <w:vAlign w:val="bottom"/>
          </w:tcPr>
          <w:p>
            <w:pPr>
              <w:ind w:left="520"/>
              <w:spacing w:after="0"/>
              <w:rPr>
                <w:sz w:val="20"/>
                <w:szCs w:val="20"/>
                <w:color w:val="auto"/>
              </w:rPr>
            </w:pPr>
            <w:r>
              <w:rPr>
                <w:rFonts w:ascii="Courier New" w:cs="Courier New" w:eastAsia="Courier New" w:hAnsi="Courier New"/>
                <w:sz w:val="15"/>
                <w:szCs w:val="15"/>
                <w:color w:val="auto"/>
              </w:rPr>
              <w:t>Cash</w:t>
            </w:r>
          </w:p>
        </w:tc>
        <w:tc>
          <w:tcPr>
            <w:tcW w:w="150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9"/>
              </w:rPr>
              <w:t>SG&amp;A</w:t>
            </w:r>
          </w:p>
        </w:tc>
        <w:tc>
          <w:tcPr>
            <w:tcW w:w="180" w:type="dxa"/>
            <w:vAlign w:val="bottom"/>
          </w:tcPr>
          <w:p>
            <w:pPr>
              <w:spacing w:after="0"/>
              <w:rPr>
                <w:sz w:val="14"/>
                <w:szCs w:val="14"/>
                <w:color w:val="auto"/>
              </w:rPr>
            </w:pP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0.9</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0.8</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0.4</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Other related costs</w:t>
            </w:r>
          </w:p>
        </w:tc>
        <w:tc>
          <w:tcPr>
            <w:tcW w:w="1220" w:type="dxa"/>
            <w:vAlign w:val="bottom"/>
          </w:tcPr>
          <w:p>
            <w:pPr>
              <w:ind w:left="520"/>
              <w:spacing w:after="0"/>
              <w:rPr>
                <w:sz w:val="20"/>
                <w:szCs w:val="20"/>
                <w:color w:val="auto"/>
              </w:rPr>
            </w:pPr>
            <w:r>
              <w:rPr>
                <w:rFonts w:ascii="Courier New" w:cs="Courier New" w:eastAsia="Courier New" w:hAnsi="Courier New"/>
                <w:sz w:val="15"/>
                <w:szCs w:val="15"/>
                <w:color w:val="auto"/>
              </w:rPr>
              <w:t>Cash</w:t>
            </w:r>
          </w:p>
        </w:tc>
        <w:tc>
          <w:tcPr>
            <w:tcW w:w="150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9"/>
              </w:rPr>
              <w:t>SG&amp;A</w:t>
            </w:r>
          </w:p>
        </w:tc>
        <w:tc>
          <w:tcPr>
            <w:tcW w:w="180" w:type="dxa"/>
            <w:vAlign w:val="bottom"/>
          </w:tcPr>
          <w:p>
            <w:pPr>
              <w:spacing w:after="0"/>
              <w:rPr>
                <w:sz w:val="14"/>
                <w:szCs w:val="14"/>
                <w:color w:val="auto"/>
              </w:rPr>
            </w:pP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(0.8)</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0.2</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1.4</w:t>
            </w:r>
          </w:p>
        </w:tc>
      </w:tr>
      <w:tr>
        <w:trPr>
          <w:trHeight w:val="170"/>
        </w:trPr>
        <w:tc>
          <w:tcPr>
            <w:tcW w:w="2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2200" w:type="dxa"/>
            <w:vAlign w:val="bottom"/>
          </w:tcPr>
          <w:p>
            <w:pPr>
              <w:ind w:left="340"/>
              <w:spacing w:after="0"/>
              <w:rPr>
                <w:sz w:val="20"/>
                <w:szCs w:val="20"/>
                <w:color w:val="auto"/>
              </w:rPr>
            </w:pPr>
            <w:r>
              <w:rPr>
                <w:rFonts w:ascii="Courier New" w:cs="Courier New" w:eastAsia="Courier New" w:hAnsi="Courier New"/>
                <w:sz w:val="15"/>
                <w:szCs w:val="15"/>
                <w:color w:val="auto"/>
              </w:rPr>
              <w:t>Total cash</w:t>
            </w: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4.5</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(2.7)</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$ 2.8</w:t>
            </w:r>
          </w:p>
        </w:tc>
      </w:tr>
      <w:tr>
        <w:trPr>
          <w:trHeight w:val="170"/>
        </w:trPr>
        <w:tc>
          <w:tcPr>
            <w:tcW w:w="2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678"/>
        </w:trPr>
        <w:tc>
          <w:tcPr>
            <w:tcW w:w="2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00" w:type="dxa"/>
            <w:vAlign w:val="bottom"/>
          </w:tcPr>
          <w:p>
            <w:pPr>
              <w:jc w:val="right"/>
              <w:ind w:right="1327"/>
              <w:spacing w:after="0"/>
              <w:rPr>
                <w:sz w:val="20"/>
                <w:szCs w:val="20"/>
                <w:color w:val="auto"/>
              </w:rPr>
            </w:pPr>
            <w:r>
              <w:rPr>
                <w:rFonts w:ascii="Courier New" w:cs="Courier New" w:eastAsia="Courier New" w:hAnsi="Courier New"/>
                <w:sz w:val="15"/>
                <w:szCs w:val="15"/>
                <w:color w:val="auto"/>
                <w:w w:val="88"/>
              </w:rPr>
              <w:t>9</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0229"/>
          </w:cols>
          <w:pgMar w:left="230" w:top="627" w:right="1440"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77"/>
              </w:rPr>
              <w:t>5.</w:t>
            </w:r>
          </w:p>
        </w:tc>
        <w:tc>
          <w:tcPr>
            <w:tcW w:w="4840" w:type="dxa"/>
            <w:vAlign w:val="bottom"/>
          </w:tcPr>
          <w:p>
            <w:pPr>
              <w:jc w:val="right"/>
              <w:ind w:right="3227"/>
              <w:spacing w:after="0"/>
              <w:rPr>
                <w:sz w:val="20"/>
                <w:szCs w:val="20"/>
                <w:color w:val="auto"/>
              </w:rPr>
            </w:pPr>
            <w:r>
              <w:rPr>
                <w:rFonts w:ascii="Courier New" w:cs="Courier New" w:eastAsia="Courier New" w:hAnsi="Courier New"/>
                <w:sz w:val="15"/>
                <w:szCs w:val="15"/>
                <w:color w:val="auto"/>
              </w:rPr>
              <w:t>LONG-TERM DEBT</w:t>
            </w: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848"/>
        </w:trPr>
        <w:tc>
          <w:tcPr>
            <w:tcW w:w="4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6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DECEMBER 27,</w:t>
            </w:r>
          </w:p>
        </w:tc>
        <w:tc>
          <w:tcPr>
            <w:tcW w:w="18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DECEMBER 28,</w:t>
            </w:r>
          </w:p>
        </w:tc>
        <w:tc>
          <w:tcPr>
            <w:tcW w:w="16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SEPTEMBER 30,</w:t>
            </w:r>
          </w:p>
        </w:tc>
      </w:tr>
      <w:tr>
        <w:trPr>
          <w:trHeight w:val="170"/>
        </w:trPr>
        <w:tc>
          <w:tcPr>
            <w:tcW w:w="4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4"/>
              </w:rPr>
              <w:t>2003</w:t>
            </w:r>
          </w:p>
        </w:tc>
        <w:tc>
          <w:tcPr>
            <w:tcW w:w="740" w:type="dxa"/>
            <w:vAlign w:val="bottom"/>
          </w:tcPr>
          <w:p>
            <w:pPr>
              <w:spacing w:after="0"/>
              <w:rPr>
                <w:sz w:val="14"/>
                <w:szCs w:val="14"/>
                <w:color w:val="auto"/>
              </w:rPr>
            </w:pPr>
          </w:p>
        </w:tc>
        <w:tc>
          <w:tcPr>
            <w:tcW w:w="10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2002</w:t>
            </w:r>
          </w:p>
        </w:tc>
        <w:tc>
          <w:tcPr>
            <w:tcW w:w="620" w:type="dxa"/>
            <w:vAlign w:val="bottom"/>
          </w:tcPr>
          <w:p>
            <w:pPr>
              <w:spacing w:after="0"/>
              <w:rPr>
                <w:sz w:val="14"/>
                <w:szCs w:val="14"/>
                <w:color w:val="auto"/>
              </w:rPr>
            </w:pPr>
          </w:p>
        </w:tc>
        <w:tc>
          <w:tcPr>
            <w:tcW w:w="1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4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6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MILLIONS)</w:t>
            </w: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9"/>
        </w:trPr>
        <w:tc>
          <w:tcPr>
            <w:tcW w:w="480" w:type="dxa"/>
            <w:vAlign w:val="bottom"/>
          </w:tcPr>
          <w:p>
            <w:pPr>
              <w:spacing w:after="0"/>
              <w:rPr>
                <w:sz w:val="24"/>
                <w:szCs w:val="24"/>
                <w:color w:val="auto"/>
              </w:rPr>
            </w:pPr>
          </w:p>
        </w:tc>
        <w:tc>
          <w:tcPr>
            <w:tcW w:w="4840" w:type="dxa"/>
            <w:vAlign w:val="bottom"/>
          </w:tcPr>
          <w:p>
            <w:pPr>
              <w:ind w:left="920"/>
              <w:spacing w:after="0"/>
              <w:rPr>
                <w:sz w:val="20"/>
                <w:szCs w:val="20"/>
                <w:color w:val="auto"/>
              </w:rPr>
            </w:pPr>
            <w:r>
              <w:rPr>
                <w:rFonts w:ascii="Courier New" w:cs="Courier New" w:eastAsia="Courier New" w:hAnsi="Courier New"/>
                <w:sz w:val="15"/>
                <w:szCs w:val="15"/>
                <w:color w:val="auto"/>
              </w:rPr>
              <w:t>Former Credit Agreement:</w:t>
            </w: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480" w:type="dxa"/>
            <w:vAlign w:val="bottom"/>
          </w:tcPr>
          <w:p>
            <w:pPr>
              <w:spacing w:after="0"/>
              <w:rPr>
                <w:sz w:val="14"/>
                <w:szCs w:val="14"/>
                <w:color w:val="auto"/>
              </w:rPr>
            </w:pPr>
          </w:p>
        </w:tc>
        <w:tc>
          <w:tcPr>
            <w:tcW w:w="4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Revolving loans..........................</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94.6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r>
      <w:tr>
        <w:trPr>
          <w:trHeight w:val="170"/>
        </w:trPr>
        <w:tc>
          <w:tcPr>
            <w:tcW w:w="480" w:type="dxa"/>
            <w:vAlign w:val="bottom"/>
          </w:tcPr>
          <w:p>
            <w:pPr>
              <w:spacing w:after="0"/>
              <w:rPr>
                <w:sz w:val="14"/>
                <w:szCs w:val="14"/>
                <w:color w:val="auto"/>
              </w:rPr>
            </w:pPr>
          </w:p>
        </w:tc>
        <w:tc>
          <w:tcPr>
            <w:tcW w:w="4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Term loans...............................</w:t>
            </w: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355.3</w:t>
            </w:r>
          </w:p>
        </w:tc>
        <w:tc>
          <w:tcPr>
            <w:tcW w:w="62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326.5</w:t>
            </w:r>
          </w:p>
        </w:tc>
      </w:tr>
      <w:tr>
        <w:trPr>
          <w:trHeight w:val="170"/>
        </w:trPr>
        <w:tc>
          <w:tcPr>
            <w:tcW w:w="480" w:type="dxa"/>
            <w:vAlign w:val="bottom"/>
          </w:tcPr>
          <w:p>
            <w:pPr>
              <w:spacing w:after="0"/>
              <w:rPr>
                <w:sz w:val="14"/>
                <w:szCs w:val="14"/>
                <w:color w:val="auto"/>
              </w:rPr>
            </w:pPr>
          </w:p>
        </w:tc>
        <w:tc>
          <w:tcPr>
            <w:tcW w:w="4840" w:type="dxa"/>
            <w:vAlign w:val="bottom"/>
          </w:tcPr>
          <w:p>
            <w:pPr>
              <w:ind w:left="920"/>
              <w:spacing w:after="0"/>
              <w:rPr>
                <w:sz w:val="20"/>
                <w:szCs w:val="20"/>
                <w:color w:val="auto"/>
              </w:rPr>
            </w:pPr>
            <w:r>
              <w:rPr>
                <w:rFonts w:ascii="Courier New" w:cs="Courier New" w:eastAsia="Courier New" w:hAnsi="Courier New"/>
                <w:sz w:val="15"/>
                <w:szCs w:val="15"/>
                <w:color w:val="auto"/>
              </w:rPr>
              <w:t>New Credit Agreement:</w:t>
            </w: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480" w:type="dxa"/>
            <w:vAlign w:val="bottom"/>
          </w:tcPr>
          <w:p>
            <w:pPr>
              <w:spacing w:after="0"/>
              <w:rPr>
                <w:sz w:val="14"/>
                <w:szCs w:val="14"/>
                <w:color w:val="auto"/>
              </w:rPr>
            </w:pPr>
          </w:p>
        </w:tc>
        <w:tc>
          <w:tcPr>
            <w:tcW w:w="4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Revolving loans..........................</w:t>
            </w:r>
          </w:p>
        </w:tc>
        <w:tc>
          <w:tcPr>
            <w:tcW w:w="66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79.1</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480" w:type="dxa"/>
            <w:vAlign w:val="bottom"/>
          </w:tcPr>
          <w:p>
            <w:pPr>
              <w:spacing w:after="0"/>
              <w:rPr>
                <w:sz w:val="14"/>
                <w:szCs w:val="14"/>
                <w:color w:val="auto"/>
              </w:rPr>
            </w:pPr>
          </w:p>
        </w:tc>
        <w:tc>
          <w:tcPr>
            <w:tcW w:w="4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Term loans...............................</w:t>
            </w:r>
          </w:p>
        </w:tc>
        <w:tc>
          <w:tcPr>
            <w:tcW w:w="66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500.0</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480" w:type="dxa"/>
            <w:vAlign w:val="bottom"/>
          </w:tcPr>
          <w:p>
            <w:pPr>
              <w:spacing w:after="0"/>
              <w:rPr>
                <w:sz w:val="14"/>
                <w:szCs w:val="14"/>
                <w:color w:val="auto"/>
              </w:rPr>
            </w:pPr>
          </w:p>
        </w:tc>
        <w:tc>
          <w:tcPr>
            <w:tcW w:w="4840" w:type="dxa"/>
            <w:vAlign w:val="bottom"/>
          </w:tcPr>
          <w:p>
            <w:pPr>
              <w:ind w:left="920"/>
              <w:spacing w:after="0"/>
              <w:rPr>
                <w:sz w:val="20"/>
                <w:szCs w:val="20"/>
                <w:color w:val="auto"/>
              </w:rPr>
            </w:pPr>
            <w:r>
              <w:rPr>
                <w:rFonts w:ascii="Courier New" w:cs="Courier New" w:eastAsia="Courier New" w:hAnsi="Courier New"/>
                <w:sz w:val="15"/>
                <w:szCs w:val="15"/>
                <w:color w:val="auto"/>
              </w:rPr>
              <w:t>Senior Subordinated Notes:</w:t>
            </w: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480" w:type="dxa"/>
            <w:vAlign w:val="bottom"/>
          </w:tcPr>
          <w:p>
            <w:pPr>
              <w:spacing w:after="0"/>
              <w:rPr>
                <w:sz w:val="14"/>
                <w:szCs w:val="14"/>
                <w:color w:val="auto"/>
              </w:rPr>
            </w:pPr>
          </w:p>
        </w:tc>
        <w:tc>
          <w:tcPr>
            <w:tcW w:w="4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 5/8% Notes.............................</w:t>
            </w:r>
          </w:p>
        </w:tc>
        <w:tc>
          <w:tcPr>
            <w:tcW w:w="66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13.2</w:t>
            </w:r>
          </w:p>
        </w:tc>
        <w:tc>
          <w:tcPr>
            <w:tcW w:w="740" w:type="dxa"/>
            <w:vAlign w:val="bottom"/>
          </w:tcPr>
          <w:p>
            <w:pPr>
              <w:spacing w:after="0"/>
              <w:rPr>
                <w:sz w:val="14"/>
                <w:szCs w:val="14"/>
                <w:color w:val="auto"/>
              </w:rPr>
            </w:pPr>
          </w:p>
        </w:tc>
        <w:tc>
          <w:tcPr>
            <w:tcW w:w="1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392.2</w:t>
            </w:r>
          </w:p>
        </w:tc>
        <w:tc>
          <w:tcPr>
            <w:tcW w:w="62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393.1</w:t>
            </w:r>
          </w:p>
        </w:tc>
      </w:tr>
      <w:tr>
        <w:trPr>
          <w:trHeight w:val="170"/>
        </w:trPr>
        <w:tc>
          <w:tcPr>
            <w:tcW w:w="480" w:type="dxa"/>
            <w:vAlign w:val="bottom"/>
          </w:tcPr>
          <w:p>
            <w:pPr>
              <w:spacing w:after="0"/>
              <w:rPr>
                <w:sz w:val="14"/>
                <w:szCs w:val="14"/>
                <w:color w:val="auto"/>
              </w:rPr>
            </w:pPr>
          </w:p>
        </w:tc>
        <w:tc>
          <w:tcPr>
            <w:tcW w:w="4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 5/8% Notes.............................</w:t>
            </w:r>
          </w:p>
        </w:tc>
        <w:tc>
          <w:tcPr>
            <w:tcW w:w="66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480" w:type="dxa"/>
            <w:vAlign w:val="bottom"/>
          </w:tcPr>
          <w:p>
            <w:pPr>
              <w:spacing w:after="0"/>
              <w:rPr>
                <w:sz w:val="14"/>
                <w:szCs w:val="14"/>
                <w:color w:val="auto"/>
              </w:rPr>
            </w:pPr>
          </w:p>
        </w:tc>
        <w:tc>
          <w:tcPr>
            <w:tcW w:w="4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Notes due to sellers.......................</w:t>
            </w:r>
          </w:p>
        </w:tc>
        <w:tc>
          <w:tcPr>
            <w:tcW w:w="66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20.1</w:t>
            </w:r>
          </w:p>
        </w:tc>
        <w:tc>
          <w:tcPr>
            <w:tcW w:w="740" w:type="dxa"/>
            <w:vAlign w:val="bottom"/>
          </w:tcPr>
          <w:p>
            <w:pPr>
              <w:spacing w:after="0"/>
              <w:rPr>
                <w:sz w:val="14"/>
                <w:szCs w:val="14"/>
                <w:color w:val="auto"/>
              </w:rPr>
            </w:pPr>
          </w:p>
        </w:tc>
        <w:tc>
          <w:tcPr>
            <w:tcW w:w="1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35.2</w:t>
            </w:r>
          </w:p>
        </w:tc>
        <w:tc>
          <w:tcPr>
            <w:tcW w:w="62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21.6</w:t>
            </w:r>
          </w:p>
        </w:tc>
      </w:tr>
      <w:tr>
        <w:trPr>
          <w:trHeight w:val="170"/>
        </w:trPr>
        <w:tc>
          <w:tcPr>
            <w:tcW w:w="480" w:type="dxa"/>
            <w:vAlign w:val="bottom"/>
          </w:tcPr>
          <w:p>
            <w:pPr>
              <w:spacing w:after="0"/>
              <w:rPr>
                <w:sz w:val="14"/>
                <w:szCs w:val="14"/>
                <w:color w:val="auto"/>
              </w:rPr>
            </w:pPr>
          </w:p>
        </w:tc>
        <w:tc>
          <w:tcPr>
            <w:tcW w:w="4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Foreign bank borrowings and term loans.....</w:t>
            </w:r>
          </w:p>
        </w:tc>
        <w:tc>
          <w:tcPr>
            <w:tcW w:w="66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18.9</w:t>
            </w:r>
          </w:p>
        </w:tc>
        <w:tc>
          <w:tcPr>
            <w:tcW w:w="740" w:type="dxa"/>
            <w:vAlign w:val="bottom"/>
          </w:tcPr>
          <w:p>
            <w:pPr>
              <w:spacing w:after="0"/>
              <w:rPr>
                <w:sz w:val="14"/>
                <w:szCs w:val="14"/>
                <w:color w:val="auto"/>
              </w:rPr>
            </w:pPr>
          </w:p>
        </w:tc>
        <w:tc>
          <w:tcPr>
            <w:tcW w:w="1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5.7</w:t>
            </w:r>
          </w:p>
        </w:tc>
        <w:tc>
          <w:tcPr>
            <w:tcW w:w="62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6.3</w:t>
            </w:r>
          </w:p>
        </w:tc>
      </w:tr>
      <w:tr>
        <w:trPr>
          <w:trHeight w:val="170"/>
        </w:trPr>
        <w:tc>
          <w:tcPr>
            <w:tcW w:w="480" w:type="dxa"/>
            <w:vAlign w:val="bottom"/>
          </w:tcPr>
          <w:p>
            <w:pPr>
              <w:spacing w:after="0"/>
              <w:rPr>
                <w:sz w:val="14"/>
                <w:szCs w:val="14"/>
                <w:color w:val="auto"/>
              </w:rPr>
            </w:pPr>
          </w:p>
        </w:tc>
        <w:tc>
          <w:tcPr>
            <w:tcW w:w="4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Capital lease obligations and other........</w:t>
            </w:r>
          </w:p>
        </w:tc>
        <w:tc>
          <w:tcPr>
            <w:tcW w:w="66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9.6</w:t>
            </w:r>
          </w:p>
        </w:tc>
        <w:tc>
          <w:tcPr>
            <w:tcW w:w="740" w:type="dxa"/>
            <w:vAlign w:val="bottom"/>
          </w:tcPr>
          <w:p>
            <w:pPr>
              <w:spacing w:after="0"/>
              <w:rPr>
                <w:sz w:val="14"/>
                <w:szCs w:val="14"/>
                <w:color w:val="auto"/>
              </w:rPr>
            </w:pPr>
          </w:p>
        </w:tc>
        <w:tc>
          <w:tcPr>
            <w:tcW w:w="1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11.3</w:t>
            </w:r>
          </w:p>
        </w:tc>
        <w:tc>
          <w:tcPr>
            <w:tcW w:w="62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10.1</w:t>
            </w:r>
          </w:p>
        </w:tc>
      </w:tr>
      <w:tr>
        <w:trPr>
          <w:trHeight w:val="170"/>
        </w:trPr>
        <w:tc>
          <w:tcPr>
            <w:tcW w:w="4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6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4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840.9</w:t>
            </w:r>
          </w:p>
        </w:tc>
        <w:tc>
          <w:tcPr>
            <w:tcW w:w="740" w:type="dxa"/>
            <w:vAlign w:val="bottom"/>
          </w:tcPr>
          <w:p>
            <w:pPr>
              <w:spacing w:after="0"/>
              <w:rPr>
                <w:sz w:val="14"/>
                <w:szCs w:val="14"/>
                <w:color w:val="auto"/>
              </w:rPr>
            </w:pPr>
          </w:p>
        </w:tc>
        <w:tc>
          <w:tcPr>
            <w:tcW w:w="1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894.3</w:t>
            </w:r>
          </w:p>
        </w:tc>
        <w:tc>
          <w:tcPr>
            <w:tcW w:w="62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757.6</w:t>
            </w:r>
          </w:p>
        </w:tc>
      </w:tr>
      <w:tr>
        <w:trPr>
          <w:trHeight w:val="170"/>
        </w:trPr>
        <w:tc>
          <w:tcPr>
            <w:tcW w:w="480" w:type="dxa"/>
            <w:vAlign w:val="bottom"/>
          </w:tcPr>
          <w:p>
            <w:pPr>
              <w:spacing w:after="0"/>
              <w:rPr>
                <w:sz w:val="14"/>
                <w:szCs w:val="14"/>
                <w:color w:val="auto"/>
              </w:rPr>
            </w:pPr>
          </w:p>
        </w:tc>
        <w:tc>
          <w:tcPr>
            <w:tcW w:w="4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Less current portions......................</w:t>
            </w:r>
          </w:p>
        </w:tc>
        <w:tc>
          <w:tcPr>
            <w:tcW w:w="66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30.8</w:t>
            </w:r>
          </w:p>
        </w:tc>
        <w:tc>
          <w:tcPr>
            <w:tcW w:w="740" w:type="dxa"/>
            <w:vAlign w:val="bottom"/>
          </w:tcPr>
          <w:p>
            <w:pPr>
              <w:spacing w:after="0"/>
              <w:rPr>
                <w:sz w:val="14"/>
                <w:szCs w:val="14"/>
                <w:color w:val="auto"/>
              </w:rPr>
            </w:pPr>
          </w:p>
        </w:tc>
        <w:tc>
          <w:tcPr>
            <w:tcW w:w="1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62.7</w:t>
            </w:r>
          </w:p>
        </w:tc>
        <w:tc>
          <w:tcPr>
            <w:tcW w:w="62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55.4</w:t>
            </w:r>
          </w:p>
        </w:tc>
      </w:tr>
      <w:tr>
        <w:trPr>
          <w:trHeight w:val="170"/>
        </w:trPr>
        <w:tc>
          <w:tcPr>
            <w:tcW w:w="4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6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4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810.1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831.6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702.2</w:t>
            </w:r>
          </w:p>
        </w:tc>
      </w:tr>
      <w:tr>
        <w:trPr>
          <w:trHeight w:val="170"/>
        </w:trPr>
        <w:tc>
          <w:tcPr>
            <w:tcW w:w="4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6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340" w:right="3360"/>
        <w:spacing w:after="0" w:line="257" w:lineRule="auto"/>
        <w:rPr>
          <w:sz w:val="20"/>
          <w:szCs w:val="20"/>
          <w:color w:val="auto"/>
        </w:rPr>
      </w:pPr>
      <w:r>
        <w:rPr>
          <w:rFonts w:ascii="Courier New" w:cs="Courier New" w:eastAsia="Courier New" w:hAnsi="Courier New"/>
          <w:sz w:val="14"/>
          <w:szCs w:val="14"/>
          <w:color w:val="auto"/>
        </w:rPr>
        <w:t>In October 2003, the Company substantially completed a refinancing of the former Credit Agreement ("Credit Agreement") and its $400 million 8 5/8% Senior Subordinated Notes ("8 5/8% Notes") in a series of transactions. On October 8, 2003, the Company issued $200 million of 6 5/8% Senior Subordinated Notes due November 15, 2013 ("6 5/8% Notes"). On October 21, 2003, substantially all of the outstanding 8 5/8% Notes were tendered, with the remainder being called on January 15, 2004. Finally, on October 22, 2003, the Company consummated a series of transactions which included the repayment of the term loans outstanding under the former Credit Agreement, the termination of the Credit Agreement, the execution of the Second Amended and Restated Credit Agreement ("New Credit Agreement"), and the borrowing of $500 million in the form of term loans under the New Credit Agreement. The costs recognized in the first fiscal quarter of 2004 on the extinguishment of the former Credit Agreement and retirement of the 8 5/8% Notes was $43.7 million, of which $19.4 million related to the write-off of deferred costs, $23.4 million related to the early redemption premiums paid on the redemption of the 8 5/8% Notes and $0.9 million related to transaction fees.</w:t>
      </w:r>
    </w:p>
    <w:p>
      <w:pPr>
        <w:spacing w:after="0" w:line="164" w:lineRule="exact"/>
        <w:rPr>
          <w:sz w:val="20"/>
          <w:szCs w:val="20"/>
          <w:color w:val="auto"/>
        </w:rPr>
      </w:pPr>
    </w:p>
    <w:p>
      <w:pPr>
        <w:ind w:left="340" w:right="3360"/>
        <w:spacing w:after="0" w:line="238" w:lineRule="auto"/>
        <w:rPr>
          <w:sz w:val="20"/>
          <w:szCs w:val="20"/>
          <w:color w:val="auto"/>
        </w:rPr>
      </w:pPr>
      <w:r>
        <w:rPr>
          <w:rFonts w:ascii="Courier New" w:cs="Courier New" w:eastAsia="Courier New" w:hAnsi="Courier New"/>
          <w:sz w:val="15"/>
          <w:szCs w:val="15"/>
          <w:color w:val="auto"/>
        </w:rPr>
        <w:t>The New Credit Agreement was entered into with a syndicate of commercial banks and institutional lenders. The New Credit Agreement consists of a $700 million multi-currency revolving credit commitment and a $500 million term loan B facility. Financial covenants consist of a minimum interest coverage ratio and a maximum leverage ratio. There also are negative covenants similar to those in the former Credit Agreement. All such covenants are less restrictive than those contained in the former Credit Agreement. Collateral for the borrowings under the New Credit Agreement consists of pledges by the Company and all of its domestic subsidiaries of substantially all of their personal, real and intellectual property assets. The Company and its subsidiaries also pledged a majority of the stock in foreign subsidiaries that borrow under the New Credit Agreement. At December 27, 2003, the Company is in compliance with all applicable covenants. Financing costs approximating $6.7 million incurred in conjunction with the New Credit Agreement have been deferred and are being amortized over the term of the New Credit Agreement.</w:t>
      </w:r>
    </w:p>
    <w:p>
      <w:pPr>
        <w:spacing w:after="0" w:line="186" w:lineRule="exact"/>
        <w:rPr>
          <w:sz w:val="20"/>
          <w:szCs w:val="20"/>
          <w:color w:val="auto"/>
        </w:rPr>
      </w:pPr>
    </w:p>
    <w:p>
      <w:pPr>
        <w:ind w:left="340" w:right="3360"/>
        <w:spacing w:after="0" w:line="257" w:lineRule="auto"/>
        <w:rPr>
          <w:sz w:val="20"/>
          <w:szCs w:val="20"/>
          <w:color w:val="auto"/>
        </w:rPr>
      </w:pPr>
      <w:r>
        <w:rPr>
          <w:rFonts w:ascii="Courier New" w:cs="Courier New" w:eastAsia="Courier New" w:hAnsi="Courier New"/>
          <w:sz w:val="14"/>
          <w:szCs w:val="14"/>
          <w:color w:val="auto"/>
        </w:rPr>
        <w:t>The revolving credit facilities under the New Credit Agreement provide for a $700 million commitment expiring on October 22, 2008. Borrowings may be made in U.S. Dollars and optional currencies including, but not limited to, Euros, British Pounds Sterling, Canadian Dollars and Australian Dollars. The revolving credit facilities provide that up to $65 million of the $700 million commitment may be used for letters of credit. Interest rate spreads under the New Credit Agreement will be determined by a pricing grid corresponding to a quarterly calculation of the Company's leverage ratio comprised of averaged components for the most recent four quarters.</w:t>
      </w:r>
    </w:p>
    <w:p>
      <w:pPr>
        <w:spacing w:after="0" w:line="167" w:lineRule="exact"/>
        <w:rPr>
          <w:sz w:val="20"/>
          <w:szCs w:val="20"/>
          <w:color w:val="auto"/>
        </w:rPr>
      </w:pPr>
    </w:p>
    <w:p>
      <w:pPr>
        <w:ind w:left="340" w:right="3360"/>
        <w:spacing w:after="0" w:line="238" w:lineRule="auto"/>
        <w:rPr>
          <w:sz w:val="20"/>
          <w:szCs w:val="20"/>
          <w:color w:val="auto"/>
        </w:rPr>
      </w:pPr>
      <w:r>
        <w:rPr>
          <w:rFonts w:ascii="Courier New" w:cs="Courier New" w:eastAsia="Courier New" w:hAnsi="Courier New"/>
          <w:sz w:val="15"/>
          <w:szCs w:val="15"/>
          <w:color w:val="auto"/>
        </w:rPr>
        <w:t>The $500 million term loan B facility expires on September 30, 2010. Repayment of the term loan B commences on March 31, 2004 with minimum quarterly principal payments of $500,000 through June 30, 2010 followed by a balloon maturity on September 30, 2010. The term loans carry a variable interest rate based on prime or LIBOR at the Company's election (currently LIBOR) plus a spread. The Company entered into interest rate swap agreements with major financial institutions to effectively convert a portion of the variable rate term loans to a fixed rate. The notional amount and the terms of the swap agreements vary. At December 27, 2003, swap agreements with a total notional amount of $200 million were in effect. Under the terms of these swap</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400"/>
          </w:cols>
          <w:pgMar w:left="240" w:top="622" w:right="1259" w:bottom="735" w:gutter="0" w:footer="0" w:header="0"/>
        </w:sectPr>
      </w:pPr>
    </w:p>
    <w:bookmarkStart w:id="10" w:name="page11"/>
    <w:bookmarkEnd w:id="10"/>
    <w:p>
      <w:pPr>
        <w:ind w:left="340" w:right="3259"/>
        <w:spacing w:after="0" w:line="237" w:lineRule="auto"/>
        <w:rPr>
          <w:sz w:val="20"/>
          <w:szCs w:val="20"/>
          <w:color w:val="auto"/>
        </w:rPr>
      </w:pPr>
      <w:r>
        <w:rPr>
          <w:rFonts w:ascii="Courier New" w:cs="Courier New" w:eastAsia="Courier New" w:hAnsi="Courier New"/>
          <w:sz w:val="15"/>
          <w:szCs w:val="15"/>
          <w:color w:val="auto"/>
        </w:rPr>
        <w:t>agreements, the Company pays fixed rates ranging from 2.76% to 3.765%, plus a spread based on the pricing grid contained in the New Credit Agreement, and receives payments based on three-month LIBOR in return.</w:t>
      </w:r>
    </w:p>
    <w:p>
      <w:pPr>
        <w:spacing w:after="0" w:line="175" w:lineRule="exact"/>
        <w:rPr>
          <w:sz w:val="20"/>
          <w:szCs w:val="20"/>
          <w:color w:val="auto"/>
        </w:rPr>
      </w:pPr>
    </w:p>
    <w:p>
      <w:pPr>
        <w:ind w:left="340" w:right="3179"/>
        <w:spacing w:after="0" w:line="238" w:lineRule="auto"/>
        <w:rPr>
          <w:sz w:val="20"/>
          <w:szCs w:val="20"/>
          <w:color w:val="auto"/>
        </w:rPr>
      </w:pPr>
      <w:r>
        <w:rPr>
          <w:rFonts w:ascii="Courier New" w:cs="Courier New" w:eastAsia="Courier New" w:hAnsi="Courier New"/>
          <w:sz w:val="15"/>
          <w:szCs w:val="15"/>
          <w:color w:val="auto"/>
        </w:rPr>
        <w:t>The 6 5/8% Notes were issued in accordance with Rule 144A and Regulation S under the Securities Act of 1933. The 6 5/8% Notes were sold at par, pay interest semi-annually on May 15 and November 15, have a ten-year maturity with a five-year no-call provision, and are guaranteed by the current and future domestic restricted subsidiaries of the Company. Such guarantees are unsecured senior subordinated obligations of the Company. The covenants contained in the 6 5/8% Notes indenture are less restrictive than those contained in the 8 5/8% Notes indenture. It is anticipated that the registration of the 6 5/8% Notes with the Securities and Exchange Commission will become effective in February 2004. Financing costs approximating $4.2 million incurred with the issuance of the 6 5/8% Notes have been deferred and are being amortized over the term of the Notes.</w:t>
      </w:r>
    </w:p>
    <w:p>
      <w:pPr>
        <w:spacing w:after="0" w:line="182" w:lineRule="exact"/>
        <w:rPr>
          <w:sz w:val="20"/>
          <w:szCs w:val="20"/>
          <w:color w:val="auto"/>
        </w:rPr>
      </w:pPr>
    </w:p>
    <w:p>
      <w:pPr>
        <w:ind w:left="340" w:right="3259"/>
        <w:spacing w:after="0" w:line="257" w:lineRule="auto"/>
        <w:rPr>
          <w:sz w:val="20"/>
          <w:szCs w:val="20"/>
          <w:color w:val="auto"/>
        </w:rPr>
      </w:pPr>
      <w:r>
        <w:rPr>
          <w:rFonts w:ascii="Courier New" w:cs="Courier New" w:eastAsia="Courier New" w:hAnsi="Courier New"/>
          <w:sz w:val="14"/>
          <w:szCs w:val="14"/>
          <w:color w:val="auto"/>
        </w:rPr>
        <w:t>The Company called the 8 5/8% Notes at 106.05% per $1,000 Note resulting in a principal tendered amount of approximately $386.8 million on October 21, 2003. On November 21, 2003, the Company delivered notice to the trustee to redeem the remaining $13.2 million of 8 5/8% Notes, that were not tendered, on the first call date of January 15, 2004 at 104.313% per $1,000 Note plus accrued interest. The Company will recognize an additional loss on refinancing of approximately $0.6 million in the second quarter of fiscal 2004 relating to the redemption of the remaining 8 5/8% Notes.</w:t>
      </w:r>
    </w:p>
    <w:p>
      <w:pPr>
        <w:spacing w:after="0" w:line="161" w:lineRule="exact"/>
        <w:rPr>
          <w:sz w:val="20"/>
          <w:szCs w:val="20"/>
          <w:color w:val="auto"/>
        </w:rPr>
      </w:pPr>
    </w:p>
    <w:p>
      <w:pPr>
        <w:spacing w:after="0"/>
        <w:tabs>
          <w:tab w:leader="none" w:pos="320" w:val="left"/>
        </w:tabs>
        <w:rPr>
          <w:sz w:val="20"/>
          <w:szCs w:val="20"/>
          <w:color w:val="auto"/>
        </w:rPr>
      </w:pPr>
      <w:r>
        <w:rPr>
          <w:rFonts w:ascii="Courier New" w:cs="Courier New" w:eastAsia="Courier New" w:hAnsi="Courier New"/>
          <w:sz w:val="15"/>
          <w:szCs w:val="15"/>
          <w:color w:val="auto"/>
        </w:rPr>
        <w:t>6.</w:t>
        <w:tab/>
        <w:t>STATEMENT OF COMPREHENSIVE INCOME</w:t>
      </w:r>
    </w:p>
    <w:p>
      <w:pPr>
        <w:spacing w:after="0" w:line="175" w:lineRule="exact"/>
        <w:rPr>
          <w:sz w:val="20"/>
          <w:szCs w:val="20"/>
          <w:color w:val="auto"/>
        </w:rPr>
      </w:pPr>
    </w:p>
    <w:p>
      <w:pPr>
        <w:ind w:left="340" w:right="3259"/>
        <w:spacing w:after="0" w:line="237" w:lineRule="auto"/>
        <w:rPr>
          <w:sz w:val="20"/>
          <w:szCs w:val="20"/>
          <w:color w:val="auto"/>
        </w:rPr>
      </w:pPr>
      <w:r>
        <w:rPr>
          <w:rFonts w:ascii="Courier New" w:cs="Courier New" w:eastAsia="Courier New" w:hAnsi="Courier New"/>
          <w:sz w:val="15"/>
          <w:szCs w:val="15"/>
          <w:color w:val="auto"/>
        </w:rPr>
        <w:t>The components of other comprehensive loss and total comprehensive loss for the three months ended December 27, 2003 and December 28, 2002 are as follows: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THREE MONTHS ENDED</w:t>
            </w:r>
          </w:p>
        </w:tc>
      </w:tr>
      <w:tr>
        <w:trPr>
          <w:trHeight w:val="170"/>
        </w:trPr>
        <w:tc>
          <w:tcPr>
            <w:tcW w:w="260" w:type="dxa"/>
            <w:vAlign w:val="bottom"/>
          </w:tcPr>
          <w:p>
            <w:pPr>
              <w:spacing w:after="0"/>
              <w:rPr>
                <w:sz w:val="14"/>
                <w:szCs w:val="14"/>
                <w:color w:val="auto"/>
              </w:rPr>
            </w:pPr>
          </w:p>
        </w:tc>
        <w:tc>
          <w:tcPr>
            <w:tcW w:w="7920" w:type="dxa"/>
            <w:vAlign w:val="bottom"/>
            <w:gridSpan w:val="3"/>
          </w:tcPr>
          <w:p>
            <w:pPr>
              <w:ind w:left="6700"/>
              <w:spacing w:after="0"/>
              <w:rPr>
                <w:sz w:val="20"/>
                <w:szCs w:val="20"/>
                <w:color w:val="auto"/>
              </w:rPr>
            </w:pPr>
            <w:r>
              <w:rPr>
                <w:rFonts w:ascii="Courier New" w:cs="Courier New" w:eastAsia="Courier New" w:hAnsi="Courier New"/>
                <w:sz w:val="15"/>
                <w:szCs w:val="15"/>
                <w:color w:val="auto"/>
              </w:rPr>
              <w:t>DECEMBER 27,</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28,</w:t>
            </w:r>
          </w:p>
        </w:tc>
      </w:tr>
      <w:tr>
        <w:trPr>
          <w:trHeight w:val="170"/>
        </w:trPr>
        <w:tc>
          <w:tcPr>
            <w:tcW w:w="26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527"/>
              <w:spacing w:after="0"/>
              <w:rPr>
                <w:sz w:val="20"/>
                <w:szCs w:val="20"/>
                <w:color w:val="auto"/>
              </w:rPr>
            </w:pPr>
            <w:r>
              <w:rPr>
                <w:rFonts w:ascii="Courier New" w:cs="Courier New" w:eastAsia="Courier New" w:hAnsi="Courier New"/>
                <w:sz w:val="15"/>
                <w:szCs w:val="15"/>
                <w:color w:val="auto"/>
                <w:w w:val="94"/>
              </w:rPr>
              <w:t>2003</w:t>
            </w:r>
          </w:p>
        </w:tc>
        <w:tc>
          <w:tcPr>
            <w:tcW w:w="400" w:type="dxa"/>
            <w:vAlign w:val="bottom"/>
          </w:tcPr>
          <w:p>
            <w:pPr>
              <w:spacing w:after="0"/>
              <w:rPr>
                <w:sz w:val="14"/>
                <w:szCs w:val="14"/>
                <w:color w:val="auto"/>
              </w:rPr>
            </w:pPr>
          </w:p>
        </w:tc>
        <w:tc>
          <w:tcPr>
            <w:tcW w:w="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2002</w:t>
            </w:r>
          </w:p>
        </w:tc>
      </w:tr>
      <w:tr>
        <w:trPr>
          <w:trHeight w:val="170"/>
        </w:trPr>
        <w:tc>
          <w:tcPr>
            <w:tcW w:w="26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1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w w:val="94"/>
              </w:rPr>
              <w:t>--------</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260" w:type="dxa"/>
            <w:vAlign w:val="bottom"/>
          </w:tcPr>
          <w:p>
            <w:pPr>
              <w:spacing w:after="0"/>
              <w:rPr>
                <w:sz w:val="24"/>
                <w:szCs w:val="24"/>
                <w:color w:val="auto"/>
              </w:rPr>
            </w:pPr>
          </w:p>
        </w:tc>
        <w:tc>
          <w:tcPr>
            <w:tcW w:w="6780" w:type="dxa"/>
            <w:vAlign w:val="bottom"/>
          </w:tcPr>
          <w:p>
            <w:pPr>
              <w:ind w:left="1940"/>
              <w:spacing w:after="0"/>
              <w:rPr>
                <w:sz w:val="20"/>
                <w:szCs w:val="20"/>
                <w:color w:val="auto"/>
              </w:rPr>
            </w:pPr>
            <w:r>
              <w:rPr>
                <w:rFonts w:ascii="Courier New" w:cs="Courier New" w:eastAsia="Courier New" w:hAnsi="Courier New"/>
                <w:sz w:val="15"/>
                <w:szCs w:val="15"/>
                <w:color w:val="auto"/>
              </w:rPr>
              <w:t>Net loss........................................</w:t>
            </w:r>
          </w:p>
        </w:tc>
        <w:tc>
          <w:tcPr>
            <w:tcW w:w="18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(70.7)</w:t>
            </w:r>
          </w:p>
        </w:tc>
        <w:tc>
          <w:tcPr>
            <w:tcW w:w="4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(46.8)</w:t>
            </w:r>
          </w:p>
        </w:tc>
      </w:tr>
      <w:tr>
        <w:trPr>
          <w:trHeight w:val="170"/>
        </w:trPr>
        <w:tc>
          <w:tcPr>
            <w:tcW w:w="260" w:type="dxa"/>
            <w:vAlign w:val="bottom"/>
          </w:tcPr>
          <w:p>
            <w:pPr>
              <w:spacing w:after="0"/>
              <w:rPr>
                <w:sz w:val="14"/>
                <w:szCs w:val="14"/>
                <w:color w:val="auto"/>
              </w:rPr>
            </w:pPr>
          </w:p>
        </w:tc>
        <w:tc>
          <w:tcPr>
            <w:tcW w:w="6780" w:type="dxa"/>
            <w:vAlign w:val="bottom"/>
          </w:tcPr>
          <w:p>
            <w:pPr>
              <w:ind w:left="1940"/>
              <w:spacing w:after="0"/>
              <w:rPr>
                <w:sz w:val="20"/>
                <w:szCs w:val="20"/>
                <w:color w:val="auto"/>
              </w:rPr>
            </w:pPr>
            <w:r>
              <w:rPr>
                <w:rFonts w:ascii="Courier New" w:cs="Courier New" w:eastAsia="Courier New" w:hAnsi="Courier New"/>
                <w:sz w:val="15"/>
                <w:szCs w:val="15"/>
                <w:color w:val="auto"/>
              </w:rPr>
              <w:t>Other comprehensive income (expense):</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260" w:type="dxa"/>
            <w:vAlign w:val="bottom"/>
          </w:tcPr>
          <w:p>
            <w:pPr>
              <w:spacing w:after="0"/>
              <w:rPr>
                <w:sz w:val="14"/>
                <w:szCs w:val="14"/>
                <w:color w:val="auto"/>
              </w:rPr>
            </w:pPr>
          </w:p>
        </w:tc>
        <w:tc>
          <w:tcPr>
            <w:tcW w:w="6780" w:type="dxa"/>
            <w:vAlign w:val="bottom"/>
          </w:tcPr>
          <w:p>
            <w:pPr>
              <w:ind w:left="1940"/>
              <w:spacing w:after="0"/>
              <w:rPr>
                <w:sz w:val="20"/>
                <w:szCs w:val="20"/>
                <w:color w:val="auto"/>
              </w:rPr>
            </w:pPr>
            <w:r>
              <w:rPr>
                <w:rFonts w:ascii="Courier New" w:cs="Courier New" w:eastAsia="Courier New" w:hAnsi="Courier New"/>
                <w:sz w:val="15"/>
                <w:szCs w:val="15"/>
                <w:color w:val="auto"/>
              </w:rPr>
              <w:t>Change in valuation of derivative instruments...</w:t>
            </w:r>
          </w:p>
        </w:tc>
        <w:tc>
          <w:tcPr>
            <w:tcW w:w="18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0.1</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260" w:type="dxa"/>
            <w:vAlign w:val="bottom"/>
          </w:tcPr>
          <w:p>
            <w:pPr>
              <w:spacing w:after="0"/>
              <w:rPr>
                <w:sz w:val="14"/>
                <w:szCs w:val="14"/>
                <w:color w:val="auto"/>
              </w:rPr>
            </w:pPr>
          </w:p>
        </w:tc>
        <w:tc>
          <w:tcPr>
            <w:tcW w:w="6780" w:type="dxa"/>
            <w:vAlign w:val="bottom"/>
          </w:tcPr>
          <w:p>
            <w:pPr>
              <w:ind w:left="1940"/>
              <w:spacing w:after="0"/>
              <w:rPr>
                <w:sz w:val="20"/>
                <w:szCs w:val="20"/>
                <w:color w:val="auto"/>
              </w:rPr>
            </w:pPr>
            <w:r>
              <w:rPr>
                <w:rFonts w:ascii="Courier New" w:cs="Courier New" w:eastAsia="Courier New" w:hAnsi="Courier New"/>
                <w:sz w:val="15"/>
                <w:szCs w:val="15"/>
                <w:color w:val="auto"/>
              </w:rPr>
              <w:t>Foreign currency translation adjustments........</w:t>
            </w:r>
          </w:p>
        </w:tc>
        <w:tc>
          <w:tcPr>
            <w:tcW w:w="18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(0.8)</w:t>
            </w:r>
          </w:p>
        </w:tc>
        <w:tc>
          <w:tcPr>
            <w:tcW w:w="40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(0.6)</w:t>
            </w:r>
          </w:p>
        </w:tc>
      </w:tr>
      <w:tr>
        <w:trPr>
          <w:trHeight w:val="170"/>
        </w:trPr>
        <w:tc>
          <w:tcPr>
            <w:tcW w:w="26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1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r>
      <w:tr>
        <w:trPr>
          <w:trHeight w:val="170"/>
        </w:trPr>
        <w:tc>
          <w:tcPr>
            <w:tcW w:w="260" w:type="dxa"/>
            <w:vAlign w:val="bottom"/>
          </w:tcPr>
          <w:p>
            <w:pPr>
              <w:spacing w:after="0"/>
              <w:rPr>
                <w:sz w:val="14"/>
                <w:szCs w:val="14"/>
                <w:color w:val="auto"/>
              </w:rPr>
            </w:pPr>
          </w:p>
        </w:tc>
        <w:tc>
          <w:tcPr>
            <w:tcW w:w="6780" w:type="dxa"/>
            <w:vAlign w:val="bottom"/>
          </w:tcPr>
          <w:p>
            <w:pPr>
              <w:ind w:left="1940"/>
              <w:spacing w:after="0"/>
              <w:rPr>
                <w:sz w:val="20"/>
                <w:szCs w:val="20"/>
                <w:color w:val="auto"/>
              </w:rPr>
            </w:pPr>
            <w:r>
              <w:rPr>
                <w:rFonts w:ascii="Courier New" w:cs="Courier New" w:eastAsia="Courier New" w:hAnsi="Courier New"/>
                <w:sz w:val="15"/>
                <w:szCs w:val="15"/>
                <w:color w:val="auto"/>
              </w:rPr>
              <w:t>Comprehensive loss..............................</w:t>
            </w:r>
          </w:p>
        </w:tc>
        <w:tc>
          <w:tcPr>
            <w:tcW w:w="18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(71.4)</w:t>
            </w:r>
          </w:p>
        </w:tc>
        <w:tc>
          <w:tcPr>
            <w:tcW w:w="4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(47.4)</w:t>
            </w:r>
          </w:p>
        </w:tc>
      </w:tr>
      <w:tr>
        <w:trPr>
          <w:trHeight w:val="170"/>
        </w:trPr>
        <w:tc>
          <w:tcPr>
            <w:tcW w:w="26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1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509"/>
        </w:trPr>
        <w:tc>
          <w:tcPr>
            <w:tcW w:w="2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77"/>
              </w:rPr>
              <w:t>7.</w:t>
            </w:r>
          </w:p>
        </w:tc>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AIRCRAFT LEASE</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9"/>
        </w:trPr>
        <w:tc>
          <w:tcPr>
            <w:tcW w:w="260" w:type="dxa"/>
            <w:vAlign w:val="bottom"/>
          </w:tcPr>
          <w:p>
            <w:pPr>
              <w:spacing w:after="0"/>
              <w:rPr>
                <w:sz w:val="24"/>
                <w:szCs w:val="24"/>
                <w:color w:val="auto"/>
              </w:rPr>
            </w:pPr>
          </w:p>
        </w:tc>
        <w:tc>
          <w:tcPr>
            <w:tcW w:w="6780" w:type="dxa"/>
            <w:vAlign w:val="bottom"/>
          </w:tcPr>
          <w:p>
            <w:pPr>
              <w:ind w:left="80"/>
              <w:spacing w:after="0"/>
              <w:rPr>
                <w:sz w:val="20"/>
                <w:szCs w:val="20"/>
                <w:color w:val="auto"/>
              </w:rPr>
            </w:pPr>
            <w:r>
              <w:rPr>
                <w:rFonts w:ascii="Courier New" w:cs="Courier New" w:eastAsia="Courier New" w:hAnsi="Courier New"/>
                <w:sz w:val="15"/>
                <w:szCs w:val="15"/>
                <w:color w:val="auto"/>
                <w:w w:val="98"/>
              </w:rPr>
              <w:t>In late January 2004, the Company took final delivery of a used aircraft in</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260" w:type="dxa"/>
            <w:vAlign w:val="bottom"/>
          </w:tcPr>
          <w:p>
            <w:pPr>
              <w:spacing w:after="0"/>
              <w:rPr>
                <w:sz w:val="14"/>
                <w:szCs w:val="14"/>
                <w:color w:val="auto"/>
              </w:rPr>
            </w:pPr>
          </w:p>
        </w:tc>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a synthetic operating lease transaction. The lease agreement provides that</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260" w:type="dxa"/>
            <w:vAlign w:val="bottom"/>
          </w:tcPr>
          <w:p>
            <w:pPr>
              <w:spacing w:after="0"/>
              <w:rPr>
                <w:sz w:val="14"/>
                <w:szCs w:val="14"/>
                <w:color w:val="auto"/>
              </w:rPr>
            </w:pPr>
          </w:p>
        </w:tc>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the Company pays taxes, insurance and maintenance on the aircraft. The</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260" w:type="dxa"/>
            <w:vAlign w:val="bottom"/>
          </w:tcPr>
          <w:p>
            <w:pPr>
              <w:spacing w:after="0"/>
              <w:rPr>
                <w:sz w:val="14"/>
                <w:szCs w:val="14"/>
                <w:color w:val="auto"/>
              </w:rPr>
            </w:pPr>
          </w:p>
        </w:tc>
        <w:tc>
          <w:tcPr>
            <w:tcW w:w="6780" w:type="dxa"/>
            <w:vAlign w:val="bottom"/>
          </w:tcPr>
          <w:p>
            <w:pPr>
              <w:ind w:left="80"/>
              <w:spacing w:after="0"/>
              <w:rPr>
                <w:sz w:val="20"/>
                <w:szCs w:val="20"/>
                <w:color w:val="auto"/>
              </w:rPr>
            </w:pPr>
            <w:r>
              <w:rPr>
                <w:rFonts w:ascii="Courier New" w:cs="Courier New" w:eastAsia="Courier New" w:hAnsi="Courier New"/>
                <w:sz w:val="15"/>
                <w:szCs w:val="15"/>
                <w:color w:val="auto"/>
                <w:w w:val="97"/>
              </w:rPr>
              <w:t>lease term expires in August 2008 but provides for a purchase option and two</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260" w:type="dxa"/>
            <w:vAlign w:val="bottom"/>
          </w:tcPr>
          <w:p>
            <w:pPr>
              <w:spacing w:after="0"/>
              <w:rPr>
                <w:sz w:val="14"/>
                <w:szCs w:val="14"/>
                <w:color w:val="auto"/>
              </w:rPr>
            </w:pPr>
          </w:p>
        </w:tc>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one-year renewal options at a fair market rental value, as defined in the</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260" w:type="dxa"/>
            <w:vAlign w:val="bottom"/>
          </w:tcPr>
          <w:p>
            <w:pPr>
              <w:spacing w:after="0"/>
              <w:rPr>
                <w:sz w:val="14"/>
                <w:szCs w:val="14"/>
                <w:color w:val="auto"/>
              </w:rPr>
            </w:pPr>
          </w:p>
        </w:tc>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lease agreement. The Company also has a maximum contingent obligation</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260" w:type="dxa"/>
            <w:vAlign w:val="bottom"/>
          </w:tcPr>
          <w:p>
            <w:pPr>
              <w:spacing w:after="0"/>
              <w:rPr>
                <w:sz w:val="14"/>
                <w:szCs w:val="14"/>
                <w:color w:val="auto"/>
              </w:rPr>
            </w:pPr>
          </w:p>
        </w:tc>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approximating $9.3 million based on the provisions of a residual value</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260" w:type="dxa"/>
            <w:vAlign w:val="bottom"/>
          </w:tcPr>
          <w:p>
            <w:pPr>
              <w:spacing w:after="0"/>
              <w:rPr>
                <w:sz w:val="14"/>
                <w:szCs w:val="14"/>
                <w:color w:val="auto"/>
              </w:rPr>
            </w:pPr>
          </w:p>
        </w:tc>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guarantee.</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9"/>
        </w:trPr>
        <w:tc>
          <w:tcPr>
            <w:tcW w:w="2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77"/>
              </w:rPr>
              <w:t>8.</w:t>
            </w:r>
          </w:p>
        </w:tc>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CONTINGENCIES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9"/>
        </w:trPr>
        <w:tc>
          <w:tcPr>
            <w:tcW w:w="260" w:type="dxa"/>
            <w:vAlign w:val="bottom"/>
          </w:tcPr>
          <w:p>
            <w:pPr>
              <w:spacing w:after="0"/>
              <w:rPr>
                <w:sz w:val="24"/>
                <w:szCs w:val="24"/>
                <w:color w:val="auto"/>
              </w:rPr>
            </w:pPr>
          </w:p>
        </w:tc>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Management continually evaluates the Company's contingencies, including</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260" w:type="dxa"/>
            <w:vAlign w:val="bottom"/>
          </w:tcPr>
          <w:p>
            <w:pPr>
              <w:spacing w:after="0"/>
              <w:rPr>
                <w:sz w:val="14"/>
                <w:szCs w:val="14"/>
                <w:color w:val="auto"/>
              </w:rPr>
            </w:pPr>
          </w:p>
        </w:tc>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various lawsuits and claims which arise in the normal course of business,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260" w:type="dxa"/>
            <w:vAlign w:val="bottom"/>
          </w:tcPr>
          <w:p>
            <w:pPr>
              <w:spacing w:after="0"/>
              <w:rPr>
                <w:sz w:val="14"/>
                <w:szCs w:val="14"/>
                <w:color w:val="auto"/>
              </w:rPr>
            </w:pPr>
          </w:p>
        </w:tc>
        <w:tc>
          <w:tcPr>
            <w:tcW w:w="6780" w:type="dxa"/>
            <w:vAlign w:val="bottom"/>
          </w:tcPr>
          <w:p>
            <w:pPr>
              <w:ind w:left="80"/>
              <w:spacing w:after="0"/>
              <w:rPr>
                <w:sz w:val="20"/>
                <w:szCs w:val="20"/>
                <w:color w:val="auto"/>
              </w:rPr>
            </w:pPr>
            <w:r>
              <w:rPr>
                <w:rFonts w:ascii="Courier New" w:cs="Courier New" w:eastAsia="Courier New" w:hAnsi="Courier New"/>
                <w:sz w:val="15"/>
                <w:szCs w:val="15"/>
                <w:color w:val="auto"/>
                <w:w w:val="98"/>
              </w:rPr>
              <w:t>product and general liabilities, worker's compensation, property losses and</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260" w:type="dxa"/>
            <w:vAlign w:val="bottom"/>
          </w:tcPr>
          <w:p>
            <w:pPr>
              <w:spacing w:after="0"/>
              <w:rPr>
                <w:sz w:val="14"/>
                <w:szCs w:val="14"/>
                <w:color w:val="auto"/>
              </w:rPr>
            </w:pPr>
          </w:p>
        </w:tc>
        <w:tc>
          <w:tcPr>
            <w:tcW w:w="6780" w:type="dxa"/>
            <w:vAlign w:val="bottom"/>
          </w:tcPr>
          <w:p>
            <w:pPr>
              <w:ind w:left="80"/>
              <w:spacing w:after="0"/>
              <w:rPr>
                <w:sz w:val="20"/>
                <w:szCs w:val="20"/>
                <w:color w:val="auto"/>
              </w:rPr>
            </w:pPr>
            <w:r>
              <w:rPr>
                <w:rFonts w:ascii="Courier New" w:cs="Courier New" w:eastAsia="Courier New" w:hAnsi="Courier New"/>
                <w:sz w:val="15"/>
                <w:szCs w:val="15"/>
                <w:color w:val="auto"/>
                <w:w w:val="97"/>
              </w:rPr>
              <w:t>other fiduciary liabilities for which the Company is self-insured or retains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260" w:type="dxa"/>
            <w:vAlign w:val="bottom"/>
          </w:tcPr>
          <w:p>
            <w:pPr>
              <w:spacing w:after="0"/>
              <w:rPr>
                <w:sz w:val="14"/>
                <w:szCs w:val="14"/>
                <w:color w:val="auto"/>
              </w:rPr>
            </w:pPr>
          </w:p>
        </w:tc>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a high exposure limit. Insurance reserves are established within an</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bl>
    <w:p>
      <w:pPr>
        <w:spacing w:after="0" w:line="5" w:lineRule="exact"/>
        <w:rPr>
          <w:sz w:val="20"/>
          <w:szCs w:val="20"/>
          <w:color w:val="auto"/>
        </w:rPr>
      </w:pPr>
    </w:p>
    <w:p>
      <w:pPr>
        <w:ind w:left="340" w:right="3179"/>
        <w:spacing w:after="0" w:line="238" w:lineRule="auto"/>
        <w:rPr>
          <w:sz w:val="20"/>
          <w:szCs w:val="20"/>
          <w:color w:val="auto"/>
        </w:rPr>
      </w:pPr>
      <w:r>
        <w:rPr>
          <w:rFonts w:ascii="Courier New" w:cs="Courier New" w:eastAsia="Courier New" w:hAnsi="Courier New"/>
          <w:sz w:val="15"/>
          <w:szCs w:val="15"/>
          <w:color w:val="auto"/>
        </w:rPr>
        <w:t>actuarially determined range. In the opinion of management, its assessment of contingencies is reasonable and related reserves, in the aggregate, are adequate; however, there can be no assurance that future quarterly or annual operating results will not be materially affected by final resolution of these matters. The following matters are the more significant of the Company's identified contingencies.</w:t>
      </w:r>
    </w:p>
    <w:p>
      <w:pPr>
        <w:spacing w:after="0" w:line="17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ENVIRONMENTAL MATTERS</w:t>
      </w:r>
    </w:p>
    <w:p>
      <w:pPr>
        <w:ind w:left="3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340" w:right="3179"/>
        <w:spacing w:after="0" w:line="257" w:lineRule="auto"/>
        <w:rPr>
          <w:sz w:val="20"/>
          <w:szCs w:val="20"/>
          <w:color w:val="auto"/>
        </w:rPr>
      </w:pPr>
      <w:r>
        <w:rPr>
          <w:rFonts w:ascii="Courier New" w:cs="Courier New" w:eastAsia="Courier New" w:hAnsi="Courier New"/>
          <w:sz w:val="14"/>
          <w:szCs w:val="14"/>
          <w:color w:val="auto"/>
        </w:rPr>
        <w:t>In June 1997, the Ohio EPA initiated an enforcement action against us with respect to alleged surface water violations and inadequate treatment capabilities at our Marysville, Ohio facility and seeking corrective action under the federal Resource Conservation and Recovery Act. The action related to several discontinued on-site disposal areas which dated back to the early operations of the Marysville facility that we had already been assessing and, in some cases, remediating, on a voluntary basis. On December 3, 2001, an agreed judicial Consent Order was submitted to the Union County Common Pleas Court and was entered by the court on January 25, 2002.</w:t>
      </w:r>
    </w:p>
    <w:p>
      <w:pPr>
        <w:spacing w:after="0" w:line="1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458" w:right="1440" w:bottom="904" w:gutter="0" w:footer="0" w:header="0"/>
        </w:sectPr>
      </w:pPr>
    </w:p>
    <w:bookmarkStart w:id="11" w:name="page12"/>
    <w:bookmarkEnd w:id="11"/>
    <w:p>
      <w:pPr>
        <w:ind w:right="3179"/>
        <w:spacing w:after="0" w:line="238" w:lineRule="auto"/>
        <w:rPr>
          <w:sz w:val="20"/>
          <w:szCs w:val="20"/>
          <w:color w:val="auto"/>
        </w:rPr>
      </w:pPr>
      <w:r>
        <w:rPr>
          <w:rFonts w:ascii="Courier New" w:cs="Courier New" w:eastAsia="Courier New" w:hAnsi="Courier New"/>
          <w:sz w:val="15"/>
          <w:szCs w:val="15"/>
          <w:color w:val="auto"/>
        </w:rPr>
        <w:t>Pursuant to the Consent Order, we paid a $275,000 fine and must satisfactorily remediate the Marysville site. We have continued our remediation activities with the knowledge and oversight of the Ohio EPA. We completed an updated evaluation of our expected liability related to this matter based on the fine paid and remediation actions that we have taken and expect to take in the future. As a result, we accrued an additional $3.0 million in the third quarter of fiscal 2002 to increase our reserve based on the latest estimates.</w:t>
      </w:r>
    </w:p>
    <w:p>
      <w:pPr>
        <w:spacing w:after="0" w:line="178"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In addition to the dispute with the Ohio EPA, we are negotiating with the Philadelphia District of the U.S. Army Corps of Engineers regarding the terms of site remediation and the resolution of the Corps' civil penalty demand in connection with our prior peat harvesting operations at our Lafayette, New Jersey facility. We are also addressing remediation concerns raised by the Environment Agency of the United Kingdom with respect to emissions to air and groundwater at our Bramford (Suffolk), United Kingdom facility. We have reserved for our estimates of probable losses to be incurred in connection with each of these matters.</w:t>
      </w:r>
    </w:p>
    <w:p>
      <w:pPr>
        <w:spacing w:after="0" w:line="179"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At December 27, 2003, $6.5 million was accrued for the environmental and regulatory matters described herein. The most significant component of this accrual are estimated costs for site remediation of $4.5 million. Most of the costs accrued as of the end of the current fiscal quarter, are expected to be paid in fiscal 2004 and 2005; however, payments could be made for a period thereafter.</w:t>
      </w:r>
    </w:p>
    <w:p>
      <w:pPr>
        <w:spacing w:after="0" w:line="176" w:lineRule="exact"/>
        <w:rPr>
          <w:sz w:val="20"/>
          <w:szCs w:val="20"/>
          <w:color w:val="auto"/>
        </w:rPr>
      </w:pPr>
    </w:p>
    <w:p>
      <w:pPr>
        <w:ind w:right="3539"/>
        <w:spacing w:after="0" w:line="259" w:lineRule="auto"/>
        <w:rPr>
          <w:sz w:val="20"/>
          <w:szCs w:val="20"/>
          <w:color w:val="auto"/>
        </w:rPr>
      </w:pPr>
      <w:r>
        <w:rPr>
          <w:rFonts w:ascii="Courier New" w:cs="Courier New" w:eastAsia="Courier New" w:hAnsi="Courier New"/>
          <w:sz w:val="14"/>
          <w:szCs w:val="14"/>
          <w:color w:val="auto"/>
        </w:rPr>
        <w:t>We believe that the amounts accrued as of the end of the current fiscal quarter are adequate to cover our known environmental exposures based on current facts and estimates of likely outcome. However, the adequacy of these accruals is based on several significant assumptions:</w:t>
      </w:r>
    </w:p>
    <w:p>
      <w:pPr>
        <w:spacing w:after="0" w:line="163" w:lineRule="exact"/>
        <w:rPr>
          <w:sz w:val="20"/>
          <w:szCs w:val="20"/>
          <w:color w:val="auto"/>
        </w:rPr>
      </w:pPr>
    </w:p>
    <w:p>
      <w:pPr>
        <w:ind w:left="180" w:right="3979" w:hanging="177"/>
        <w:spacing w:after="0" w:line="235" w:lineRule="auto"/>
        <w:tabs>
          <w:tab w:leader="none" w:pos="1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we have identified all of the significant sites that must be remediated;</w:t>
      </w:r>
    </w:p>
    <w:p>
      <w:pPr>
        <w:spacing w:after="0" w:line="175" w:lineRule="exact"/>
        <w:rPr>
          <w:rFonts w:ascii="Courier New" w:cs="Courier New" w:eastAsia="Courier New" w:hAnsi="Courier New"/>
          <w:sz w:val="15"/>
          <w:szCs w:val="15"/>
          <w:color w:val="auto"/>
        </w:rPr>
      </w:pPr>
    </w:p>
    <w:p>
      <w:pPr>
        <w:ind w:left="180" w:right="3799" w:hanging="177"/>
        <w:spacing w:after="0" w:line="235" w:lineRule="auto"/>
        <w:tabs>
          <w:tab w:leader="none" w:pos="1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there are no significant conditions of potential contamination that are unknown to us; and</w:t>
      </w:r>
    </w:p>
    <w:p>
      <w:pPr>
        <w:spacing w:after="0" w:line="175" w:lineRule="exact"/>
        <w:rPr>
          <w:rFonts w:ascii="Courier New" w:cs="Courier New" w:eastAsia="Courier New" w:hAnsi="Courier New"/>
          <w:sz w:val="15"/>
          <w:szCs w:val="15"/>
          <w:color w:val="auto"/>
        </w:rPr>
      </w:pPr>
    </w:p>
    <w:p>
      <w:pPr>
        <w:ind w:left="180" w:right="3699" w:hanging="177"/>
        <w:spacing w:after="0" w:line="237" w:lineRule="auto"/>
        <w:tabs>
          <w:tab w:leader="none" w:pos="1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with respect to the agreed judicial Consent Order in Ohio, that potentially contaminated soil can be remediated in place rather than having to be removed and only specific stream segments will require remediation as opposed to the entire stream.</w:t>
      </w:r>
    </w:p>
    <w:p>
      <w:pPr>
        <w:spacing w:after="0" w:line="17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If there is a significant change in the facts and circumstances surrounding these assumptions, it could have a material impact on the ultimate outcome of these matters and our results of operations, financial position and cash flows.</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During fiscal 2003, we made approximately $1.5 million in environmental expenditures, compared with approximately $0.3 million in environmental capital expenditures and $5.4 million in environmental expenditures for fiscal 2002. Included in the $5.4 million is the $3.0 million increase in the accrual for future costs related to site remediation as described above. We expect spending on environmental matters in fiscal 2004 will not vary materially from amounts spent in fiscal 2003.</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As noted in the discussion above under "Environmental Matters", we are involved in several pending environmental matters. We believe that our assessment of contingencies is reasonable and that related reserves, in the aggregate, are adequate; however, there can be no assurance that the final resolution of these matters will not have a material adverse affect on our results of operations, financial position and cash flows.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Pending material legal proceedings are as follows: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AGREVO ENVIRONMENTAL HEALTH, INC.</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On June 3, 1999, AgrEvo Environmental Health, Inc. ("AgrEvo") (which subsequently changed its name to Aventis Environmental Health Science USA LP) filed a complaint in the U.S. District Court for the Southern District of New York (the "New York Action"), against Scotts, a subsidiary of Scotts, and Monsanto seeking damages and injunctive relief for alleged antitrust violations and breach of contract by Scotts and its subsidiary and antitrust violations and tortious interference with contract by Monsanto. Scotts purchased a consumer herbicide business from AgrEvo in May 1998. AgrEvo claims in the suit that Scotts' subsequent agreement to become Monsanto's exclusive sales and marketing agent for Monsanto's consumer Roundup(R) business violated the federal antitrust laws. AgrEvo contends that Monsanto attempted to or did monopolize the market for non-selective herbicides and conspired with Scotts to eliminate the herbicide Scotts previously purchased from AgrEvo, which competed with Monsanto's</w:t>
      </w:r>
    </w:p>
    <w:p>
      <w:pPr>
        <w:spacing w:after="0" w:line="17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879"/>
          </w:cols>
          <w:pgMar w:left="580" w:top="627" w:right="1440" w:bottom="1440" w:gutter="0" w:footer="0" w:header="0"/>
        </w:sectPr>
      </w:pPr>
    </w:p>
    <w:bookmarkStart w:id="12" w:name="page13"/>
    <w:bookmarkEnd w:id="12"/>
    <w:p>
      <w:pPr>
        <w:ind w:right="3359"/>
        <w:spacing w:after="0" w:line="237" w:lineRule="auto"/>
        <w:rPr>
          <w:sz w:val="20"/>
          <w:szCs w:val="20"/>
          <w:color w:val="auto"/>
        </w:rPr>
      </w:pPr>
      <w:r>
        <w:rPr>
          <w:rFonts w:ascii="Courier New" w:cs="Courier New" w:eastAsia="Courier New" w:hAnsi="Courier New"/>
          <w:sz w:val="15"/>
          <w:szCs w:val="15"/>
          <w:color w:val="auto"/>
        </w:rPr>
        <w:t>Roundup(R). AgrEvo also contends that Scotts' execution of various agreements with Monsanto, including the Roundup(R) marketing agreement, as well as Scotts' subsequent actions, violated agreements between AgrEvo and Scotts.</w:t>
      </w:r>
    </w:p>
    <w:p>
      <w:pPr>
        <w:spacing w:after="0" w:line="176"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AgrEvo is requesting unspecified damages as well as affirmative injunctive relief, and seeking to have the court invalidate the Roundup(R) marketing agreement as violative of the federal antitrust laws. Under the indemnification provisions of the Roundup(R) marketing agreement, Monsanto and Scotts each have requested that the other indemnify against any losses arising from this lawsuit.</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On June 29, 1999, AgrEvo also filed a complaint in the Superior Court of the State of Delaware against two of Scotts' subsidiaries seeking damages for alleged breach of contract. AgrEvo alleges that, under the contracts by which a subsidiary of Scotts purchased a herbicide business from AgrEvo in May 1998, two of Scotts' subsidiaries have failed to pay AgrEvo approximately $0.6 million. AgrEvo is requesting damages in this amount, as well as pre- and post-judgment interest and attorneys' fees and costs. Scotts' subsidiaries have moved to dismiss or stay this action. On January 31, 2000, the Delaware court stayed AgrEvo's action pending the resolution of a motion to amend the New York Action, and the resolution of the New York Action.</w:t>
      </w:r>
    </w:p>
    <w:p>
      <w:pPr>
        <w:spacing w:after="0" w:line="181"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On January 10, 2003, Scotts filed a supplemental counterclaim against AgrEvo for breach of contract. Scotts alleges that AgrEvo owes Scotts for amounts that Scotts overpaid to AgrEvo. Scotts' counterclaim is now part of the underlying litigation.</w:t>
      </w:r>
    </w:p>
    <w:p>
      <w:pPr>
        <w:spacing w:after="0" w:line="176" w:lineRule="exact"/>
        <w:rPr>
          <w:sz w:val="20"/>
          <w:szCs w:val="20"/>
          <w:color w:val="auto"/>
        </w:rPr>
      </w:pPr>
    </w:p>
    <w:p>
      <w:pPr>
        <w:ind w:right="3259"/>
        <w:spacing w:after="0" w:line="258" w:lineRule="auto"/>
        <w:rPr>
          <w:sz w:val="20"/>
          <w:szCs w:val="20"/>
          <w:color w:val="auto"/>
        </w:rPr>
      </w:pPr>
      <w:r>
        <w:rPr>
          <w:rFonts w:ascii="Courier New" w:cs="Courier New" w:eastAsia="Courier New" w:hAnsi="Courier New"/>
          <w:sz w:val="14"/>
          <w:szCs w:val="14"/>
          <w:color w:val="auto"/>
        </w:rPr>
        <w:t>Scotts believes that AgrEvo's claims in these matters are without merit and intends to vigorously defend against them. If the above actions are determined adversely to Scotts, the result could have a material adverse effect on Scotts' results of operations, financial position and cash flows. Any potential exposure that Scotts may face cannot be reasonably estimated. Therefore, no accrual has been established related to these matters.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CENTRAL GARDEN &amp; PET COMPANY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 V. CENTRAL GARDEN, SOUTHERN DISTRICT OF OHIO</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On June 30, 2000, Scotts filed suit against Central Garden &amp; Pet Company ("Central Garden") in the U.S. District Court for the Southern District of Ohio (the "Ohio Action") to recover approximately $24 million in accounts receivable and additional damages for other breaches of duty.</w:t>
      </w:r>
    </w:p>
    <w:p>
      <w:pPr>
        <w:spacing w:after="0" w:line="176"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Central Garden filed counterclaims including allegations that Scotts and Central Garden had entered into an oral agreement in April 1998 whereby Scotts would allegedly share with Central Garden the benefits and liabilities of any future business integration between Scotts and Monsanto. The court has dismissed a number of Central Garden's counterclaims as well as Scotts' claims that Central Garden breached other duties owed to Scotts. On April 22, 2002, a jury returned a verdict in favor of Scotts of $22.5 million and for Central Garden on its remaining counterclaims in an amount of approximately $12.1 million. Various post-trial motions were filed. As a result of those motions, the trial court has reduced Central Garden's verdict by $750,000, denied Central Garden's motion for a new trial on two of its counterclaims and granted the parties pre-judgment interest on their respective verdicts. On September 22, 2003, the court entered a final judgment, which provided for a net award to Scotts of approximately $14 million, together with interest at 2.31% through the date of payment. Central Garden has appealed and Scotts has cross-appealed from that final judgment.</w:t>
      </w:r>
    </w:p>
    <w:p>
      <w:pPr>
        <w:spacing w:after="0" w:line="187"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Two counterclaims that the court permitted Central Garden to add on the eve of trial were subsequently settled.</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CENTRAL GARDEN V. SCOTTS &amp; PHARMACIA, NORTHERN DISTRICT OF CALIFORNIA</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On July 7, 2000, Central Garden filed suit against Scotts and Pharmacia in the U.S. District Court for the Northern District of California (San Francisco Division) alleging various claims, including breach of contract and violations of federal antitrust laws, and seeking an unspecified amount of damages and injunctive relief. On April 15, 2002, Scotts and Central Garden each filed summary judgment motions in this action. On June 26, 2002, the court granted summary judgment in favor of Scotts and dismissed all of Central Garden's then remaining claims. That judgment was recently affirmed by the United States Court of Appeals.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CENTRAL GARDEN V. SCOTTS &amp; PHARMACIA, CONTRA COSTA SUPERIOR COURT</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On October 31, 2000, Central Garden filed a complaint against Scotts and Pharmacia in the California Superior Court for Contra Costa County. That complaint seeks to assert breach of contract claims and claims under Section 17200 of the California Business</w:t>
      </w:r>
    </w:p>
    <w:p>
      <w:pPr>
        <w:spacing w:after="0" w:line="17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879"/>
          </w:cols>
          <w:pgMar w:left="580" w:top="797" w:right="1440" w:bottom="904" w:gutter="0" w:footer="0" w:header="0"/>
        </w:sectPr>
      </w:pPr>
    </w:p>
    <w:bookmarkStart w:id="13" w:name="page14"/>
    <w:bookmarkEnd w:id="13"/>
    <w:p>
      <w:pPr>
        <w:ind w:right="3179"/>
        <w:spacing w:after="0" w:line="238" w:lineRule="auto"/>
        <w:rPr>
          <w:sz w:val="20"/>
          <w:szCs w:val="20"/>
          <w:color w:val="auto"/>
        </w:rPr>
      </w:pPr>
      <w:r>
        <w:rPr>
          <w:rFonts w:ascii="Courier New" w:cs="Courier New" w:eastAsia="Courier New" w:hAnsi="Courier New"/>
          <w:sz w:val="15"/>
          <w:szCs w:val="15"/>
          <w:color w:val="auto"/>
        </w:rPr>
        <w:t>and Professions Code. On December 4, 2000, Scotts and Pharmacia jointly filed a motion to stay this action based on the pendency of prior lawsuits that involve the same subject matter. By order dated February 23, 2001, the Superior Court stayed the action pending before it. The Court recently granted Scotts' motion to lift the stay, and Scotts has filed an answer to the complaint. No trial date has been set. Central Garden and Pharmacia have settled their claims relating to this action.</w:t>
      </w:r>
    </w:p>
    <w:p>
      <w:pPr>
        <w:spacing w:after="0" w:line="177"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Although Scotts has prevailed consistently and extensively in the litigation with Central Garden, the decisions in Scotts' favor are subject to appeal. If, upon appeal or otherwise, the above actions are determined adversely to Scotts, the result could have a material adverse affect on Scotts' results of operations, financial position and cash flows. Scotts believes that it will continue to prevail in the Central Garden matters and that any potential exposure that Scotts may face cannot be reasonably estimated. Therefore, no accrual has been established related to the claims brought against Scotts by Central Garden, except for amounts ordered paid to Central Garden in the Ohio Action. Scotts believes it has adequate reserves recorded for the amounts it may ultimately be required to pay.</w:t>
      </w:r>
    </w:p>
    <w:p>
      <w:pPr>
        <w:spacing w:after="0" w:line="166" w:lineRule="exact"/>
        <w:rPr>
          <w:sz w:val="20"/>
          <w:szCs w:val="20"/>
          <w:color w:val="auto"/>
        </w:rPr>
      </w:pPr>
    </w:p>
    <w:p>
      <w:pPr>
        <w:ind w:right="3879"/>
        <w:spacing w:after="0" w:line="235" w:lineRule="auto"/>
        <w:rPr>
          <w:sz w:val="20"/>
          <w:szCs w:val="20"/>
          <w:color w:val="auto"/>
        </w:rPr>
      </w:pPr>
      <w:r>
        <w:rPr>
          <w:rFonts w:ascii="Courier New" w:cs="Courier New" w:eastAsia="Courier New" w:hAnsi="Courier New"/>
          <w:sz w:val="15"/>
          <w:szCs w:val="15"/>
          <w:color w:val="auto"/>
        </w:rPr>
        <w:t>U.S. HORTICULTURAL SUPPLY, INC. (F/K/A E.C. GEIGER, INC.) V. SCOTTS, EASTERN DISTRICT OF PENNSYLVANIA</w:t>
      </w:r>
    </w:p>
    <w:p>
      <w:pPr>
        <w:spacing w:after="0" w:line="17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On February 7, 2003, U.S. Horticultural Supply filed suit against Scotts in the U.S. District Court for the Eastern District of Pennsylvania. U.S. Horticultural Supply alleges claims of breach of contract, promissory estoppel, and a violation of federal antitrust laws, and seeks an unspecified amount of damages.</w:t>
      </w:r>
    </w:p>
    <w:p>
      <w:pPr>
        <w:spacing w:after="0" w:line="178"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On March 14, 2003, Scotts filed a motion to dismiss the antitrust claim, and a motion to dismiss, or in the alternative stay, the promissory estoppel claims pending arbitration. The motion is pending. Discovery has commenced. No trial date has been set.</w:t>
      </w:r>
    </w:p>
    <w:p>
      <w:pPr>
        <w:spacing w:after="0" w:line="176" w:lineRule="exact"/>
        <w:rPr>
          <w:sz w:val="20"/>
          <w:szCs w:val="20"/>
          <w:color w:val="auto"/>
        </w:rPr>
      </w:pPr>
    </w:p>
    <w:p>
      <w:pPr>
        <w:ind w:right="3259"/>
        <w:spacing w:after="0" w:line="258" w:lineRule="auto"/>
        <w:rPr>
          <w:sz w:val="20"/>
          <w:szCs w:val="20"/>
          <w:color w:val="auto"/>
        </w:rPr>
      </w:pPr>
      <w:r>
        <w:rPr>
          <w:rFonts w:ascii="Courier New" w:cs="Courier New" w:eastAsia="Courier New" w:hAnsi="Courier New"/>
          <w:sz w:val="14"/>
          <w:szCs w:val="14"/>
          <w:color w:val="auto"/>
        </w:rPr>
        <w:t>Scotts believes that U.S. Horticultural Supply's claims are without merit and intends to vigorously defend against them. If the above action is determined adversely to Scotts, the result could have a material adverse effect on Scotts' results of operations, financial position and cash flows. Any potential exposure that Scotts may face cannot be reasonably estimated. Therefore, no accrual has been established related to this matter.</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Company recently has been named a defendant in a number of cases alleging injuries that the lawsuits claim resulted from exposure to asbestos-containing products. The complaints in these cases, most of which are in their preliminary stages, are not specific about the plaintiffs' contacts with the Company or its products. Scotts in each case is one of numerous defendants and none of the claims seek damages from the Company alone. The Company intends to vigorously defend the cases and does not believe they are material to the Company's results of operations, financial position or cash flows.</w:t>
      </w:r>
    </w:p>
    <w:p>
      <w:pPr>
        <w:spacing w:after="0" w:line="179"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It is not currently possible to reasonably estimate a probable loss, if any, associated with the cases and, accordingly, no accrual or reserves have been recorded in the Company's consolidated financial statements. There can be no assurance that these cases, whether as a result of adverse outcomes or as a result of significant defense costs, will not have a material adverse effect on the Company, its financial condition or its results of operations. The Company is reviewing agreements and policies that may provide insurance coverage or indemnity as to these claims and is pursuing coverage under some of these agreements.</w:t>
      </w:r>
    </w:p>
    <w:p>
      <w:pPr>
        <w:spacing w:after="0" w:line="179"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We are involved in other lawsuits and claims which arise in the normal course of our business. In our opinion, these claims individually and in the aggregate are not expected to result in a material adverse effect on our results of operations, financial position or cash flows.</w:t>
      </w:r>
    </w:p>
    <w:p>
      <w:pPr>
        <w:spacing w:after="0" w:line="17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879"/>
          </w:cols>
          <w:pgMar w:left="580" w:top="627" w:right="1440" w:bottom="1440" w:gutter="0" w:footer="0" w:header="0"/>
        </w:sectPr>
      </w:pPr>
    </w:p>
    <w:bookmarkStart w:id="14" w:name="page15"/>
    <w:bookmarkEnd w:id="14"/>
    <w:p>
      <w:pPr>
        <w:ind w:left="350" w:hanging="350"/>
        <w:spacing w:after="0"/>
        <w:tabs>
          <w:tab w:leader="none" w:pos="35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ACCOUNTING STANDARDS</w:t>
      </w:r>
    </w:p>
    <w:p>
      <w:pPr>
        <w:spacing w:after="0" w:line="174" w:lineRule="exact"/>
        <w:rPr>
          <w:rFonts w:ascii="Courier New" w:cs="Courier New" w:eastAsia="Courier New" w:hAnsi="Courier New"/>
          <w:sz w:val="15"/>
          <w:szCs w:val="15"/>
          <w:color w:val="auto"/>
        </w:rPr>
      </w:pPr>
    </w:p>
    <w:p>
      <w:pPr>
        <w:ind w:left="350" w:right="317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December, 2003 the Financial Accounting Standards Board (FASB) issued FASB Interpretation No. 46 (revised December 2003), "Consolidation of Variable Interest Entities" (FIN 46R). FIN 46R varies significantly from FASB Interpretation No. 46, "Consolidation of Variable Interest Entities" (FIN 46), which it supersedes. FIN 46R requires the application of either FIN 46 or FIN 46R by "Public Entities" (as defined in paragraph 395 of FASB Statement No. 123, "Accounting for Stock-Based Compensation") to all Special Purpose Entities ("SPEs") created prior to February 1, 2003 at the end of the first interim or annual reporting period ending after December 15, 2003. All entities created after January 31, 2003 by Public Entities were already required to be analyzed under FIN 46, and they must continue to do so, unless FIN 46R is adopted early. FIN 46R will be applicable to all non-SPEs created prior to February 1, 2003 by Public Entities at the end of the first interim or annual reporting period ending after March 15, 2004. The Company does not believe that it has any SPEs as prescribed by FIN 46R. The Company continues to evaluate FIN 46R for applicability to the Company's Scotts LawnService(R) franchises for adoption during the second quarter of fiscal 2004.</w:t>
      </w:r>
    </w:p>
    <w:p>
      <w:pPr>
        <w:spacing w:after="0" w:line="338"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MEDICARE PRESCRIPTION DRUG, IMPROVEMENT AND MODERNIZATION ACT</w:t>
      </w:r>
    </w:p>
    <w:p>
      <w:pPr>
        <w:spacing w:after="0" w:line="174" w:lineRule="exact"/>
        <w:rPr>
          <w:rFonts w:ascii="Courier New" w:cs="Courier New" w:eastAsia="Courier New" w:hAnsi="Courier New"/>
          <w:sz w:val="15"/>
          <w:szCs w:val="15"/>
          <w:color w:val="auto"/>
        </w:rPr>
      </w:pPr>
    </w:p>
    <w:p>
      <w:pPr>
        <w:ind w:left="3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disclosed in Note 8 to our financial statements for the year ended September 30, 2003, the Company provides comprehensive major medical benefits to certain of its retired associates and their dependents. These benefits include prescription drug coverage. On December 8, 2003, the Medicare Prescription Drug, Improvement and Modernization Act (the Act) became law. This law provides for a federal subsidy to sponsors of retiree health care benefit plans that provide a benefit that is at least actuarially equivalent to the benefit established by the law. The Company currently is evaluating the provisions of the Act to determine whether it will be eligible for the federal subsidy, and if so, in what amount. Specific authoritative guidance governing the accounting requirements pertaining to any federal subsidy the Company might receive has not yet been issued by the FASB. Therefore, no prediction can be made at this time as to the effect, if any, that any such subsidy will have on results of operations in future periods.</w:t>
      </w:r>
    </w:p>
    <w:p>
      <w:pPr>
        <w:spacing w:after="0" w:line="179"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 INFORMATION</w:t>
      </w:r>
    </w:p>
    <w:p>
      <w:pPr>
        <w:spacing w:after="0" w:line="174" w:lineRule="exact"/>
        <w:rPr>
          <w:rFonts w:ascii="Courier New" w:cs="Courier New" w:eastAsia="Courier New" w:hAnsi="Courier New"/>
          <w:sz w:val="15"/>
          <w:szCs w:val="15"/>
          <w:color w:val="auto"/>
        </w:rPr>
      </w:pPr>
    </w:p>
    <w:p>
      <w:pPr>
        <w:ind w:left="3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fiscal 2004, the Company is divided into three reportable segments - North America, Scotts LawnService(R) and International. The North America segment primarily consists of the Lawns, Gardening Products, Ortho(R), Canada and North American Professional business groups. These segments differ from those used in the prior year due to the absorption of the Global Professional segment into the North America and International segments based on geography. This new division of reportable segments is consistent with how the segments report to and are managed by senior management of the Company. The prior year amounts have been reclassified to conform with the fiscal 2004 segments.</w:t>
      </w:r>
    </w:p>
    <w:p>
      <w:pPr>
        <w:spacing w:after="0" w:line="179" w:lineRule="exact"/>
        <w:rPr>
          <w:rFonts w:ascii="Courier New" w:cs="Courier New" w:eastAsia="Courier New" w:hAnsi="Courier New"/>
          <w:sz w:val="15"/>
          <w:szCs w:val="15"/>
          <w:color w:val="auto"/>
        </w:rPr>
      </w:pPr>
    </w:p>
    <w:p>
      <w:pPr>
        <w:ind w:left="3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North America segment manufactures, markets and sells dry, granular slow-release lawn fertilizers, combination lawn fertilizer and control products, grass seed, spreaders, water-soluble and controlled-release garden and indoor plant foods, plant care products, potting soils, pottery, barks, mulches and other growing media products, pesticide products and a full line of horticulture products. Products are marketed to mass merchandisers, home improvement centers, large hardware chains, nurseries and gardens centers and specialty crop growers in the United Sates, Canada, Latin America and South America.</w:t>
      </w:r>
    </w:p>
    <w:p>
      <w:pPr>
        <w:spacing w:after="0" w:line="178" w:lineRule="exact"/>
        <w:rPr>
          <w:rFonts w:ascii="Courier New" w:cs="Courier New" w:eastAsia="Courier New" w:hAnsi="Courier New"/>
          <w:sz w:val="15"/>
          <w:szCs w:val="15"/>
          <w:color w:val="auto"/>
        </w:rPr>
      </w:pPr>
    </w:p>
    <w:p>
      <w:pPr>
        <w:ind w:left="3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Scotts LawnService(R) segment provides lawn fertilization, insect control and other related services such as core aeration primarily to residential consumers through company-owned branches and franchises. In most Company markets, Scotts LawnService(R) also offers tree and shrub fertilization, disease and insect control treatments and, in our larger branches, we also offer an exterior barrier pest control service.</w:t>
      </w:r>
    </w:p>
    <w:p>
      <w:pPr>
        <w:spacing w:after="0" w:line="175" w:lineRule="exact"/>
        <w:rPr>
          <w:rFonts w:ascii="Courier New" w:cs="Courier New" w:eastAsia="Courier New" w:hAnsi="Courier New"/>
          <w:sz w:val="15"/>
          <w:szCs w:val="15"/>
          <w:color w:val="auto"/>
        </w:rPr>
      </w:pPr>
    </w:p>
    <w:p>
      <w:pPr>
        <w:ind w:left="35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International segment provides products similar to those described above for the North America segment to consumers outside of the United States, Canada, Latin America and South America.</w:t>
      </w:r>
    </w:p>
    <w:p>
      <w:pPr>
        <w:spacing w:after="0" w:line="174" w:lineRule="exact"/>
        <w:rPr>
          <w:rFonts w:ascii="Courier New" w:cs="Courier New" w:eastAsia="Courier New" w:hAnsi="Courier New"/>
          <w:sz w:val="15"/>
          <w:szCs w:val="15"/>
          <w:color w:val="auto"/>
        </w:rPr>
      </w:pPr>
    </w:p>
    <w:p>
      <w:pPr>
        <w:ind w:left="350" w:right="317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following table presents segment financial information in accordance with SFAS No. 131, "Disclosures about Segments of an Enterprise and Related Information". Pursuant to that statement, the presentation of the segment financial information is consistent with the basis used by management (i.e., certain costs not allocated to business segments for internal management reporting purposes are not allocated for purposes of this presentation).</w:t>
      </w:r>
    </w:p>
    <w:p>
      <w:pPr>
        <w:spacing w:after="0" w:line="15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9"/>
          </w:cols>
          <w:pgMar w:left="230" w:top="961" w:right="1440" w:bottom="1440" w:gutter="0" w:footer="0" w:header="0"/>
        </w:sectPr>
      </w:pPr>
    </w:p>
    <w:bookmarkStart w:id="15" w:name="page16"/>
    <w:bookmarkEnd w:id="15"/>
    <w:tbl>
      <w:tblPr>
        <w:tblLayout w:type="fixed"/>
        <w:tblInd w:w="270" w:type="dxa"/>
        <w:tblCellMar>
          <w:top w:w="0" w:type="dxa"/>
          <w:left w:w="0" w:type="dxa"/>
          <w:bottom w:w="0" w:type="dxa"/>
          <w:right w:w="0" w:type="dxa"/>
        </w:tblCellMar>
      </w:tblPr>
      <w:tr>
        <w:trPr>
          <w:trHeight w:val="170"/>
        </w:trPr>
        <w:tc>
          <w:tcPr>
            <w:tcW w:w="4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SCOTTS</w:t>
            </w: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4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NORTH AMERICA</w:t>
            </w:r>
          </w:p>
        </w:tc>
        <w:tc>
          <w:tcPr>
            <w:tcW w:w="17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LAWNSERVICE(R)</w:t>
            </w:r>
          </w:p>
        </w:tc>
        <w:tc>
          <w:tcPr>
            <w:tcW w:w="17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INTERNATIONAL</w:t>
            </w:r>
          </w:p>
        </w:tc>
        <w:tc>
          <w:tcPr>
            <w:tcW w:w="12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CORPORATE</w:t>
            </w:r>
          </w:p>
        </w:tc>
        <w:tc>
          <w:tcPr>
            <w:tcW w:w="22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4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4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720" w:type="dxa"/>
            <w:vAlign w:val="bottom"/>
            <w:gridSpan w:val="6"/>
          </w:tcPr>
          <w:p>
            <w:pPr>
              <w:ind w:left="220"/>
              <w:spacing w:after="0"/>
              <w:rPr>
                <w:sz w:val="20"/>
                <w:szCs w:val="20"/>
                <w:color w:val="auto"/>
              </w:rPr>
            </w:pPr>
            <w:r>
              <w:rPr>
                <w:rFonts w:ascii="Courier New" w:cs="Courier New" w:eastAsia="Courier New" w:hAnsi="Courier New"/>
                <w:sz w:val="15"/>
                <w:szCs w:val="15"/>
                <w:color w:val="auto"/>
              </w:rPr>
              <w:t>(IN MILLIONS, EXCEPT OPERATING PERCENTATGES)</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9"/>
        </w:trPr>
        <w:tc>
          <w:tcPr>
            <w:tcW w:w="2240" w:type="dxa"/>
            <w:vAlign w:val="bottom"/>
            <w:gridSpan w:val="2"/>
          </w:tcPr>
          <w:p>
            <w:pPr>
              <w:spacing w:after="0"/>
              <w:rPr>
                <w:sz w:val="20"/>
                <w:szCs w:val="20"/>
                <w:color w:val="auto"/>
              </w:rPr>
            </w:pPr>
            <w:r>
              <w:rPr>
                <w:rFonts w:ascii="Courier New" w:cs="Courier New" w:eastAsia="Courier New" w:hAnsi="Courier New"/>
                <w:sz w:val="15"/>
                <w:szCs w:val="15"/>
                <w:color w:val="auto"/>
              </w:rPr>
              <w:t>Net sales:</w:t>
            </w: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Q1</w:t>
            </w:r>
          </w:p>
        </w:tc>
        <w:tc>
          <w:tcPr>
            <w:tcW w:w="1760" w:type="dxa"/>
            <w:vAlign w:val="bottom"/>
          </w:tcPr>
          <w:p>
            <w:pPr>
              <w:ind w:left="40"/>
              <w:spacing w:after="0"/>
              <w:rPr>
                <w:sz w:val="20"/>
                <w:szCs w:val="20"/>
                <w:color w:val="auto"/>
              </w:rPr>
            </w:pPr>
            <w:r>
              <w:rPr>
                <w:rFonts w:ascii="Courier New" w:cs="Courier New" w:eastAsia="Courier New" w:hAnsi="Courier New"/>
                <w:sz w:val="15"/>
                <w:szCs w:val="15"/>
                <w:color w:val="auto"/>
              </w:rPr>
              <w:t>2004............</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102.7</w:t>
            </w:r>
          </w:p>
        </w:tc>
        <w:tc>
          <w:tcPr>
            <w:tcW w:w="74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65.0</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186.2</w:t>
            </w:r>
          </w:p>
        </w:tc>
      </w:tr>
      <w:tr>
        <w:trPr>
          <w:trHeight w:val="170"/>
        </w:trPr>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Q1</w:t>
            </w:r>
          </w:p>
        </w:tc>
        <w:tc>
          <w:tcPr>
            <w:tcW w:w="1760" w:type="dxa"/>
            <w:vAlign w:val="bottom"/>
          </w:tcPr>
          <w:p>
            <w:pPr>
              <w:ind w:left="40"/>
              <w:spacing w:after="0"/>
              <w:rPr>
                <w:sz w:val="20"/>
                <w:szCs w:val="20"/>
                <w:color w:val="auto"/>
              </w:rPr>
            </w:pPr>
            <w:r>
              <w:rPr>
                <w:rFonts w:ascii="Courier New" w:cs="Courier New" w:eastAsia="Courier New" w:hAnsi="Courier New"/>
                <w:sz w:val="15"/>
                <w:szCs w:val="15"/>
                <w:color w:val="auto"/>
              </w:rPr>
              <w:t>2003............</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104.6</w:t>
            </w:r>
          </w:p>
        </w:tc>
        <w:tc>
          <w:tcPr>
            <w:tcW w:w="74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15.3</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60.9</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180.8</w:t>
            </w:r>
          </w:p>
        </w:tc>
      </w:tr>
      <w:tr>
        <w:trPr>
          <w:trHeight w:val="170"/>
        </w:trPr>
        <w:tc>
          <w:tcPr>
            <w:tcW w:w="2240" w:type="dxa"/>
            <w:vAlign w:val="bottom"/>
            <w:gridSpan w:val="2"/>
          </w:tcPr>
          <w:p>
            <w:pPr>
              <w:spacing w:after="0"/>
              <w:rPr>
                <w:sz w:val="20"/>
                <w:szCs w:val="20"/>
                <w:color w:val="auto"/>
              </w:rPr>
            </w:pPr>
            <w:r>
              <w:rPr>
                <w:rFonts w:ascii="Courier New" w:cs="Courier New" w:eastAsia="Courier New" w:hAnsi="Courier New"/>
                <w:sz w:val="15"/>
                <w:szCs w:val="15"/>
                <w:color w:val="auto"/>
              </w:rPr>
              <w:t>Operating loss:</w:t>
            </w: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Q1</w:t>
            </w:r>
          </w:p>
        </w:tc>
        <w:tc>
          <w:tcPr>
            <w:tcW w:w="1760" w:type="dxa"/>
            <w:vAlign w:val="bottom"/>
          </w:tcPr>
          <w:p>
            <w:pPr>
              <w:ind w:left="40"/>
              <w:spacing w:after="0"/>
              <w:rPr>
                <w:sz w:val="20"/>
                <w:szCs w:val="20"/>
                <w:color w:val="auto"/>
              </w:rPr>
            </w:pPr>
            <w:r>
              <w:rPr>
                <w:rFonts w:ascii="Courier New" w:cs="Courier New" w:eastAsia="Courier New" w:hAnsi="Courier New"/>
                <w:sz w:val="15"/>
                <w:szCs w:val="15"/>
                <w:color w:val="auto"/>
              </w:rPr>
              <w:t>2004............</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(28.7)</w:t>
            </w:r>
          </w:p>
        </w:tc>
        <w:tc>
          <w:tcPr>
            <w:tcW w:w="74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(6.4)</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(2.3)</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(19.2)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(56.6)</w:t>
            </w:r>
          </w:p>
        </w:tc>
      </w:tr>
      <w:tr>
        <w:trPr>
          <w:trHeight w:val="170"/>
        </w:trPr>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Q1</w:t>
            </w:r>
          </w:p>
        </w:tc>
        <w:tc>
          <w:tcPr>
            <w:tcW w:w="1760" w:type="dxa"/>
            <w:vAlign w:val="bottom"/>
          </w:tcPr>
          <w:p>
            <w:pPr>
              <w:ind w:left="40"/>
              <w:spacing w:after="0"/>
              <w:rPr>
                <w:sz w:val="20"/>
                <w:szCs w:val="20"/>
                <w:color w:val="auto"/>
              </w:rPr>
            </w:pPr>
            <w:r>
              <w:rPr>
                <w:rFonts w:ascii="Courier New" w:cs="Courier New" w:eastAsia="Courier New" w:hAnsi="Courier New"/>
                <w:sz w:val="15"/>
                <w:szCs w:val="15"/>
                <w:color w:val="auto"/>
              </w:rPr>
              <w:t>2003............</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(29.7)</w:t>
            </w:r>
          </w:p>
        </w:tc>
        <w:tc>
          <w:tcPr>
            <w:tcW w:w="74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(1.7)</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(20.7)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(56.9)</w:t>
            </w:r>
          </w:p>
        </w:tc>
      </w:tr>
      <w:tr>
        <w:trPr>
          <w:trHeight w:val="170"/>
        </w:trPr>
        <w:tc>
          <w:tcPr>
            <w:tcW w:w="2240" w:type="dxa"/>
            <w:vAlign w:val="bottom"/>
            <w:gridSpan w:val="2"/>
          </w:tcPr>
          <w:p>
            <w:pPr>
              <w:spacing w:after="0"/>
              <w:rPr>
                <w:sz w:val="20"/>
                <w:szCs w:val="20"/>
                <w:color w:val="auto"/>
              </w:rPr>
            </w:pPr>
            <w:r>
              <w:rPr>
                <w:rFonts w:ascii="Courier New" w:cs="Courier New" w:eastAsia="Courier New" w:hAnsi="Courier New"/>
                <w:sz w:val="15"/>
                <w:szCs w:val="15"/>
                <w:color w:val="auto"/>
              </w:rPr>
              <w:t>Operating margin:</w:t>
            </w: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Q1</w:t>
            </w:r>
          </w:p>
        </w:tc>
        <w:tc>
          <w:tcPr>
            <w:tcW w:w="1760" w:type="dxa"/>
            <w:vAlign w:val="bottom"/>
          </w:tcPr>
          <w:p>
            <w:pPr>
              <w:ind w:left="40"/>
              <w:spacing w:after="0"/>
              <w:rPr>
                <w:sz w:val="20"/>
                <w:szCs w:val="20"/>
                <w:color w:val="auto"/>
              </w:rPr>
            </w:pPr>
            <w:r>
              <w:rPr>
                <w:rFonts w:ascii="Courier New" w:cs="Courier New" w:eastAsia="Courier New" w:hAnsi="Courier New"/>
                <w:sz w:val="15"/>
                <w:szCs w:val="15"/>
                <w:color w:val="auto"/>
              </w:rPr>
              <w:t>2004............</w:t>
            </w:r>
          </w:p>
        </w:tc>
        <w:tc>
          <w:tcPr>
            <w:tcW w:w="580" w:type="dxa"/>
            <w:vAlign w:val="bottom"/>
          </w:tcPr>
          <w:p>
            <w:pPr>
              <w:spacing w:after="0"/>
              <w:rPr>
                <w:sz w:val="14"/>
                <w:szCs w:val="14"/>
                <w:color w:val="auto"/>
              </w:rPr>
            </w:pP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(27.9%)</w:t>
            </w:r>
          </w:p>
        </w:tc>
        <w:tc>
          <w:tcPr>
            <w:tcW w:w="7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(34.6%)</w:t>
            </w:r>
          </w:p>
        </w:tc>
        <w:tc>
          <w:tcPr>
            <w:tcW w:w="66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(3.5%)</w:t>
            </w:r>
          </w:p>
        </w:tc>
        <w:tc>
          <w:tcPr>
            <w:tcW w:w="560" w:type="dxa"/>
            <w:vAlign w:val="bottom"/>
          </w:tcPr>
          <w:p>
            <w:pPr>
              <w:spacing w:after="0"/>
              <w:rPr>
                <w:sz w:val="14"/>
                <w:szCs w:val="14"/>
                <w:color w:val="auto"/>
              </w:rPr>
            </w:pPr>
          </w:p>
        </w:tc>
        <w:tc>
          <w:tcPr>
            <w:tcW w:w="720" w:type="dxa"/>
            <w:vAlign w:val="bottom"/>
          </w:tcPr>
          <w:p>
            <w:pPr>
              <w:ind w:left="280"/>
              <w:spacing w:after="0"/>
              <w:rPr>
                <w:sz w:val="20"/>
                <w:szCs w:val="20"/>
                <w:color w:val="auto"/>
              </w:rPr>
            </w:pPr>
            <w:r>
              <w:rPr>
                <w:rFonts w:ascii="Courier New" w:cs="Courier New" w:eastAsia="Courier New" w:hAnsi="Courier New"/>
                <w:sz w:val="15"/>
                <w:szCs w:val="15"/>
                <w:color w:val="auto"/>
              </w:rPr>
              <w:t>nm</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(30.4%)</w:t>
            </w:r>
          </w:p>
        </w:tc>
      </w:tr>
      <w:tr>
        <w:trPr>
          <w:trHeight w:val="170"/>
        </w:trPr>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Q1</w:t>
            </w:r>
          </w:p>
        </w:tc>
        <w:tc>
          <w:tcPr>
            <w:tcW w:w="1760" w:type="dxa"/>
            <w:vAlign w:val="bottom"/>
          </w:tcPr>
          <w:p>
            <w:pPr>
              <w:ind w:left="40"/>
              <w:spacing w:after="0"/>
              <w:rPr>
                <w:sz w:val="20"/>
                <w:szCs w:val="20"/>
                <w:color w:val="auto"/>
              </w:rPr>
            </w:pPr>
            <w:r>
              <w:rPr>
                <w:rFonts w:ascii="Courier New" w:cs="Courier New" w:eastAsia="Courier New" w:hAnsi="Courier New"/>
                <w:sz w:val="15"/>
                <w:szCs w:val="15"/>
                <w:color w:val="auto"/>
              </w:rPr>
              <w:t>2003............</w:t>
            </w:r>
          </w:p>
        </w:tc>
        <w:tc>
          <w:tcPr>
            <w:tcW w:w="580" w:type="dxa"/>
            <w:vAlign w:val="bottom"/>
          </w:tcPr>
          <w:p>
            <w:pPr>
              <w:spacing w:after="0"/>
              <w:rPr>
                <w:sz w:val="14"/>
                <w:szCs w:val="14"/>
                <w:color w:val="auto"/>
              </w:rPr>
            </w:pP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(28.4%)</w:t>
            </w:r>
          </w:p>
        </w:tc>
        <w:tc>
          <w:tcPr>
            <w:tcW w:w="7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(31.4%)</w:t>
            </w:r>
          </w:p>
        </w:tc>
        <w:tc>
          <w:tcPr>
            <w:tcW w:w="66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(2.8%)</w:t>
            </w:r>
          </w:p>
        </w:tc>
        <w:tc>
          <w:tcPr>
            <w:tcW w:w="560" w:type="dxa"/>
            <w:vAlign w:val="bottom"/>
          </w:tcPr>
          <w:p>
            <w:pPr>
              <w:spacing w:after="0"/>
              <w:rPr>
                <w:sz w:val="14"/>
                <w:szCs w:val="14"/>
                <w:color w:val="auto"/>
              </w:rPr>
            </w:pPr>
          </w:p>
        </w:tc>
        <w:tc>
          <w:tcPr>
            <w:tcW w:w="720" w:type="dxa"/>
            <w:vAlign w:val="bottom"/>
          </w:tcPr>
          <w:p>
            <w:pPr>
              <w:ind w:left="280"/>
              <w:spacing w:after="0"/>
              <w:rPr>
                <w:sz w:val="20"/>
                <w:szCs w:val="20"/>
                <w:color w:val="auto"/>
              </w:rPr>
            </w:pPr>
            <w:r>
              <w:rPr>
                <w:rFonts w:ascii="Courier New" w:cs="Courier New" w:eastAsia="Courier New" w:hAnsi="Courier New"/>
                <w:sz w:val="15"/>
                <w:szCs w:val="15"/>
                <w:color w:val="auto"/>
              </w:rPr>
              <w:t>nm</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(31.5%)</w:t>
            </w:r>
          </w:p>
        </w:tc>
      </w:tr>
      <w:tr>
        <w:trPr>
          <w:trHeight w:val="170"/>
        </w:trPr>
        <w:tc>
          <w:tcPr>
            <w:tcW w:w="2240" w:type="dxa"/>
            <w:vAlign w:val="bottom"/>
            <w:gridSpan w:val="2"/>
          </w:tcPr>
          <w:p>
            <w:pPr>
              <w:spacing w:after="0"/>
              <w:rPr>
                <w:sz w:val="20"/>
                <w:szCs w:val="20"/>
                <w:color w:val="auto"/>
              </w:rPr>
            </w:pPr>
            <w:r>
              <w:rPr>
                <w:rFonts w:ascii="Courier New" w:cs="Courier New" w:eastAsia="Courier New" w:hAnsi="Courier New"/>
                <w:sz w:val="15"/>
                <w:szCs w:val="15"/>
                <w:color w:val="auto"/>
              </w:rPr>
              <w:t>Goodwill:</w:t>
            </w: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Q1</w:t>
            </w:r>
          </w:p>
        </w:tc>
        <w:tc>
          <w:tcPr>
            <w:tcW w:w="1760" w:type="dxa"/>
            <w:vAlign w:val="bottom"/>
          </w:tcPr>
          <w:p>
            <w:pPr>
              <w:ind w:left="40"/>
              <w:spacing w:after="0"/>
              <w:rPr>
                <w:sz w:val="20"/>
                <w:szCs w:val="20"/>
                <w:color w:val="auto"/>
              </w:rPr>
            </w:pPr>
            <w:r>
              <w:rPr>
                <w:rFonts w:ascii="Courier New" w:cs="Courier New" w:eastAsia="Courier New" w:hAnsi="Courier New"/>
                <w:sz w:val="15"/>
                <w:szCs w:val="15"/>
                <w:color w:val="auto"/>
              </w:rPr>
              <w:t>2004............</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229.6</w:t>
            </w:r>
          </w:p>
        </w:tc>
        <w:tc>
          <w:tcPr>
            <w:tcW w:w="74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91.9</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91.0</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412.5</w:t>
            </w:r>
          </w:p>
        </w:tc>
      </w:tr>
      <w:tr>
        <w:trPr>
          <w:trHeight w:val="170"/>
        </w:trPr>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Q1</w:t>
            </w:r>
          </w:p>
        </w:tc>
        <w:tc>
          <w:tcPr>
            <w:tcW w:w="1760" w:type="dxa"/>
            <w:vAlign w:val="bottom"/>
          </w:tcPr>
          <w:p>
            <w:pPr>
              <w:ind w:left="40"/>
              <w:spacing w:after="0"/>
              <w:rPr>
                <w:sz w:val="20"/>
                <w:szCs w:val="20"/>
                <w:color w:val="auto"/>
              </w:rPr>
            </w:pPr>
            <w:r>
              <w:rPr>
                <w:rFonts w:ascii="Courier New" w:cs="Courier New" w:eastAsia="Courier New" w:hAnsi="Courier New"/>
                <w:sz w:val="15"/>
                <w:szCs w:val="15"/>
                <w:color w:val="auto"/>
              </w:rPr>
              <w:t>2003............</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230.6</w:t>
            </w:r>
          </w:p>
        </w:tc>
        <w:tc>
          <w:tcPr>
            <w:tcW w:w="74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72.4</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81.4</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384.4</w:t>
            </w:r>
          </w:p>
        </w:tc>
      </w:t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760" w:type="dxa"/>
            <w:vAlign w:val="bottom"/>
          </w:tcPr>
          <w:p>
            <w:pPr>
              <w:ind w:left="40"/>
              <w:spacing w:after="0"/>
              <w:rPr>
                <w:sz w:val="20"/>
                <w:szCs w:val="20"/>
                <w:color w:val="auto"/>
              </w:rPr>
            </w:pPr>
            <w:r>
              <w:rPr>
                <w:rFonts w:ascii="Courier New" w:cs="Courier New" w:eastAsia="Courier New" w:hAnsi="Courier New"/>
                <w:sz w:val="15"/>
                <w:szCs w:val="15"/>
                <w:color w:val="auto"/>
              </w:rPr>
              <w:t>assets:</w:t>
            </w: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Q1</w:t>
            </w:r>
          </w:p>
        </w:tc>
        <w:tc>
          <w:tcPr>
            <w:tcW w:w="1760" w:type="dxa"/>
            <w:vAlign w:val="bottom"/>
          </w:tcPr>
          <w:p>
            <w:pPr>
              <w:ind w:left="40"/>
              <w:spacing w:after="0"/>
              <w:rPr>
                <w:sz w:val="20"/>
                <w:szCs w:val="20"/>
                <w:color w:val="auto"/>
              </w:rPr>
            </w:pPr>
            <w:r>
              <w:rPr>
                <w:rFonts w:ascii="Courier New" w:cs="Courier New" w:eastAsia="Courier New" w:hAnsi="Courier New"/>
                <w:sz w:val="15"/>
                <w:szCs w:val="15"/>
                <w:color w:val="auto"/>
              </w:rPr>
              <w:t>2004............</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5"/>
              </w:rPr>
              <w:t>1,327.0</w:t>
            </w:r>
          </w:p>
        </w:tc>
        <w:tc>
          <w:tcPr>
            <w:tcW w:w="74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105.3</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474.3</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108.7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2,015.3</w:t>
            </w:r>
          </w:p>
        </w:tc>
      </w:tr>
      <w:tr>
        <w:trPr>
          <w:trHeight w:val="170"/>
        </w:trPr>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Q1</w:t>
            </w:r>
          </w:p>
        </w:tc>
        <w:tc>
          <w:tcPr>
            <w:tcW w:w="1760" w:type="dxa"/>
            <w:vAlign w:val="bottom"/>
          </w:tcPr>
          <w:p>
            <w:pPr>
              <w:ind w:left="40"/>
              <w:spacing w:after="0"/>
              <w:rPr>
                <w:sz w:val="20"/>
                <w:szCs w:val="20"/>
                <w:color w:val="auto"/>
              </w:rPr>
            </w:pPr>
            <w:r>
              <w:rPr>
                <w:rFonts w:ascii="Courier New" w:cs="Courier New" w:eastAsia="Courier New" w:hAnsi="Courier New"/>
                <w:sz w:val="15"/>
                <w:szCs w:val="15"/>
                <w:color w:val="auto"/>
              </w:rPr>
              <w:t>2003............</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5"/>
              </w:rPr>
              <w:t>1,308.2</w:t>
            </w:r>
          </w:p>
        </w:tc>
        <w:tc>
          <w:tcPr>
            <w:tcW w:w="74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83.4</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428.2</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133.4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1,953.2</w:t>
            </w:r>
          </w:p>
        </w:tc>
      </w:tr>
      <w:tr>
        <w:trPr>
          <w:trHeight w:val="339"/>
        </w:trPr>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nm</w:t>
            </w:r>
          </w:p>
        </w:tc>
        <w:tc>
          <w:tcPr>
            <w:tcW w:w="1760" w:type="dxa"/>
            <w:vAlign w:val="bottom"/>
          </w:tcPr>
          <w:p>
            <w:pPr>
              <w:ind w:left="40"/>
              <w:spacing w:after="0"/>
              <w:rPr>
                <w:sz w:val="20"/>
                <w:szCs w:val="20"/>
                <w:color w:val="auto"/>
              </w:rPr>
            </w:pPr>
            <w:r>
              <w:rPr>
                <w:rFonts w:ascii="Courier New" w:cs="Courier New" w:eastAsia="Courier New" w:hAnsi="Courier New"/>
                <w:sz w:val="15"/>
                <w:szCs w:val="15"/>
                <w:color w:val="auto"/>
              </w:rPr>
              <w:t>Not meaningful.</w:t>
            </w: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344" w:lineRule="exact"/>
        <w:rPr>
          <w:sz w:val="20"/>
          <w:szCs w:val="20"/>
          <w:color w:val="auto"/>
        </w:rPr>
      </w:pPr>
    </w:p>
    <w:p>
      <w:pPr>
        <w:ind w:left="350" w:right="3259"/>
        <w:spacing w:after="0" w:line="257" w:lineRule="auto"/>
        <w:rPr>
          <w:sz w:val="20"/>
          <w:szCs w:val="20"/>
          <w:color w:val="auto"/>
        </w:rPr>
      </w:pPr>
      <w:r>
        <w:rPr>
          <w:rFonts w:ascii="Courier New" w:cs="Courier New" w:eastAsia="Courier New" w:hAnsi="Courier New"/>
          <w:sz w:val="14"/>
          <w:szCs w:val="14"/>
          <w:color w:val="auto"/>
        </w:rPr>
        <w:t>Operating loss from operations reported for Scotts' three reportable segments represents earnings before amortization of intangible assets, interest and taxes, since this is the measure of profitability used by management. Accordingly, the Corporate operating loss for the three months ended December 27, 2003 and December 28, 2002 includes amortization of certain intangible assets, unallocated corporate general and administrative expenses, North America restructuring charges and certain "other" income (expense) items not allocated to the reportable segments.</w:t>
      </w:r>
    </w:p>
    <w:p>
      <w:pPr>
        <w:spacing w:after="0" w:line="167" w:lineRule="exact"/>
        <w:rPr>
          <w:sz w:val="20"/>
          <w:szCs w:val="20"/>
          <w:color w:val="auto"/>
        </w:rPr>
      </w:pPr>
    </w:p>
    <w:p>
      <w:pPr>
        <w:ind w:left="350" w:right="3179"/>
        <w:spacing w:after="0" w:line="237" w:lineRule="auto"/>
        <w:rPr>
          <w:sz w:val="20"/>
          <w:szCs w:val="20"/>
          <w:color w:val="auto"/>
        </w:rPr>
      </w:pPr>
      <w:r>
        <w:rPr>
          <w:rFonts w:ascii="Courier New" w:cs="Courier New" w:eastAsia="Courier New" w:hAnsi="Courier New"/>
          <w:sz w:val="15"/>
          <w:szCs w:val="15"/>
          <w:color w:val="auto"/>
        </w:rPr>
        <w:t>Total assets reported for Scotts' reportable segments include the intangible assets for the acquired businesses within those segments. Corporate assets primarily include deferred financing and debt issuance costs, corporate intangible assets and deferred tax assets.</w:t>
      </w:r>
    </w:p>
    <w:p>
      <w:pPr>
        <w:spacing w:after="0" w:line="171" w:lineRule="exact"/>
        <w:rPr>
          <w:sz w:val="20"/>
          <w:szCs w:val="20"/>
          <w:color w:val="auto"/>
        </w:rPr>
      </w:pPr>
    </w:p>
    <w:p>
      <w:pPr>
        <w:ind w:left="350" w:hanging="350"/>
        <w:spacing w:after="0"/>
        <w:tabs>
          <w:tab w:leader="none" w:pos="3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INFORMATION FOR SUBSIDIARY GUARANTORS AND NON-GUARANTORS</w:t>
      </w:r>
    </w:p>
    <w:p>
      <w:pPr>
        <w:spacing w:after="0" w:line="174" w:lineRule="exact"/>
        <w:rPr>
          <w:rFonts w:ascii="Courier New" w:cs="Courier New" w:eastAsia="Courier New" w:hAnsi="Courier New"/>
          <w:sz w:val="15"/>
          <w:szCs w:val="15"/>
          <w:color w:val="auto"/>
        </w:rPr>
      </w:pPr>
    </w:p>
    <w:p>
      <w:pPr>
        <w:ind w:left="350" w:right="325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6 5/8% Senior Subordinated Notes are general obligations of The Scotts Company and are guaranteed by all of the existing wholly-owned, domestic subsidiaries and all future wholly-owned, significant (as defined in Regulation S-X of the Securities and Exchange Commission) domestic subsidiaries of The Scotts Company. These subsidiary guarantors jointly and severally guarantee The Scotts Company's obligations under the Notes. The guarantees represent full and unconditional general obligations of each subsidiary that are subordinated in right of payment to all existing and future senior debt of that subsidiary but are senior in right of payment to any future junior subordinated debt of that subsidiary.</w:t>
      </w:r>
    </w:p>
    <w:p>
      <w:pPr>
        <w:spacing w:after="0" w:line="166" w:lineRule="exact"/>
        <w:rPr>
          <w:sz w:val="20"/>
          <w:szCs w:val="20"/>
          <w:color w:val="auto"/>
        </w:rPr>
      </w:pPr>
    </w:p>
    <w:p>
      <w:pPr>
        <w:ind w:left="350" w:right="3259"/>
        <w:spacing w:after="0" w:line="238" w:lineRule="auto"/>
        <w:rPr>
          <w:sz w:val="20"/>
          <w:szCs w:val="20"/>
          <w:color w:val="auto"/>
        </w:rPr>
      </w:pPr>
      <w:r>
        <w:rPr>
          <w:rFonts w:ascii="Courier New" w:cs="Courier New" w:eastAsia="Courier New" w:hAnsi="Courier New"/>
          <w:sz w:val="15"/>
          <w:szCs w:val="15"/>
          <w:color w:val="auto"/>
        </w:rPr>
        <w:t>The following unaudited information presents consolidating Statements of Operations, Statements of Cash Flows and Balance Sheets for the three-month periods ended December 27, 2003 and December 28, 2002. Separate unaudited financial statements of the individual guarantor subsidiaries have not been provided because management does not believe they would be meaningful to investors.</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9"/>
          </w:cols>
          <w:pgMar w:left="230" w:top="1300" w:right="1440" w:bottom="1440" w:gutter="0" w:footer="0" w:header="0"/>
        </w:sectPr>
      </w:pPr>
    </w:p>
    <w:bookmarkStart w:id="16" w:name="page17"/>
    <w:bookmarkEnd w:id="16"/>
    <w:p>
      <w:pPr>
        <w:ind w:left="2200"/>
        <w:spacing w:after="0"/>
        <w:rPr>
          <w:sz w:val="20"/>
          <w:szCs w:val="20"/>
          <w:color w:val="auto"/>
        </w:rPr>
      </w:pPr>
      <w:r>
        <w:rPr>
          <w:rFonts w:ascii="Courier New" w:cs="Courier New" w:eastAsia="Courier New" w:hAnsi="Courier New"/>
          <w:sz w:val="15"/>
          <w:szCs w:val="15"/>
          <w:color w:val="auto"/>
        </w:rPr>
        <w:t>THE SCOTTS COMPANY</w:t>
      </w:r>
    </w:p>
    <w:p>
      <w:pPr>
        <w:ind w:left="2020"/>
        <w:spacing w:after="0"/>
        <w:rPr>
          <w:sz w:val="20"/>
          <w:szCs w:val="20"/>
          <w:color w:val="auto"/>
        </w:rPr>
      </w:pPr>
      <w:r>
        <w:rPr>
          <w:rFonts w:ascii="Courier New" w:cs="Courier New" w:eastAsia="Courier New" w:hAnsi="Courier New"/>
          <w:sz w:val="15"/>
          <w:szCs w:val="15"/>
          <w:color w:val="auto"/>
        </w:rPr>
        <w:t>STATEMENT OF OPERATIONS</w:t>
      </w:r>
    </w:p>
    <w:p>
      <w:pPr>
        <w:ind w:left="440"/>
        <w:spacing w:after="0"/>
        <w:rPr>
          <w:sz w:val="20"/>
          <w:szCs w:val="20"/>
          <w:color w:val="auto"/>
        </w:rPr>
      </w:pPr>
      <w:r>
        <w:rPr>
          <w:rFonts w:ascii="Courier New" w:cs="Courier New" w:eastAsia="Courier New" w:hAnsi="Courier New"/>
          <w:sz w:val="15"/>
          <w:szCs w:val="15"/>
          <w:color w:val="auto"/>
        </w:rPr>
        <w:t>FOR THE THREE MONTHS ENDED DECEMBER 27, 2003 (IN MILLIONS)</w:t>
      </w:r>
    </w:p>
    <w:tbl>
      <w:tblPr>
        <w:tblLayout w:type="fixed"/>
        <w:tblInd w:w="0" w:type="dxa"/>
        <w:tblCellMar>
          <w:top w:w="0" w:type="dxa"/>
          <w:left w:w="0" w:type="dxa"/>
          <w:bottom w:w="0" w:type="dxa"/>
          <w:right w:w="0" w:type="dxa"/>
        </w:tblCellMar>
      </w:tblPr>
      <w:tr>
        <w:trPr>
          <w:trHeight w:val="169"/>
        </w:trPr>
        <w:tc>
          <w:tcPr>
            <w:tcW w:w="3880" w:type="dxa"/>
            <w:vAlign w:val="bottom"/>
          </w:tcPr>
          <w:p>
            <w:pPr>
              <w:jc w:val="right"/>
              <w:ind w:right="287"/>
              <w:spacing w:after="0" w:line="169" w:lineRule="exact"/>
              <w:rPr>
                <w:sz w:val="20"/>
                <w:szCs w:val="20"/>
                <w:color w:val="auto"/>
              </w:rPr>
            </w:pPr>
            <w:r>
              <w:rPr>
                <w:rFonts w:ascii="Courier New" w:cs="Courier New" w:eastAsia="Courier New" w:hAnsi="Courier New"/>
                <w:sz w:val="15"/>
                <w:szCs w:val="15"/>
                <w:color w:val="auto"/>
              </w:rPr>
              <w:t>(UNAUDITED)</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678"/>
        </w:trPr>
        <w:tc>
          <w:tcPr>
            <w:tcW w:w="3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SUBSIDIARY</w:t>
            </w:r>
          </w:p>
        </w:tc>
        <w:tc>
          <w:tcPr>
            <w:tcW w:w="440" w:type="dxa"/>
            <w:vAlign w:val="bottom"/>
          </w:tcPr>
          <w:p>
            <w:pPr>
              <w:spacing w:after="0"/>
              <w:rPr>
                <w:sz w:val="24"/>
                <w:szCs w:val="24"/>
                <w:color w:val="auto"/>
              </w:rPr>
            </w:pPr>
          </w:p>
        </w:tc>
        <w:tc>
          <w:tcPr>
            <w:tcW w:w="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NON-</w:t>
            </w: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3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PARENT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GUARANTORS</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GUARANTORS</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ELIMINATIONS</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170"/>
        </w:trPr>
        <w:tc>
          <w:tcPr>
            <w:tcW w:w="3880" w:type="dxa"/>
            <w:vAlign w:val="bottom"/>
          </w:tcPr>
          <w:p>
            <w:pPr>
              <w:spacing w:after="0"/>
              <w:rPr>
                <w:sz w:val="14"/>
                <w:szCs w:val="14"/>
                <w:color w:val="auto"/>
              </w:rPr>
            </w:pP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Net sales.................................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60.6</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$ 59.2</w:t>
            </w:r>
          </w:p>
        </w:tc>
        <w:tc>
          <w:tcPr>
            <w:tcW w:w="4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66.4</w:t>
            </w:r>
          </w:p>
        </w:tc>
        <w:tc>
          <w:tcPr>
            <w:tcW w:w="154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186.2</w:t>
            </w:r>
          </w:p>
        </w:tc>
      </w:tr>
      <w:tr>
        <w:trPr>
          <w:trHeight w:val="170"/>
        </w:trPr>
        <w:tc>
          <w:tcPr>
            <w:tcW w:w="3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Cost of sales.............................</w:t>
            </w:r>
          </w:p>
        </w:tc>
        <w:tc>
          <w:tcPr>
            <w:tcW w:w="2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36.7</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59.3</w:t>
            </w:r>
          </w:p>
        </w:tc>
        <w:tc>
          <w:tcPr>
            <w:tcW w:w="440" w:type="dxa"/>
            <w:vAlign w:val="bottom"/>
          </w:tcPr>
          <w:p>
            <w:pPr>
              <w:spacing w:after="0"/>
              <w:rPr>
                <w:sz w:val="14"/>
                <w:szCs w:val="14"/>
                <w:color w:val="auto"/>
              </w:rPr>
            </w:pP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40.4</w:t>
            </w:r>
          </w:p>
        </w:tc>
        <w:tc>
          <w:tcPr>
            <w:tcW w:w="1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136.4</w:t>
            </w:r>
          </w:p>
        </w:tc>
      </w:tr>
      <w:tr>
        <w:trPr>
          <w:trHeight w:val="170"/>
        </w:trPr>
        <w:tc>
          <w:tcPr>
            <w:tcW w:w="3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Restructuring and other charges...........</w:t>
            </w:r>
          </w:p>
        </w:tc>
        <w:tc>
          <w:tcPr>
            <w:tcW w:w="2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0.2</w:t>
            </w:r>
          </w:p>
        </w:tc>
        <w:tc>
          <w:tcPr>
            <w:tcW w:w="1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0.5</w:t>
            </w:r>
          </w:p>
        </w:tc>
      </w:tr>
      <w:tr>
        <w:trPr>
          <w:trHeight w:val="170"/>
        </w:trPr>
        <w:tc>
          <w:tcPr>
            <w:tcW w:w="3880" w:type="dxa"/>
            <w:vAlign w:val="bottom"/>
          </w:tcPr>
          <w:p>
            <w:pPr>
              <w:spacing w:after="0"/>
              <w:rPr>
                <w:sz w:val="14"/>
                <w:szCs w:val="14"/>
                <w:color w:val="auto"/>
              </w:rPr>
            </w:pP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Gross profit..............................</w:t>
            </w:r>
          </w:p>
        </w:tc>
        <w:tc>
          <w:tcPr>
            <w:tcW w:w="2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23.6</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(0.1)</w:t>
            </w:r>
          </w:p>
        </w:tc>
        <w:tc>
          <w:tcPr>
            <w:tcW w:w="440" w:type="dxa"/>
            <w:vAlign w:val="bottom"/>
          </w:tcPr>
          <w:p>
            <w:pPr>
              <w:spacing w:after="0"/>
              <w:rPr>
                <w:sz w:val="14"/>
                <w:szCs w:val="14"/>
                <w:color w:val="auto"/>
              </w:rPr>
            </w:pP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25.8</w:t>
            </w:r>
          </w:p>
        </w:tc>
        <w:tc>
          <w:tcPr>
            <w:tcW w:w="1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49.3</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Gross commission earned from marketing</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3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agreement.................................</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3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Costs associated with marketing agreement.</w:t>
            </w:r>
          </w:p>
        </w:tc>
        <w:tc>
          <w:tcPr>
            <w:tcW w:w="2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7.1</w:t>
            </w: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w:t>
            </w:r>
          </w:p>
        </w:tc>
      </w:tr>
      <w:tr>
        <w:trPr>
          <w:trHeight w:val="170"/>
        </w:trPr>
        <w:tc>
          <w:tcPr>
            <w:tcW w:w="3880" w:type="dxa"/>
            <w:vAlign w:val="bottom"/>
          </w:tcPr>
          <w:p>
            <w:pPr>
              <w:spacing w:after="0"/>
              <w:rPr>
                <w:sz w:val="14"/>
                <w:szCs w:val="14"/>
                <w:color w:val="auto"/>
              </w:rPr>
            </w:pP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Net expense from marketing agreement....</w:t>
            </w:r>
          </w:p>
        </w:tc>
        <w:tc>
          <w:tcPr>
            <w:tcW w:w="26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(7.1)</w:t>
            </w: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3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Advertising.............................</w:t>
            </w:r>
          </w:p>
        </w:tc>
        <w:tc>
          <w:tcPr>
            <w:tcW w:w="2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w:t>
            </w:r>
          </w:p>
        </w:tc>
        <w:tc>
          <w:tcPr>
            <w:tcW w:w="440" w:type="dxa"/>
            <w:vAlign w:val="bottom"/>
          </w:tcPr>
          <w:p>
            <w:pPr>
              <w:spacing w:after="0"/>
              <w:rPr>
                <w:sz w:val="14"/>
                <w:szCs w:val="14"/>
                <w:color w:val="auto"/>
              </w:rPr>
            </w:pP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3.1</w:t>
            </w:r>
          </w:p>
        </w:tc>
        <w:tc>
          <w:tcPr>
            <w:tcW w:w="1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8.3</w:t>
            </w:r>
          </w:p>
        </w:tc>
      </w:tr>
      <w:tr>
        <w:trPr>
          <w:trHeight w:val="170"/>
        </w:trPr>
        <w:tc>
          <w:tcPr>
            <w:tcW w:w="3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Selling, general and administrative.....</w:t>
            </w:r>
          </w:p>
        </w:tc>
        <w:tc>
          <w:tcPr>
            <w:tcW w:w="2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56.3</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10.7</w:t>
            </w:r>
          </w:p>
        </w:tc>
        <w:tc>
          <w:tcPr>
            <w:tcW w:w="440" w:type="dxa"/>
            <w:vAlign w:val="bottom"/>
          </w:tcPr>
          <w:p>
            <w:pPr>
              <w:spacing w:after="0"/>
              <w:rPr>
                <w:sz w:val="14"/>
                <w:szCs w:val="14"/>
                <w:color w:val="auto"/>
              </w:rPr>
            </w:pP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24.8</w:t>
            </w:r>
          </w:p>
        </w:tc>
        <w:tc>
          <w:tcPr>
            <w:tcW w:w="1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91.8</w:t>
            </w:r>
          </w:p>
        </w:tc>
      </w:tr>
      <w:tr>
        <w:trPr>
          <w:trHeight w:val="170"/>
        </w:trPr>
        <w:tc>
          <w:tcPr>
            <w:tcW w:w="3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Restructuring and other charges.........</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0.1</w:t>
            </w:r>
          </w:p>
        </w:tc>
        <w:tc>
          <w:tcPr>
            <w:tcW w:w="440" w:type="dxa"/>
            <w:vAlign w:val="bottom"/>
          </w:tcPr>
          <w:p>
            <w:pPr>
              <w:spacing w:after="0"/>
              <w:rPr>
                <w:sz w:val="14"/>
                <w:szCs w:val="14"/>
                <w:color w:val="auto"/>
              </w:rPr>
            </w:pP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0.4</w:t>
            </w:r>
          </w:p>
        </w:tc>
        <w:tc>
          <w:tcPr>
            <w:tcW w:w="1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0.5</w:t>
            </w:r>
          </w:p>
        </w:tc>
      </w:tr>
      <w:tr>
        <w:trPr>
          <w:trHeight w:val="170"/>
        </w:trPr>
        <w:tc>
          <w:tcPr>
            <w:tcW w:w="3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Amortization of intangible assets.......</w:t>
            </w:r>
          </w:p>
        </w:tc>
        <w:tc>
          <w:tcPr>
            <w:tcW w:w="2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w:t>
            </w:r>
          </w:p>
        </w:tc>
        <w:tc>
          <w:tcPr>
            <w:tcW w:w="440" w:type="dxa"/>
            <w:vAlign w:val="bottom"/>
          </w:tcPr>
          <w:p>
            <w:pPr>
              <w:spacing w:after="0"/>
              <w:rPr>
                <w:sz w:val="14"/>
                <w:szCs w:val="14"/>
                <w:color w:val="auto"/>
              </w:rPr>
            </w:pP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w:t>
            </w:r>
          </w:p>
        </w:tc>
        <w:tc>
          <w:tcPr>
            <w:tcW w:w="1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w:t>
            </w:r>
          </w:p>
        </w:tc>
      </w:tr>
      <w:tr>
        <w:trPr>
          <w:trHeight w:val="170"/>
        </w:trPr>
        <w:tc>
          <w:tcPr>
            <w:tcW w:w="3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Equity income in subsidiaries.............</w:t>
            </w:r>
          </w:p>
        </w:tc>
        <w:tc>
          <w:tcPr>
            <w:tcW w:w="2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15.1</w:t>
            </w: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(15.1)</w:t>
            </w: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3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Intracompany allocations..................</w:t>
            </w:r>
          </w:p>
        </w:tc>
        <w:tc>
          <w:tcPr>
            <w:tcW w:w="26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(7.6)</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6.2</w:t>
            </w:r>
          </w:p>
        </w:tc>
        <w:tc>
          <w:tcPr>
            <w:tcW w:w="440" w:type="dxa"/>
            <w:vAlign w:val="bottom"/>
          </w:tcPr>
          <w:p>
            <w:pPr>
              <w:spacing w:after="0"/>
              <w:rPr>
                <w:sz w:val="14"/>
                <w:szCs w:val="14"/>
                <w:color w:val="auto"/>
              </w:rPr>
            </w:pP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w:t>
            </w:r>
          </w:p>
        </w:tc>
        <w:tc>
          <w:tcPr>
            <w:tcW w:w="1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3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Other income, net.........................</w:t>
            </w:r>
          </w:p>
        </w:tc>
        <w:tc>
          <w:tcPr>
            <w:tcW w:w="26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(0.8)</w:t>
            </w:r>
          </w:p>
        </w:tc>
        <w:tc>
          <w:tcPr>
            <w:tcW w:w="44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(0.7)</w:t>
            </w:r>
          </w:p>
        </w:tc>
        <w:tc>
          <w:tcPr>
            <w:tcW w:w="1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w:t>
            </w:r>
          </w:p>
        </w:tc>
      </w:tr>
      <w:tr>
        <w:trPr>
          <w:trHeight w:val="170"/>
        </w:trPr>
        <w:tc>
          <w:tcPr>
            <w:tcW w:w="3880" w:type="dxa"/>
            <w:vAlign w:val="bottom"/>
          </w:tcPr>
          <w:p>
            <w:pPr>
              <w:spacing w:after="0"/>
              <w:rPr>
                <w:sz w:val="14"/>
                <w:szCs w:val="14"/>
                <w:color w:val="auto"/>
              </w:rPr>
            </w:pPr>
          </w:p>
        </w:tc>
        <w:tc>
          <w:tcPr>
            <w:tcW w:w="11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r>
      <w:tr>
        <w:trPr>
          <w:trHeight w:val="170"/>
        </w:trPr>
        <w:tc>
          <w:tcPr>
            <w:tcW w:w="3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Income (loss) from operations.............</w:t>
            </w:r>
          </w:p>
        </w:tc>
        <w:tc>
          <w:tcPr>
            <w:tcW w:w="26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(51.2)</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(18.5)</w:t>
            </w:r>
          </w:p>
        </w:tc>
        <w:tc>
          <w:tcPr>
            <w:tcW w:w="44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15.1</w:t>
            </w:r>
          </w:p>
        </w:tc>
        <w:tc>
          <w:tcPr>
            <w:tcW w:w="5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(59.0)</w:t>
            </w:r>
          </w:p>
        </w:tc>
      </w:tr>
      <w:tr>
        <w:trPr>
          <w:trHeight w:val="170"/>
        </w:trPr>
        <w:tc>
          <w:tcPr>
            <w:tcW w:w="3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Interest expense..........................</w:t>
            </w:r>
          </w:p>
        </w:tc>
        <w:tc>
          <w:tcPr>
            <w:tcW w:w="2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10.4</w:t>
            </w: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w:t>
            </w:r>
          </w:p>
        </w:tc>
        <w:tc>
          <w:tcPr>
            <w:tcW w:w="1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11.9</w:t>
            </w:r>
          </w:p>
        </w:tc>
      </w:tr>
      <w:tr>
        <w:trPr>
          <w:trHeight w:val="170"/>
        </w:trPr>
        <w:tc>
          <w:tcPr>
            <w:tcW w:w="3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Costs related to refinancing..............</w:t>
            </w:r>
          </w:p>
        </w:tc>
        <w:tc>
          <w:tcPr>
            <w:tcW w:w="2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43.7</w:t>
            </w: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43.7</w:t>
            </w:r>
          </w:p>
        </w:tc>
      </w:tr>
      <w:tr>
        <w:trPr>
          <w:trHeight w:val="170"/>
        </w:trPr>
        <w:tc>
          <w:tcPr>
            <w:tcW w:w="3880" w:type="dxa"/>
            <w:vAlign w:val="bottom"/>
          </w:tcPr>
          <w:p>
            <w:pPr>
              <w:spacing w:after="0"/>
              <w:rPr>
                <w:sz w:val="14"/>
                <w:szCs w:val="14"/>
                <w:color w:val="auto"/>
              </w:rPr>
            </w:pP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Income (loss) before income taxes.........</w:t>
            </w:r>
          </w:p>
        </w:tc>
        <w:tc>
          <w:tcPr>
            <w:tcW w:w="26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(105.3)</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(18.5)</w:t>
            </w:r>
          </w:p>
        </w:tc>
        <w:tc>
          <w:tcPr>
            <w:tcW w:w="44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15.1</w:t>
            </w:r>
          </w:p>
        </w:tc>
        <w:tc>
          <w:tcPr>
            <w:tcW w:w="5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(114.6)</w:t>
            </w:r>
          </w:p>
        </w:tc>
      </w:tr>
      <w:tr>
        <w:trPr>
          <w:trHeight w:val="170"/>
        </w:trPr>
        <w:tc>
          <w:tcPr>
            <w:tcW w:w="3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Income tax benefit........................</w:t>
            </w:r>
          </w:p>
        </w:tc>
        <w:tc>
          <w:tcPr>
            <w:tcW w:w="26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(34.6)</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(7.1)</w:t>
            </w:r>
          </w:p>
        </w:tc>
        <w:tc>
          <w:tcPr>
            <w:tcW w:w="44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w:t>
            </w:r>
          </w:p>
        </w:tc>
        <w:tc>
          <w:tcPr>
            <w:tcW w:w="1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(43.9)</w:t>
            </w:r>
          </w:p>
        </w:tc>
      </w:tr>
      <w:tr>
        <w:trPr>
          <w:trHeight w:val="170"/>
        </w:trPr>
        <w:tc>
          <w:tcPr>
            <w:tcW w:w="3880" w:type="dxa"/>
            <w:vAlign w:val="bottom"/>
          </w:tcPr>
          <w:p>
            <w:pPr>
              <w:spacing w:after="0"/>
              <w:rPr>
                <w:sz w:val="14"/>
                <w:szCs w:val="14"/>
                <w:color w:val="auto"/>
              </w:rPr>
            </w:pPr>
          </w:p>
        </w:tc>
        <w:tc>
          <w:tcPr>
            <w:tcW w:w="11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r>
      <w:tr>
        <w:trPr>
          <w:trHeight w:val="170"/>
        </w:trPr>
        <w:tc>
          <w:tcPr>
            <w:tcW w:w="3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Net income (loss).........................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(70.7)</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$(11.4)</w:t>
            </w:r>
          </w:p>
        </w:tc>
        <w:tc>
          <w:tcPr>
            <w:tcW w:w="4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15.1</w:t>
            </w:r>
          </w:p>
        </w:tc>
        <w:tc>
          <w:tcPr>
            <w:tcW w:w="58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(70.7)</w:t>
            </w:r>
          </w:p>
        </w:tc>
      </w:tr>
      <w:tr>
        <w:trPr>
          <w:trHeight w:val="170"/>
        </w:trPr>
        <w:tc>
          <w:tcPr>
            <w:tcW w:w="3880" w:type="dxa"/>
            <w:vAlign w:val="bottom"/>
          </w:tcPr>
          <w:p>
            <w:pPr>
              <w:spacing w:after="0"/>
              <w:rPr>
                <w:sz w:val="14"/>
                <w:szCs w:val="14"/>
                <w:color w:val="auto"/>
              </w:rPr>
            </w:pPr>
          </w:p>
        </w:tc>
        <w:tc>
          <w:tcPr>
            <w:tcW w:w="11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r>
      <w:tr>
        <w:trPr>
          <w:trHeight w:val="509"/>
        </w:trPr>
        <w:tc>
          <w:tcPr>
            <w:tcW w:w="388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17</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400"/>
          </w:cols>
          <w:pgMar w:left="760" w:top="961" w:right="739" w:bottom="1440" w:gutter="0" w:footer="0" w:header="0"/>
        </w:sectPr>
      </w:pPr>
    </w:p>
    <w:bookmarkStart w:id="17" w:name="page18"/>
    <w:bookmarkEnd w:id="17"/>
    <w:p>
      <w:pPr>
        <w:ind w:left="2280"/>
        <w:spacing w:after="0"/>
        <w:rPr>
          <w:sz w:val="20"/>
          <w:szCs w:val="20"/>
          <w:color w:val="auto"/>
        </w:rPr>
      </w:pPr>
      <w:r>
        <w:rPr>
          <w:rFonts w:ascii="Courier New" w:cs="Courier New" w:eastAsia="Courier New" w:hAnsi="Courier New"/>
          <w:sz w:val="15"/>
          <w:szCs w:val="15"/>
          <w:color w:val="auto"/>
        </w:rPr>
        <w:t>THE SCOTTS COMPANY</w:t>
      </w:r>
    </w:p>
    <w:p>
      <w:pPr>
        <w:ind w:left="2100"/>
        <w:spacing w:after="0"/>
        <w:rPr>
          <w:sz w:val="20"/>
          <w:szCs w:val="20"/>
          <w:color w:val="auto"/>
        </w:rPr>
      </w:pPr>
      <w:r>
        <w:rPr>
          <w:rFonts w:ascii="Courier New" w:cs="Courier New" w:eastAsia="Courier New" w:hAnsi="Courier New"/>
          <w:sz w:val="15"/>
          <w:szCs w:val="15"/>
          <w:color w:val="auto"/>
        </w:rPr>
        <w:t>STATEMENT OF CASH FLOWS</w:t>
      </w:r>
    </w:p>
    <w:p>
      <w:pPr>
        <w:ind w:left="260"/>
        <w:spacing w:after="0"/>
        <w:rPr>
          <w:sz w:val="20"/>
          <w:szCs w:val="20"/>
          <w:color w:val="auto"/>
        </w:rPr>
      </w:pPr>
      <w:r>
        <w:rPr>
          <w:rFonts w:ascii="Courier New" w:cs="Courier New" w:eastAsia="Courier New" w:hAnsi="Courier New"/>
          <w:sz w:val="15"/>
          <w:szCs w:val="15"/>
          <w:color w:val="auto"/>
        </w:rPr>
        <w:t>FOR THE THREE MONTH PERIOD ENDED DECEMBER 27, 2003 (IN MILLIONS)</w:t>
      </w:r>
    </w:p>
    <w:tbl>
      <w:tblPr>
        <w:tblLayout w:type="fixed"/>
        <w:tblInd w:w="0" w:type="dxa"/>
        <w:tblCellMar>
          <w:top w:w="0" w:type="dxa"/>
          <w:left w:w="0" w:type="dxa"/>
          <w:bottom w:w="0" w:type="dxa"/>
          <w:right w:w="0" w:type="dxa"/>
        </w:tblCellMar>
      </w:tblPr>
      <w:tr>
        <w:trPr>
          <w:trHeight w:val="169"/>
        </w:trPr>
        <w:tc>
          <w:tcPr>
            <w:tcW w:w="4140" w:type="dxa"/>
            <w:vAlign w:val="bottom"/>
          </w:tcPr>
          <w:p>
            <w:pPr>
              <w:ind w:left="2640"/>
              <w:spacing w:after="0" w:line="169" w:lineRule="exact"/>
              <w:rPr>
                <w:sz w:val="20"/>
                <w:szCs w:val="20"/>
                <w:color w:val="auto"/>
              </w:rPr>
            </w:pPr>
            <w:r>
              <w:rPr>
                <w:rFonts w:ascii="Courier New" w:cs="Courier New" w:eastAsia="Courier New" w:hAnsi="Courier New"/>
                <w:sz w:val="15"/>
                <w:szCs w:val="15"/>
                <w:color w:val="auto"/>
              </w:rPr>
              <w:t>(UNAUDITED)</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678"/>
        </w:trPr>
        <w:tc>
          <w:tcPr>
            <w:tcW w:w="4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SUBSIDIARY</w:t>
            </w:r>
          </w:p>
        </w:tc>
        <w:tc>
          <w:tcPr>
            <w:tcW w:w="480" w:type="dxa"/>
            <w:vAlign w:val="bottom"/>
          </w:tcPr>
          <w:p>
            <w:pPr>
              <w:spacing w:after="0"/>
              <w:rPr>
                <w:sz w:val="24"/>
                <w:szCs w:val="24"/>
                <w:color w:val="auto"/>
              </w:rPr>
            </w:pPr>
          </w:p>
        </w:tc>
        <w:tc>
          <w:tcPr>
            <w:tcW w:w="920" w:type="dxa"/>
            <w:vAlign w:val="bottom"/>
          </w:tcPr>
          <w:p>
            <w:pPr>
              <w:jc w:val="center"/>
              <w:ind w:right="407"/>
              <w:spacing w:after="0"/>
              <w:rPr>
                <w:sz w:val="20"/>
                <w:szCs w:val="20"/>
                <w:color w:val="auto"/>
              </w:rPr>
            </w:pPr>
            <w:r>
              <w:rPr>
                <w:rFonts w:ascii="Courier New" w:cs="Courier New" w:eastAsia="Courier New" w:hAnsi="Courier New"/>
                <w:sz w:val="15"/>
                <w:szCs w:val="15"/>
                <w:color w:val="auto"/>
                <w:w w:val="99"/>
              </w:rPr>
              <w:t>NON-</w:t>
            </w: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4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PARENT</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GUARANTORS</w:t>
            </w:r>
          </w:p>
        </w:tc>
        <w:tc>
          <w:tcPr>
            <w:tcW w:w="14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GUARANTORS</w:t>
            </w:r>
          </w:p>
        </w:tc>
        <w:tc>
          <w:tcPr>
            <w:tcW w:w="15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ELIMINATIONS</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170"/>
        </w:trPr>
        <w:tc>
          <w:tcPr>
            <w:tcW w:w="414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w:t>
            </w:r>
          </w:p>
        </w:tc>
        <w:tc>
          <w:tcPr>
            <w:tcW w:w="15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1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(70.7)</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(11.4)</w:t>
            </w:r>
          </w:p>
        </w:tc>
        <w:tc>
          <w:tcPr>
            <w:tcW w:w="4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15.1</w:t>
            </w:r>
          </w:p>
        </w:tc>
        <w:tc>
          <w:tcPr>
            <w:tcW w:w="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(70.7)</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loss to</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4140" w:type="dxa"/>
            <w:vAlign w:val="bottom"/>
          </w:tcPr>
          <w:p>
            <w:pPr>
              <w:ind w:left="160"/>
              <w:spacing w:after="0"/>
              <w:rPr>
                <w:sz w:val="20"/>
                <w:szCs w:val="20"/>
                <w:color w:val="auto"/>
              </w:rPr>
            </w:pPr>
            <w:r>
              <w:rPr>
                <w:rFonts w:ascii="Courier New" w:cs="Courier New" w:eastAsia="Courier New" w:hAnsi="Courier New"/>
                <w:sz w:val="15"/>
                <w:szCs w:val="15"/>
                <w:color w:val="auto"/>
              </w:rPr>
              <w:t>net cash used in operating activities:</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4140" w:type="dxa"/>
            <w:vAlign w:val="bottom"/>
          </w:tcPr>
          <w:p>
            <w:pPr>
              <w:ind w:left="160"/>
              <w:spacing w:after="0"/>
              <w:rPr>
                <w:sz w:val="20"/>
                <w:szCs w:val="20"/>
                <w:color w:val="auto"/>
              </w:rPr>
            </w:pPr>
            <w:r>
              <w:rPr>
                <w:rFonts w:ascii="Courier New" w:cs="Courier New" w:eastAsia="Courier New" w:hAnsi="Courier New"/>
                <w:sz w:val="15"/>
                <w:szCs w:val="15"/>
                <w:color w:val="auto"/>
              </w:rPr>
              <w:t>Write-off of deferred costs on retired debt</w:t>
            </w:r>
          </w:p>
        </w:tc>
        <w:tc>
          <w:tcPr>
            <w:tcW w:w="26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19.4</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19.4</w:t>
            </w:r>
          </w:p>
        </w:tc>
      </w:tr>
      <w:tr>
        <w:trPr>
          <w:trHeight w:val="170"/>
        </w:trPr>
        <w:tc>
          <w:tcPr>
            <w:tcW w:w="4140" w:type="dxa"/>
            <w:vAlign w:val="bottom"/>
          </w:tcPr>
          <w:p>
            <w:pPr>
              <w:ind w:left="160"/>
              <w:spacing w:after="0"/>
              <w:rPr>
                <w:sz w:val="20"/>
                <w:szCs w:val="20"/>
                <w:color w:val="auto"/>
              </w:rPr>
            </w:pPr>
            <w:r>
              <w:rPr>
                <w:rFonts w:ascii="Courier New" w:cs="Courier New" w:eastAsia="Courier New" w:hAnsi="Courier New"/>
                <w:sz w:val="15"/>
                <w:szCs w:val="15"/>
                <w:color w:val="auto"/>
              </w:rPr>
              <w:t>Stock-based compensation expense..........</w:t>
            </w:r>
          </w:p>
        </w:tc>
        <w:tc>
          <w:tcPr>
            <w:tcW w:w="26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w:t>
            </w:r>
          </w:p>
        </w:tc>
      </w:tr>
      <w:tr>
        <w:trPr>
          <w:trHeight w:val="170"/>
        </w:trPr>
        <w:tc>
          <w:tcPr>
            <w:tcW w:w="4140" w:type="dxa"/>
            <w:vAlign w:val="bottom"/>
          </w:tcPr>
          <w:p>
            <w:pPr>
              <w:ind w:left="160"/>
              <w:spacing w:after="0"/>
              <w:rPr>
                <w:sz w:val="20"/>
                <w:szCs w:val="20"/>
                <w:color w:val="auto"/>
              </w:rPr>
            </w:pPr>
            <w:r>
              <w:rPr>
                <w:rFonts w:ascii="Courier New" w:cs="Courier New" w:eastAsia="Courier New" w:hAnsi="Courier New"/>
                <w:sz w:val="15"/>
                <w:szCs w:val="15"/>
                <w:color w:val="auto"/>
              </w:rPr>
              <w:t>Depreciation..............................</w:t>
            </w:r>
          </w:p>
        </w:tc>
        <w:tc>
          <w:tcPr>
            <w:tcW w:w="26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w:t>
            </w:r>
          </w:p>
        </w:tc>
        <w:tc>
          <w:tcPr>
            <w:tcW w:w="36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2.8</w:t>
            </w:r>
          </w:p>
        </w:tc>
        <w:tc>
          <w:tcPr>
            <w:tcW w:w="480" w:type="dxa"/>
            <w:vAlign w:val="bottom"/>
          </w:tcPr>
          <w:p>
            <w:pPr>
              <w:spacing w:after="0"/>
              <w:rPr>
                <w:sz w:val="14"/>
                <w:szCs w:val="14"/>
                <w:color w:val="auto"/>
              </w:rPr>
            </w:pP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0.8</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10.2</w:t>
            </w:r>
          </w:p>
        </w:tc>
      </w:tr>
      <w:tr>
        <w:trPr>
          <w:trHeight w:val="170"/>
        </w:trPr>
        <w:tc>
          <w:tcPr>
            <w:tcW w:w="4140" w:type="dxa"/>
            <w:vAlign w:val="bottom"/>
          </w:tcPr>
          <w:p>
            <w:pPr>
              <w:ind w:left="160"/>
              <w:spacing w:after="0"/>
              <w:rPr>
                <w:sz w:val="20"/>
                <w:szCs w:val="20"/>
                <w:color w:val="auto"/>
              </w:rPr>
            </w:pPr>
            <w:r>
              <w:rPr>
                <w:rFonts w:ascii="Courier New" w:cs="Courier New" w:eastAsia="Courier New" w:hAnsi="Courier New"/>
                <w:sz w:val="15"/>
                <w:szCs w:val="15"/>
                <w:color w:val="auto"/>
              </w:rPr>
              <w:t>Amortization..............................</w:t>
            </w:r>
          </w:p>
        </w:tc>
        <w:tc>
          <w:tcPr>
            <w:tcW w:w="26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0.9</w:t>
            </w:r>
          </w:p>
        </w:tc>
        <w:tc>
          <w:tcPr>
            <w:tcW w:w="36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w:t>
            </w:r>
          </w:p>
        </w:tc>
        <w:tc>
          <w:tcPr>
            <w:tcW w:w="480" w:type="dxa"/>
            <w:vAlign w:val="bottom"/>
          </w:tcPr>
          <w:p>
            <w:pPr>
              <w:spacing w:after="0"/>
              <w:rPr>
                <w:sz w:val="14"/>
                <w:szCs w:val="14"/>
                <w:color w:val="auto"/>
              </w:rPr>
            </w:pP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w:t>
            </w:r>
          </w:p>
        </w:tc>
      </w:tr>
      <w:tr>
        <w:trPr>
          <w:trHeight w:val="170"/>
        </w:trPr>
        <w:tc>
          <w:tcPr>
            <w:tcW w:w="4140" w:type="dxa"/>
            <w:vAlign w:val="bottom"/>
          </w:tcPr>
          <w:p>
            <w:pPr>
              <w:ind w:left="160"/>
              <w:spacing w:after="0"/>
              <w:rPr>
                <w:sz w:val="20"/>
                <w:szCs w:val="20"/>
                <w:color w:val="auto"/>
              </w:rPr>
            </w:pPr>
            <w:r>
              <w:rPr>
                <w:rFonts w:ascii="Courier New" w:cs="Courier New" w:eastAsia="Courier New" w:hAnsi="Courier New"/>
                <w:sz w:val="15"/>
                <w:szCs w:val="15"/>
                <w:color w:val="auto"/>
              </w:rPr>
              <w:t>Deferred Taxes............................</w:t>
            </w:r>
          </w:p>
        </w:tc>
        <w:tc>
          <w:tcPr>
            <w:tcW w:w="26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w:t>
            </w:r>
          </w:p>
        </w:tc>
      </w:tr>
      <w:tr>
        <w:trPr>
          <w:trHeight w:val="170"/>
        </w:trPr>
        <w:tc>
          <w:tcPr>
            <w:tcW w:w="4140" w:type="dxa"/>
            <w:vAlign w:val="bottom"/>
          </w:tcPr>
          <w:p>
            <w:pPr>
              <w:ind w:left="160"/>
              <w:spacing w:after="0"/>
              <w:rPr>
                <w:sz w:val="20"/>
                <w:szCs w:val="20"/>
                <w:color w:val="auto"/>
              </w:rPr>
            </w:pPr>
            <w:r>
              <w:rPr>
                <w:rFonts w:ascii="Courier New" w:cs="Courier New" w:eastAsia="Courier New" w:hAnsi="Courier New"/>
                <w:sz w:val="15"/>
                <w:szCs w:val="15"/>
                <w:color w:val="auto"/>
              </w:rPr>
              <w:t>Equity (income) loss in subsidiaries......</w:t>
            </w:r>
          </w:p>
        </w:tc>
        <w:tc>
          <w:tcPr>
            <w:tcW w:w="26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15.1</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(15.1)</w:t>
            </w: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Net change in certain components</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4140" w:type="dxa"/>
            <w:vAlign w:val="bottom"/>
          </w:tcPr>
          <w:p>
            <w:pPr>
              <w:ind w:left="160"/>
              <w:spacing w:after="0"/>
              <w:rPr>
                <w:sz w:val="20"/>
                <w:szCs w:val="20"/>
                <w:color w:val="auto"/>
              </w:rPr>
            </w:pPr>
            <w:r>
              <w:rPr>
                <w:rFonts w:ascii="Courier New" w:cs="Courier New" w:eastAsia="Courier New" w:hAnsi="Courier New"/>
                <w:sz w:val="15"/>
                <w:szCs w:val="15"/>
                <w:color w:val="auto"/>
              </w:rPr>
              <w:t>of working capital........................</w:t>
            </w:r>
          </w:p>
        </w:tc>
        <w:tc>
          <w:tcPr>
            <w:tcW w:w="2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(83.6)</w:t>
            </w:r>
          </w:p>
        </w:tc>
        <w:tc>
          <w:tcPr>
            <w:tcW w:w="3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(27.9)</w:t>
            </w:r>
          </w:p>
        </w:tc>
        <w:tc>
          <w:tcPr>
            <w:tcW w:w="48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(45.0)</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(156.5)</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Net changes in other assets and</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4140" w:type="dxa"/>
            <w:vAlign w:val="bottom"/>
          </w:tcPr>
          <w:p>
            <w:pPr>
              <w:ind w:left="160"/>
              <w:spacing w:after="0"/>
              <w:rPr>
                <w:sz w:val="20"/>
                <w:szCs w:val="20"/>
                <w:color w:val="auto"/>
              </w:rPr>
            </w:pPr>
            <w:r>
              <w:rPr>
                <w:rFonts w:ascii="Courier New" w:cs="Courier New" w:eastAsia="Courier New" w:hAnsi="Courier New"/>
                <w:sz w:val="15"/>
                <w:szCs w:val="15"/>
                <w:color w:val="auto"/>
              </w:rPr>
              <w:t>liabilities and other adjustments.........</w:t>
            </w:r>
          </w:p>
        </w:tc>
        <w:tc>
          <w:tcPr>
            <w:tcW w:w="2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(17.6)</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3.7</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(13.9)</w:t>
            </w:r>
          </w:p>
        </w:tc>
      </w:tr>
      <w:tr>
        <w:trPr>
          <w:trHeight w:val="170"/>
        </w:trPr>
        <w:tc>
          <w:tcPr>
            <w:tcW w:w="414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Net cash used in operating activities.......</w:t>
            </w:r>
          </w:p>
        </w:tc>
        <w:tc>
          <w:tcPr>
            <w:tcW w:w="2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(126.8)</w:t>
            </w:r>
          </w:p>
        </w:tc>
        <w:tc>
          <w:tcPr>
            <w:tcW w:w="3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(35.4)</w:t>
            </w:r>
          </w:p>
        </w:tc>
        <w:tc>
          <w:tcPr>
            <w:tcW w:w="48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(43.0)</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(205.2)</w:t>
            </w:r>
          </w:p>
        </w:tc>
      </w:tr>
      <w:tr>
        <w:trPr>
          <w:trHeight w:val="170"/>
        </w:trPr>
        <w:tc>
          <w:tcPr>
            <w:tcW w:w="414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Investment in property, plant and equipment.</w:t>
            </w:r>
          </w:p>
        </w:tc>
        <w:tc>
          <w:tcPr>
            <w:tcW w:w="2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(0.8)</w:t>
            </w:r>
          </w:p>
        </w:tc>
        <w:tc>
          <w:tcPr>
            <w:tcW w:w="3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w:t>
            </w:r>
          </w:p>
        </w:tc>
        <w:tc>
          <w:tcPr>
            <w:tcW w:w="48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(0.7)</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Investment in acquired businesses,</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4140" w:type="dxa"/>
            <w:vAlign w:val="bottom"/>
          </w:tcPr>
          <w:p>
            <w:pPr>
              <w:ind w:left="160"/>
              <w:spacing w:after="0"/>
              <w:rPr>
                <w:sz w:val="20"/>
                <w:szCs w:val="20"/>
                <w:color w:val="auto"/>
              </w:rPr>
            </w:pPr>
            <w:r>
              <w:rPr>
                <w:rFonts w:ascii="Courier New" w:cs="Courier New" w:eastAsia="Courier New" w:hAnsi="Courier New"/>
                <w:sz w:val="15"/>
                <w:szCs w:val="15"/>
                <w:color w:val="auto"/>
              </w:rPr>
              <w:t>net of cash acquired......................</w:t>
            </w:r>
          </w:p>
        </w:tc>
        <w:tc>
          <w:tcPr>
            <w:tcW w:w="2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w:t>
            </w:r>
          </w:p>
        </w:tc>
        <w:tc>
          <w:tcPr>
            <w:tcW w:w="3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(0.3)</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(0.6)</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Payments on seller notes....................</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w:t>
            </w:r>
          </w:p>
        </w:tc>
      </w:tr>
      <w:tr>
        <w:trPr>
          <w:trHeight w:val="170"/>
        </w:trPr>
        <w:tc>
          <w:tcPr>
            <w:tcW w:w="414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2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w:t>
            </w:r>
          </w:p>
        </w:tc>
        <w:tc>
          <w:tcPr>
            <w:tcW w:w="3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w:t>
            </w:r>
          </w:p>
        </w:tc>
        <w:tc>
          <w:tcPr>
            <w:tcW w:w="48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(0.7)</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w:t>
            </w:r>
          </w:p>
        </w:tc>
      </w:tr>
      <w:tr>
        <w:trPr>
          <w:trHeight w:val="170"/>
        </w:trPr>
        <w:tc>
          <w:tcPr>
            <w:tcW w:w="414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Net borrowings under revolving</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4140" w:type="dxa"/>
            <w:vAlign w:val="bottom"/>
          </w:tcPr>
          <w:p>
            <w:pPr>
              <w:ind w:left="160"/>
              <w:spacing w:after="0"/>
              <w:rPr>
                <w:sz w:val="20"/>
                <w:szCs w:val="20"/>
                <w:color w:val="auto"/>
              </w:rPr>
            </w:pPr>
            <w:r>
              <w:rPr>
                <w:rFonts w:ascii="Courier New" w:cs="Courier New" w:eastAsia="Courier New" w:hAnsi="Courier New"/>
                <w:sz w:val="15"/>
                <w:szCs w:val="15"/>
                <w:color w:val="auto"/>
              </w:rPr>
              <w:t>and bank lines of credit..................</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91.7</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91.7</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Gross borrowings under term loans...........</w:t>
            </w:r>
          </w:p>
        </w:tc>
        <w:tc>
          <w:tcPr>
            <w:tcW w:w="26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500.0</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500.0</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Gross repayments under term loans...........</w:t>
            </w:r>
          </w:p>
        </w:tc>
        <w:tc>
          <w:tcPr>
            <w:tcW w:w="2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(240.5)</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(86.0)</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(326.5)</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Issuance of 6 5/8% Notes....................</w:t>
            </w:r>
          </w:p>
        </w:tc>
        <w:tc>
          <w:tcPr>
            <w:tcW w:w="26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200.0</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Redemption of 8 5/8% Notes..................</w:t>
            </w:r>
          </w:p>
        </w:tc>
        <w:tc>
          <w:tcPr>
            <w:tcW w:w="2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(379.9)</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(379.9)</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Financing fees..............................</w:t>
            </w:r>
          </w:p>
        </w:tc>
        <w:tc>
          <w:tcPr>
            <w:tcW w:w="2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(10.9)</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(10.9)</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Cash received from the exercise of</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4140" w:type="dxa"/>
            <w:vAlign w:val="bottom"/>
          </w:tcPr>
          <w:p>
            <w:pPr>
              <w:ind w:left="160"/>
              <w:spacing w:after="0"/>
              <w:rPr>
                <w:sz w:val="20"/>
                <w:szCs w:val="20"/>
                <w:color w:val="auto"/>
              </w:rPr>
            </w:pPr>
            <w:r>
              <w:rPr>
                <w:rFonts w:ascii="Courier New" w:cs="Courier New" w:eastAsia="Courier New" w:hAnsi="Courier New"/>
                <w:sz w:val="15"/>
                <w:szCs w:val="15"/>
                <w:color w:val="auto"/>
              </w:rPr>
              <w:t>stock options.............................</w:t>
            </w:r>
          </w:p>
        </w:tc>
        <w:tc>
          <w:tcPr>
            <w:tcW w:w="26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Intracompany financing......................</w:t>
            </w:r>
          </w:p>
        </w:tc>
        <w:tc>
          <w:tcPr>
            <w:tcW w:w="2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(66.3)</w:t>
            </w:r>
          </w:p>
        </w:tc>
        <w:tc>
          <w:tcPr>
            <w:tcW w:w="36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39.7</w:t>
            </w:r>
          </w:p>
        </w:tc>
        <w:tc>
          <w:tcPr>
            <w:tcW w:w="480" w:type="dxa"/>
            <w:vAlign w:val="bottom"/>
          </w:tcPr>
          <w:p>
            <w:pPr>
              <w:spacing w:after="0"/>
              <w:rPr>
                <w:sz w:val="14"/>
                <w:szCs w:val="14"/>
                <w:color w:val="auto"/>
              </w:rPr>
            </w:pP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26.6</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414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Net cash provided by financing activities...</w:t>
            </w:r>
          </w:p>
        </w:tc>
        <w:tc>
          <w:tcPr>
            <w:tcW w:w="26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12.0</w:t>
            </w:r>
          </w:p>
        </w:tc>
        <w:tc>
          <w:tcPr>
            <w:tcW w:w="36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39.7</w:t>
            </w:r>
          </w:p>
        </w:tc>
        <w:tc>
          <w:tcPr>
            <w:tcW w:w="480" w:type="dxa"/>
            <w:vAlign w:val="bottom"/>
          </w:tcPr>
          <w:p>
            <w:pPr>
              <w:spacing w:after="0"/>
              <w:rPr>
                <w:sz w:val="14"/>
                <w:szCs w:val="14"/>
                <w:color w:val="auto"/>
              </w:rPr>
            </w:pP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32.3</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84.0</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0.6</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0.6</w:t>
            </w:r>
          </w:p>
        </w:tc>
      </w:tr>
      <w:tr>
        <w:trPr>
          <w:trHeight w:val="170"/>
        </w:trPr>
        <w:tc>
          <w:tcPr>
            <w:tcW w:w="414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w:t>
            </w:r>
          </w:p>
        </w:tc>
        <w:tc>
          <w:tcPr>
            <w:tcW w:w="2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(118.4)</w:t>
            </w:r>
          </w:p>
        </w:tc>
        <w:tc>
          <w:tcPr>
            <w:tcW w:w="3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(0.4)</w:t>
            </w:r>
          </w:p>
        </w:tc>
        <w:tc>
          <w:tcPr>
            <w:tcW w:w="48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(10.8)</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(129.6)</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w w:val="99"/>
              </w:rPr>
              <w:t>Cash and cash equivalents, beginning of period</w:t>
            </w:r>
          </w:p>
        </w:tc>
        <w:tc>
          <w:tcPr>
            <w:tcW w:w="26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132.1</w:t>
            </w:r>
          </w:p>
        </w:tc>
        <w:tc>
          <w:tcPr>
            <w:tcW w:w="36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w:t>
            </w:r>
          </w:p>
        </w:tc>
        <w:tc>
          <w:tcPr>
            <w:tcW w:w="480" w:type="dxa"/>
            <w:vAlign w:val="bottom"/>
          </w:tcPr>
          <w:p>
            <w:pPr>
              <w:spacing w:after="0"/>
              <w:rPr>
                <w:sz w:val="14"/>
                <w:szCs w:val="14"/>
                <w:color w:val="auto"/>
              </w:rPr>
            </w:pP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22.6</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155.9</w:t>
            </w:r>
          </w:p>
        </w:tc>
      </w:tr>
      <w:tr>
        <w:trPr>
          <w:trHeight w:val="170"/>
        </w:trPr>
        <w:tc>
          <w:tcPr>
            <w:tcW w:w="4140" w:type="dxa"/>
            <w:vAlign w:val="bottom"/>
          </w:tcPr>
          <w:p>
            <w:pPr>
              <w:spacing w:after="0"/>
              <w:rPr>
                <w:sz w:val="14"/>
                <w:szCs w:val="14"/>
                <w:color w:val="auto"/>
              </w:rPr>
            </w:pPr>
          </w:p>
        </w:tc>
        <w:tc>
          <w:tcPr>
            <w:tcW w:w="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 of period....</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13.7</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0.8</w:t>
            </w:r>
          </w:p>
        </w:tc>
        <w:tc>
          <w:tcPr>
            <w:tcW w:w="4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11.8</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26.3</w:t>
            </w:r>
          </w:p>
        </w:tc>
      </w:tr>
      <w:tr>
        <w:trPr>
          <w:trHeight w:val="170"/>
        </w:trPr>
        <w:tc>
          <w:tcPr>
            <w:tcW w:w="4140" w:type="dxa"/>
            <w:vAlign w:val="bottom"/>
          </w:tcPr>
          <w:p>
            <w:pPr>
              <w:spacing w:after="0"/>
              <w:rPr>
                <w:sz w:val="14"/>
                <w:szCs w:val="14"/>
                <w:color w:val="auto"/>
              </w:rPr>
            </w:pPr>
          </w:p>
        </w:tc>
        <w:tc>
          <w:tcPr>
            <w:tcW w:w="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509"/>
        </w:trPr>
        <w:tc>
          <w:tcPr>
            <w:tcW w:w="4140" w:type="dxa"/>
            <w:vAlign w:val="bottom"/>
          </w:tcPr>
          <w:p>
            <w:pPr>
              <w:ind w:left="2980"/>
              <w:spacing w:after="0"/>
              <w:rPr>
                <w:sz w:val="20"/>
                <w:szCs w:val="20"/>
                <w:color w:val="auto"/>
              </w:rPr>
            </w:pPr>
            <w:r>
              <w:rPr>
                <w:rFonts w:ascii="Courier New" w:cs="Courier New" w:eastAsia="Courier New" w:hAnsi="Courier New"/>
                <w:sz w:val="15"/>
                <w:szCs w:val="15"/>
                <w:color w:val="auto"/>
              </w:rPr>
              <w:t>18</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480"/>
          </w:cols>
          <w:pgMar w:left="680" w:top="961" w:right="739" w:bottom="1440" w:gutter="0" w:footer="0" w:header="0"/>
        </w:sectPr>
      </w:pPr>
    </w:p>
    <w:bookmarkStart w:id="18" w:name="page19"/>
    <w:bookmarkEnd w:id="18"/>
    <w:p>
      <w:pPr>
        <w:jc w:val="center"/>
        <w:ind w:right="4400"/>
        <w:spacing w:after="0"/>
        <w:rPr>
          <w:sz w:val="20"/>
          <w:szCs w:val="20"/>
          <w:color w:val="auto"/>
        </w:rPr>
      </w:pPr>
      <w:r>
        <w:rPr>
          <w:rFonts w:ascii="Courier New" w:cs="Courier New" w:eastAsia="Courier New" w:hAnsi="Courier New"/>
          <w:sz w:val="15"/>
          <w:szCs w:val="15"/>
          <w:color w:val="auto"/>
        </w:rPr>
        <w:t>THE SCOTTS COMPANY</w:t>
      </w:r>
    </w:p>
    <w:p>
      <w:pPr>
        <w:jc w:val="center"/>
        <w:ind w:right="4320"/>
        <w:spacing w:after="0"/>
        <w:rPr>
          <w:sz w:val="20"/>
          <w:szCs w:val="20"/>
          <w:color w:val="auto"/>
        </w:rPr>
      </w:pPr>
      <w:r>
        <w:rPr>
          <w:rFonts w:ascii="Courier New" w:cs="Courier New" w:eastAsia="Courier New" w:hAnsi="Courier New"/>
          <w:sz w:val="15"/>
          <w:szCs w:val="15"/>
          <w:color w:val="auto"/>
        </w:rPr>
        <w:t>BALANCE SHEET</w:t>
      </w:r>
    </w:p>
    <w:p>
      <w:pPr>
        <w:jc w:val="center"/>
        <w:ind w:right="4320"/>
        <w:spacing w:after="0"/>
        <w:rPr>
          <w:sz w:val="20"/>
          <w:szCs w:val="20"/>
          <w:color w:val="auto"/>
        </w:rPr>
      </w:pPr>
      <w:r>
        <w:rPr>
          <w:rFonts w:ascii="Courier New" w:cs="Courier New" w:eastAsia="Courier New" w:hAnsi="Courier New"/>
          <w:sz w:val="15"/>
          <w:szCs w:val="15"/>
          <w:color w:val="auto"/>
        </w:rPr>
        <w:t>AS OF DECEMBER 27, 2003 (IN MILLIONS)</w:t>
      </w:r>
    </w:p>
    <w:p>
      <w:pPr>
        <w:jc w:val="center"/>
        <w:ind w:right="4320"/>
        <w:spacing w:after="0" w:line="238"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SUBSIDIARY</w:t>
            </w:r>
          </w:p>
        </w:tc>
        <w:tc>
          <w:tcPr>
            <w:tcW w:w="440" w:type="dxa"/>
            <w:vAlign w:val="bottom"/>
          </w:tcPr>
          <w:p>
            <w:pPr>
              <w:spacing w:after="0"/>
              <w:rPr>
                <w:sz w:val="14"/>
                <w:szCs w:val="14"/>
                <w:color w:val="auto"/>
              </w:rPr>
            </w:pPr>
          </w:p>
        </w:tc>
        <w:tc>
          <w:tcPr>
            <w:tcW w:w="88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9"/>
              </w:rPr>
              <w:t>NON-</w:t>
            </w:r>
          </w:p>
        </w:tc>
        <w:tc>
          <w:tcPr>
            <w:tcW w:w="1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2"/>
              </w:rPr>
              <w:t>PARENT</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GUARANTORS</w:t>
            </w:r>
          </w:p>
        </w:tc>
        <w:tc>
          <w:tcPr>
            <w:tcW w:w="13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GUARANTORS</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ELIMINATIONS</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170"/>
        </w:trPr>
        <w:tc>
          <w:tcPr>
            <w:tcW w:w="4320" w:type="dxa"/>
            <w:vAlign w:val="bottom"/>
          </w:tcPr>
          <w:p>
            <w:pPr>
              <w:spacing w:after="0"/>
              <w:rPr>
                <w:sz w:val="14"/>
                <w:szCs w:val="14"/>
                <w:color w:val="auto"/>
              </w:rPr>
            </w:pP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320" w:type="dxa"/>
            <w:vAlign w:val="bottom"/>
          </w:tcPr>
          <w:p>
            <w:pPr>
              <w:jc w:val="right"/>
              <w:ind w:right="1867"/>
              <w:spacing w:after="0"/>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43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Cash and cash equivalents....................</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13.7</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0.8</w:t>
            </w:r>
          </w:p>
        </w:tc>
        <w:tc>
          <w:tcPr>
            <w:tcW w:w="4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11.8</w:t>
            </w:r>
          </w:p>
        </w:tc>
        <w:tc>
          <w:tcPr>
            <w:tcW w:w="154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26.3</w:t>
            </w: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Accounts receivable, net.....................</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28.2</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90.8</w:t>
            </w:r>
          </w:p>
        </w:tc>
        <w:tc>
          <w:tcPr>
            <w:tcW w:w="44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110.1</w:t>
            </w:r>
          </w:p>
        </w:tc>
        <w:tc>
          <w:tcPr>
            <w:tcW w:w="1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229.1</w:t>
            </w: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Inventories, net.............................</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247.7</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78.9</w:t>
            </w:r>
          </w:p>
        </w:tc>
        <w:tc>
          <w:tcPr>
            <w:tcW w:w="44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115.8</w:t>
            </w:r>
          </w:p>
        </w:tc>
        <w:tc>
          <w:tcPr>
            <w:tcW w:w="1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442.4</w:t>
            </w: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Current deferred tax asset...................</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58.8</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0.4</w:t>
            </w:r>
          </w:p>
        </w:tc>
        <w:tc>
          <w:tcPr>
            <w:tcW w:w="44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w:t>
            </w:r>
          </w:p>
        </w:tc>
        <w:tc>
          <w:tcPr>
            <w:tcW w:w="1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60.7</w:t>
            </w: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Prepaid and other assets.....................</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16.7</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w:t>
            </w:r>
          </w:p>
        </w:tc>
        <w:tc>
          <w:tcPr>
            <w:tcW w:w="44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13.7</w:t>
            </w:r>
          </w:p>
        </w:tc>
        <w:tc>
          <w:tcPr>
            <w:tcW w:w="1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32.3</w:t>
            </w:r>
          </w:p>
        </w:tc>
      </w:tr>
      <w:tr>
        <w:trPr>
          <w:trHeight w:val="170"/>
        </w:trPr>
        <w:tc>
          <w:tcPr>
            <w:tcW w:w="4320" w:type="dxa"/>
            <w:vAlign w:val="bottom"/>
          </w:tcPr>
          <w:p>
            <w:pPr>
              <w:spacing w:after="0"/>
              <w:rPr>
                <w:sz w:val="14"/>
                <w:szCs w:val="14"/>
                <w:color w:val="auto"/>
              </w:rPr>
            </w:pP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current assets.....................</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365.1</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172.8</w:t>
            </w:r>
          </w:p>
        </w:tc>
        <w:tc>
          <w:tcPr>
            <w:tcW w:w="44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252.9</w:t>
            </w:r>
          </w:p>
        </w:tc>
        <w:tc>
          <w:tcPr>
            <w:tcW w:w="1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790.8</w:t>
            </w: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Property, plant and equipment, net..............</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201.3</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90.0</w:t>
            </w:r>
          </w:p>
        </w:tc>
        <w:tc>
          <w:tcPr>
            <w:tcW w:w="44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42.5</w:t>
            </w:r>
          </w:p>
        </w:tc>
        <w:tc>
          <w:tcPr>
            <w:tcW w:w="1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333.8</w:t>
            </w: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Goodwill........................................</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20.5</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294.7</w:t>
            </w:r>
          </w:p>
        </w:tc>
        <w:tc>
          <w:tcPr>
            <w:tcW w:w="44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97.3</w:t>
            </w:r>
          </w:p>
        </w:tc>
        <w:tc>
          <w:tcPr>
            <w:tcW w:w="1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412.5</w:t>
            </w: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Intangible assets, net..........................</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280.8</w:t>
            </w:r>
          </w:p>
        </w:tc>
        <w:tc>
          <w:tcPr>
            <w:tcW w:w="44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149.5</w:t>
            </w:r>
          </w:p>
        </w:tc>
        <w:tc>
          <w:tcPr>
            <w:tcW w:w="1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436.2</w:t>
            </w: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Other assets....................................</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42.0</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w:t>
            </w:r>
          </w:p>
        </w:tc>
        <w:tc>
          <w:tcPr>
            <w:tcW w:w="44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w:t>
            </w:r>
          </w:p>
        </w:tc>
        <w:tc>
          <w:tcPr>
            <w:tcW w:w="1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42.0</w:t>
            </w: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Investment in affiliates........................</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1,024.9</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(1,024.9)</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Intracompany assets.............................</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12.8</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220.1</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(232.9)</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320" w:type="dxa"/>
            <w:vAlign w:val="bottom"/>
          </w:tcPr>
          <w:p>
            <w:pPr>
              <w:spacing w:after="0"/>
              <w:rPr>
                <w:sz w:val="14"/>
                <w:szCs w:val="14"/>
                <w:color w:val="auto"/>
              </w:rPr>
            </w:pP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assets.............................</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1,672.5</w:t>
            </w:r>
          </w:p>
        </w:tc>
        <w:tc>
          <w:tcPr>
            <w:tcW w:w="12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$1,059.9</w:t>
            </w:r>
          </w:p>
        </w:tc>
        <w:tc>
          <w:tcPr>
            <w:tcW w:w="4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540.7</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$(1,257.8)</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2,015.3</w:t>
            </w:r>
          </w:p>
        </w:tc>
      </w:tr>
      <w:tr>
        <w:trPr>
          <w:trHeight w:val="170"/>
        </w:trPr>
        <w:tc>
          <w:tcPr>
            <w:tcW w:w="4320" w:type="dxa"/>
            <w:vAlign w:val="bottom"/>
          </w:tcPr>
          <w:p>
            <w:pPr>
              <w:spacing w:after="0"/>
              <w:rPr>
                <w:sz w:val="14"/>
                <w:szCs w:val="14"/>
                <w:color w:val="auto"/>
              </w:rPr>
            </w:pP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LIABILITIES AND SHAREHOLDERS' EQUITY</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43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Current portion of debt......................</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9.8</w:t>
            </w:r>
          </w:p>
        </w:tc>
        <w:tc>
          <w:tcPr>
            <w:tcW w:w="4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19.2</w:t>
            </w:r>
          </w:p>
        </w:tc>
        <w:tc>
          <w:tcPr>
            <w:tcW w:w="154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30.8</w:t>
            </w: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Accounts payable.............................</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89.2</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28.1</w:t>
            </w:r>
          </w:p>
        </w:tc>
        <w:tc>
          <w:tcPr>
            <w:tcW w:w="44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64.1</w:t>
            </w:r>
          </w:p>
        </w:tc>
        <w:tc>
          <w:tcPr>
            <w:tcW w:w="1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181.4</w:t>
            </w: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Accrued liabilities..........................</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77.9</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16.3</w:t>
            </w:r>
          </w:p>
        </w:tc>
        <w:tc>
          <w:tcPr>
            <w:tcW w:w="44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96.5</w:t>
            </w:r>
          </w:p>
        </w:tc>
        <w:tc>
          <w:tcPr>
            <w:tcW w:w="1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190.7</w:t>
            </w: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Accrued taxes................................</w:t>
            </w:r>
          </w:p>
        </w:tc>
        <w:tc>
          <w:tcPr>
            <w:tcW w:w="26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(25.2)</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w:t>
            </w:r>
          </w:p>
        </w:tc>
        <w:tc>
          <w:tcPr>
            <w:tcW w:w="44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(0.6)</w:t>
            </w:r>
          </w:p>
        </w:tc>
        <w:tc>
          <w:tcPr>
            <w:tcW w:w="1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(24.8)</w:t>
            </w:r>
          </w:p>
        </w:tc>
      </w:tr>
      <w:tr>
        <w:trPr>
          <w:trHeight w:val="170"/>
        </w:trPr>
        <w:tc>
          <w:tcPr>
            <w:tcW w:w="432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current liabilities................</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143.7</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55.2</w:t>
            </w:r>
          </w:p>
        </w:tc>
        <w:tc>
          <w:tcPr>
            <w:tcW w:w="44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179.2</w:t>
            </w:r>
          </w:p>
        </w:tc>
        <w:tc>
          <w:tcPr>
            <w:tcW w:w="1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378.1</w:t>
            </w: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Long-term debt..................................</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720.1</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8.0</w:t>
            </w:r>
          </w:p>
        </w:tc>
        <w:tc>
          <w:tcPr>
            <w:tcW w:w="44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82.0</w:t>
            </w:r>
          </w:p>
        </w:tc>
        <w:tc>
          <w:tcPr>
            <w:tcW w:w="1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810.1</w:t>
            </w: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Other liabilities...............................</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142.3</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18.4</w:t>
            </w:r>
          </w:p>
        </w:tc>
        <w:tc>
          <w:tcPr>
            <w:tcW w:w="1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160.7</w:t>
            </w: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Intracompany liabilities........................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232.9</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(232.9)</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320" w:type="dxa"/>
            <w:vAlign w:val="bottom"/>
          </w:tcPr>
          <w:p>
            <w:pPr>
              <w:spacing w:after="0"/>
              <w:rPr>
                <w:sz w:val="14"/>
                <w:szCs w:val="14"/>
                <w:color w:val="auto"/>
              </w:rPr>
            </w:pP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liabilities..........................</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1,006.1</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63.2</w:t>
            </w:r>
          </w:p>
        </w:tc>
        <w:tc>
          <w:tcPr>
            <w:tcW w:w="44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512.5</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(232.9)</w:t>
            </w:r>
          </w:p>
        </w:tc>
        <w:tc>
          <w:tcPr>
            <w:tcW w:w="5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1,348.9</w:t>
            </w:r>
          </w:p>
        </w:tc>
      </w:tr>
      <w:tr>
        <w:trPr>
          <w:trHeight w:val="170"/>
        </w:trPr>
        <w:tc>
          <w:tcPr>
            <w:tcW w:w="4320" w:type="dxa"/>
            <w:vAlign w:val="bottom"/>
          </w:tcPr>
          <w:p>
            <w:pPr>
              <w:spacing w:after="0"/>
              <w:rPr>
                <w:sz w:val="14"/>
                <w:szCs w:val="14"/>
                <w:color w:val="auto"/>
              </w:rPr>
            </w:pP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32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Investment from parent.......................</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491.5</w:t>
            </w:r>
          </w:p>
        </w:tc>
        <w:tc>
          <w:tcPr>
            <w:tcW w:w="44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0.4</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(491.9)</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32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Common shares, no par value per share,</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$.01 stated value per share................</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0.3</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w:t>
            </w: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Deferred compensation-stock awards...........</w:t>
            </w:r>
          </w:p>
        </w:tc>
        <w:tc>
          <w:tcPr>
            <w:tcW w:w="26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(19.2)</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(19.2)</w:t>
            </w: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Capital in excess of par value...............</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418.9</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418.9</w:t>
            </w: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Retained earnings............................</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327.9</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503.4</w:t>
            </w:r>
          </w:p>
        </w:tc>
        <w:tc>
          <w:tcPr>
            <w:tcW w:w="44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0.9</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(504.3)</w:t>
            </w:r>
          </w:p>
        </w:tc>
        <w:tc>
          <w:tcPr>
            <w:tcW w:w="5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327.9</w:t>
            </w: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Accumulated other comprehensive expense......</w:t>
            </w:r>
          </w:p>
        </w:tc>
        <w:tc>
          <w:tcPr>
            <w:tcW w:w="26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(61.5)</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w:t>
            </w:r>
          </w:p>
        </w:tc>
        <w:tc>
          <w:tcPr>
            <w:tcW w:w="44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26.9</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(28.7)</w:t>
            </w:r>
          </w:p>
        </w:tc>
        <w:tc>
          <w:tcPr>
            <w:tcW w:w="5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(61.5)</w:t>
            </w:r>
          </w:p>
        </w:tc>
      </w:tr>
      <w:tr>
        <w:trPr>
          <w:trHeight w:val="170"/>
        </w:trPr>
        <w:tc>
          <w:tcPr>
            <w:tcW w:w="432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Total shareholders' equity......................</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666.4</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996.7</w:t>
            </w:r>
          </w:p>
        </w:tc>
        <w:tc>
          <w:tcPr>
            <w:tcW w:w="44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28.2</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(1,024.9)</w:t>
            </w:r>
          </w:p>
        </w:tc>
        <w:tc>
          <w:tcPr>
            <w:tcW w:w="5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666.4</w:t>
            </w:r>
          </w:p>
        </w:tc>
      </w:tr>
      <w:tr>
        <w:trPr>
          <w:trHeight w:val="170"/>
        </w:trPr>
        <w:tc>
          <w:tcPr>
            <w:tcW w:w="4320" w:type="dxa"/>
            <w:vAlign w:val="bottom"/>
          </w:tcPr>
          <w:p>
            <w:pPr>
              <w:spacing w:after="0"/>
              <w:rPr>
                <w:sz w:val="14"/>
                <w:szCs w:val="14"/>
                <w:color w:val="auto"/>
              </w:rPr>
            </w:pP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Total liabilities and shareholders' equity......</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1,672.5</w:t>
            </w:r>
          </w:p>
        </w:tc>
        <w:tc>
          <w:tcPr>
            <w:tcW w:w="12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$1,059.9</w:t>
            </w:r>
          </w:p>
        </w:tc>
        <w:tc>
          <w:tcPr>
            <w:tcW w:w="4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540.7</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$(1,257.8)</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2,015.3</w:t>
            </w:r>
          </w:p>
        </w:tc>
      </w:tr>
      <w:tr>
        <w:trPr>
          <w:trHeight w:val="170"/>
        </w:trPr>
        <w:tc>
          <w:tcPr>
            <w:tcW w:w="4320" w:type="dxa"/>
            <w:vAlign w:val="bottom"/>
          </w:tcPr>
          <w:p>
            <w:pPr>
              <w:spacing w:after="0"/>
              <w:rPr>
                <w:sz w:val="14"/>
                <w:szCs w:val="14"/>
                <w:color w:val="auto"/>
              </w:rPr>
            </w:pP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432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19</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920"/>
          </w:cols>
          <w:pgMar w:left="500" w:top="961" w:right="479" w:bottom="1440" w:gutter="0" w:footer="0" w:header="0"/>
        </w:sectPr>
      </w:pPr>
    </w:p>
    <w:bookmarkStart w:id="19" w:name="page20"/>
    <w:bookmarkEnd w:id="19"/>
    <w:p>
      <w:pPr>
        <w:ind w:left="2200"/>
        <w:spacing w:after="0"/>
        <w:rPr>
          <w:sz w:val="20"/>
          <w:szCs w:val="20"/>
          <w:color w:val="auto"/>
        </w:rPr>
      </w:pPr>
      <w:r>
        <w:rPr>
          <w:rFonts w:ascii="Courier New" w:cs="Courier New" w:eastAsia="Courier New" w:hAnsi="Courier New"/>
          <w:sz w:val="15"/>
          <w:szCs w:val="15"/>
          <w:color w:val="auto"/>
        </w:rPr>
        <w:t>THE SCOTTS COMPANY</w:t>
      </w:r>
    </w:p>
    <w:p>
      <w:pPr>
        <w:ind w:left="2020"/>
        <w:spacing w:after="0"/>
        <w:rPr>
          <w:sz w:val="20"/>
          <w:szCs w:val="20"/>
          <w:color w:val="auto"/>
        </w:rPr>
      </w:pPr>
      <w:r>
        <w:rPr>
          <w:rFonts w:ascii="Courier New" w:cs="Courier New" w:eastAsia="Courier New" w:hAnsi="Courier New"/>
          <w:sz w:val="15"/>
          <w:szCs w:val="15"/>
          <w:color w:val="auto"/>
        </w:rPr>
        <w:t>STATEMENT OF OPERATIONS</w:t>
      </w:r>
    </w:p>
    <w:p>
      <w:pPr>
        <w:ind w:left="440"/>
        <w:spacing w:after="0"/>
        <w:rPr>
          <w:sz w:val="20"/>
          <w:szCs w:val="20"/>
          <w:color w:val="auto"/>
        </w:rPr>
      </w:pPr>
      <w:r>
        <w:rPr>
          <w:rFonts w:ascii="Courier New" w:cs="Courier New" w:eastAsia="Courier New" w:hAnsi="Courier New"/>
          <w:sz w:val="15"/>
          <w:szCs w:val="15"/>
          <w:color w:val="auto"/>
        </w:rPr>
        <w:t>FOR THE THREE MONTHS ENDED DECEMBER 28, 2002 (IN MILLIONS)</w:t>
      </w:r>
    </w:p>
    <w:tbl>
      <w:tblPr>
        <w:tblLayout w:type="fixed"/>
        <w:tblInd w:w="0" w:type="dxa"/>
        <w:tblCellMar>
          <w:top w:w="0" w:type="dxa"/>
          <w:left w:w="0" w:type="dxa"/>
          <w:bottom w:w="0" w:type="dxa"/>
          <w:right w:w="0" w:type="dxa"/>
        </w:tblCellMar>
      </w:tblPr>
      <w:tr>
        <w:trPr>
          <w:trHeight w:val="169"/>
        </w:trPr>
        <w:tc>
          <w:tcPr>
            <w:tcW w:w="3840" w:type="dxa"/>
            <w:vAlign w:val="bottom"/>
          </w:tcPr>
          <w:p>
            <w:pPr>
              <w:jc w:val="right"/>
              <w:ind w:right="247"/>
              <w:spacing w:after="0" w:line="169" w:lineRule="exact"/>
              <w:rPr>
                <w:sz w:val="20"/>
                <w:szCs w:val="20"/>
                <w:color w:val="auto"/>
              </w:rPr>
            </w:pPr>
            <w:r>
              <w:rPr>
                <w:rFonts w:ascii="Courier New" w:cs="Courier New" w:eastAsia="Courier New" w:hAnsi="Courier New"/>
                <w:sz w:val="15"/>
                <w:szCs w:val="15"/>
                <w:color w:val="auto"/>
              </w:rPr>
              <w:t>(UNAUDITED)</w:t>
            </w: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78"/>
        </w:trPr>
        <w:tc>
          <w:tcPr>
            <w:tcW w:w="3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SUBSIDIARY</w:t>
            </w:r>
          </w:p>
        </w:tc>
        <w:tc>
          <w:tcPr>
            <w:tcW w:w="440" w:type="dxa"/>
            <w:vAlign w:val="bottom"/>
          </w:tcPr>
          <w:p>
            <w:pPr>
              <w:spacing w:after="0"/>
              <w:rPr>
                <w:sz w:val="24"/>
                <w:szCs w:val="24"/>
                <w:color w:val="auto"/>
              </w:rPr>
            </w:pPr>
          </w:p>
        </w:tc>
        <w:tc>
          <w:tcPr>
            <w:tcW w:w="88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9"/>
              </w:rPr>
              <w:t>NON-</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3840" w:type="dxa"/>
            <w:vAlign w:val="bottom"/>
          </w:tcPr>
          <w:p>
            <w:pPr>
              <w:spacing w:after="0"/>
              <w:rPr>
                <w:sz w:val="14"/>
                <w:szCs w:val="14"/>
                <w:color w:val="auto"/>
              </w:rPr>
            </w:pPr>
          </w:p>
        </w:tc>
        <w:tc>
          <w:tcPr>
            <w:tcW w:w="11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PARENT</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GUARANTORS</w:t>
            </w:r>
          </w:p>
        </w:tc>
        <w:tc>
          <w:tcPr>
            <w:tcW w:w="13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GUARANTORS</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ELIMINATIONS</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170"/>
        </w:trPr>
        <w:tc>
          <w:tcPr>
            <w:tcW w:w="3840" w:type="dxa"/>
            <w:vAlign w:val="bottom"/>
          </w:tcPr>
          <w:p>
            <w:pPr>
              <w:spacing w:after="0"/>
              <w:rPr>
                <w:sz w:val="14"/>
                <w:szCs w:val="14"/>
                <w:color w:val="auto"/>
              </w:rPr>
            </w:pPr>
          </w:p>
        </w:tc>
        <w:tc>
          <w:tcPr>
            <w:tcW w:w="11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Net sales.................................</w:t>
            </w:r>
          </w:p>
        </w:tc>
        <w:tc>
          <w:tcPr>
            <w:tcW w:w="4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59.9</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59.9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61.0</w:t>
            </w:r>
          </w:p>
        </w:tc>
        <w:tc>
          <w:tcPr>
            <w:tcW w:w="154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180.8</w:t>
            </w:r>
          </w:p>
        </w:tc>
      </w:tr>
      <w:tr>
        <w:trPr>
          <w:trHeight w:val="170"/>
        </w:trPr>
        <w:tc>
          <w:tcPr>
            <w:tcW w:w="3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Cost of sales.............................</w:t>
            </w:r>
          </w:p>
        </w:tc>
        <w:tc>
          <w:tcPr>
            <w:tcW w:w="48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38.9</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60.0</w:t>
            </w:r>
          </w:p>
        </w:tc>
        <w:tc>
          <w:tcPr>
            <w:tcW w:w="440" w:type="dxa"/>
            <w:vAlign w:val="bottom"/>
          </w:tcPr>
          <w:p>
            <w:pPr>
              <w:spacing w:after="0"/>
              <w:rPr>
                <w:sz w:val="14"/>
                <w:szCs w:val="14"/>
                <w:color w:val="auto"/>
              </w:rPr>
            </w:pP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40.2</w:t>
            </w:r>
          </w:p>
        </w:tc>
        <w:tc>
          <w:tcPr>
            <w:tcW w:w="1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139.1</w:t>
            </w:r>
          </w:p>
        </w:tc>
      </w:tr>
      <w:tr>
        <w:trPr>
          <w:trHeight w:val="170"/>
        </w:trPr>
        <w:tc>
          <w:tcPr>
            <w:tcW w:w="3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Restructuring and other charges...........</w:t>
            </w:r>
          </w:p>
        </w:tc>
        <w:tc>
          <w:tcPr>
            <w:tcW w:w="48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0.1</w:t>
            </w:r>
          </w:p>
        </w:tc>
        <w:tc>
          <w:tcPr>
            <w:tcW w:w="1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w:t>
            </w:r>
          </w:p>
        </w:tc>
      </w:tr>
      <w:tr>
        <w:trPr>
          <w:trHeight w:val="170"/>
        </w:trPr>
        <w:tc>
          <w:tcPr>
            <w:tcW w:w="384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Gross profit..............................</w:t>
            </w:r>
          </w:p>
        </w:tc>
        <w:tc>
          <w:tcPr>
            <w:tcW w:w="48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16.6</w:t>
            </w:r>
          </w:p>
        </w:tc>
        <w:tc>
          <w:tcPr>
            <w:tcW w:w="4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w:t>
            </w:r>
          </w:p>
        </w:tc>
        <w:tc>
          <w:tcPr>
            <w:tcW w:w="440" w:type="dxa"/>
            <w:vAlign w:val="bottom"/>
          </w:tcPr>
          <w:p>
            <w:pPr>
              <w:spacing w:after="0"/>
              <w:rPr>
                <w:sz w:val="14"/>
                <w:szCs w:val="14"/>
                <w:color w:val="auto"/>
              </w:rPr>
            </w:pP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20.7</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37.2</w:t>
            </w:r>
          </w:p>
        </w:tc>
      </w:tr>
      <w:tr>
        <w:trPr>
          <w:trHeight w:val="170"/>
        </w:trPr>
        <w:tc>
          <w:tcPr>
            <w:tcW w:w="3840" w:type="dxa"/>
            <w:vAlign w:val="bottom"/>
          </w:tcPr>
          <w:p>
            <w:pPr>
              <w:spacing w:after="0"/>
              <w:rPr>
                <w:sz w:val="20"/>
                <w:szCs w:val="20"/>
                <w:color w:val="auto"/>
              </w:rPr>
            </w:pPr>
            <w:r>
              <w:rPr>
                <w:rFonts w:ascii="Courier New" w:cs="Courier New" w:eastAsia="Courier New" w:hAnsi="Courier New"/>
                <w:sz w:val="15"/>
                <w:szCs w:val="15"/>
                <w:color w:val="auto"/>
              </w:rPr>
              <w:t>Gross commission earned from marketing</w:t>
            </w:r>
          </w:p>
        </w:tc>
        <w:tc>
          <w:tcPr>
            <w:tcW w:w="48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(0.2)</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0.2</w:t>
            </w:r>
          </w:p>
        </w:tc>
        <w:tc>
          <w:tcPr>
            <w:tcW w:w="1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agreement.................................</w:t>
            </w: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Costs associated with marketing agreement.</w:t>
            </w:r>
          </w:p>
        </w:tc>
        <w:tc>
          <w:tcPr>
            <w:tcW w:w="48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7.1</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w:t>
            </w:r>
          </w:p>
        </w:tc>
      </w:tr>
      <w:tr>
        <w:trPr>
          <w:trHeight w:val="170"/>
        </w:trPr>
        <w:tc>
          <w:tcPr>
            <w:tcW w:w="384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Net expense from marketing agreement....</w:t>
            </w:r>
          </w:p>
        </w:tc>
        <w:tc>
          <w:tcPr>
            <w:tcW w:w="48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(7.3)</w:t>
            </w:r>
          </w:p>
        </w:tc>
        <w:tc>
          <w:tcPr>
            <w:tcW w:w="400" w:type="dxa"/>
            <w:vAlign w:val="bottom"/>
          </w:tcPr>
          <w:p>
            <w:pPr>
              <w:spacing w:after="0"/>
              <w:rPr>
                <w:sz w:val="14"/>
                <w:szCs w:val="14"/>
                <w:color w:val="auto"/>
              </w:rPr>
            </w:pPr>
          </w:p>
        </w:tc>
        <w:tc>
          <w:tcPr>
            <w:tcW w:w="8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0.2</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w:t>
            </w:r>
          </w:p>
        </w:tc>
      </w:tr>
      <w:tr>
        <w:trPr>
          <w:trHeight w:val="170"/>
        </w:trPr>
        <w:tc>
          <w:tcPr>
            <w:tcW w:w="38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Advertising.............................</w:t>
            </w:r>
          </w:p>
        </w:tc>
        <w:tc>
          <w:tcPr>
            <w:tcW w:w="48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0.8</w:t>
            </w:r>
          </w:p>
        </w:tc>
        <w:tc>
          <w:tcPr>
            <w:tcW w:w="440" w:type="dxa"/>
            <w:vAlign w:val="bottom"/>
          </w:tcPr>
          <w:p>
            <w:pPr>
              <w:spacing w:after="0"/>
              <w:rPr>
                <w:sz w:val="14"/>
                <w:szCs w:val="14"/>
                <w:color w:val="auto"/>
              </w:rPr>
            </w:pP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3.0</w:t>
            </w:r>
          </w:p>
        </w:tc>
        <w:tc>
          <w:tcPr>
            <w:tcW w:w="1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8.6</w:t>
            </w:r>
          </w:p>
        </w:tc>
      </w:tr>
      <w:tr>
        <w:trPr>
          <w:trHeight w:val="170"/>
        </w:trPr>
        <w:tc>
          <w:tcPr>
            <w:tcW w:w="3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Selling, general and administrative.....</w:t>
            </w:r>
          </w:p>
        </w:tc>
        <w:tc>
          <w:tcPr>
            <w:tcW w:w="48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47.3</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10.0</w:t>
            </w:r>
          </w:p>
        </w:tc>
        <w:tc>
          <w:tcPr>
            <w:tcW w:w="440" w:type="dxa"/>
            <w:vAlign w:val="bottom"/>
          </w:tcPr>
          <w:p>
            <w:pPr>
              <w:spacing w:after="0"/>
              <w:rPr>
                <w:sz w:val="14"/>
                <w:szCs w:val="14"/>
                <w:color w:val="auto"/>
              </w:rPr>
            </w:pP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20.5</w:t>
            </w:r>
          </w:p>
        </w:tc>
        <w:tc>
          <w:tcPr>
            <w:tcW w:w="1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77.8</w:t>
            </w:r>
          </w:p>
        </w:tc>
      </w:tr>
      <w:tr>
        <w:trPr>
          <w:trHeight w:val="170"/>
        </w:trPr>
        <w:tc>
          <w:tcPr>
            <w:tcW w:w="3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Restructuring and other charges.........</w:t>
            </w:r>
          </w:p>
        </w:tc>
        <w:tc>
          <w:tcPr>
            <w:tcW w:w="48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0.3</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0.2</w:t>
            </w:r>
          </w:p>
        </w:tc>
        <w:tc>
          <w:tcPr>
            <w:tcW w:w="440" w:type="dxa"/>
            <w:vAlign w:val="bottom"/>
          </w:tcPr>
          <w:p>
            <w:pPr>
              <w:spacing w:after="0"/>
              <w:rPr>
                <w:sz w:val="14"/>
                <w:szCs w:val="14"/>
                <w:color w:val="auto"/>
              </w:rPr>
            </w:pP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w:t>
            </w:r>
          </w:p>
        </w:tc>
        <w:tc>
          <w:tcPr>
            <w:tcW w:w="1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w:t>
            </w:r>
          </w:p>
        </w:tc>
      </w:tr>
      <w:tr>
        <w:trPr>
          <w:trHeight w:val="170"/>
        </w:trPr>
        <w:tc>
          <w:tcPr>
            <w:tcW w:w="3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Amortization of intangible assets.......</w:t>
            </w:r>
          </w:p>
        </w:tc>
        <w:tc>
          <w:tcPr>
            <w:tcW w:w="48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0.9</w:t>
            </w:r>
          </w:p>
        </w:tc>
        <w:tc>
          <w:tcPr>
            <w:tcW w:w="440" w:type="dxa"/>
            <w:vAlign w:val="bottom"/>
          </w:tcPr>
          <w:p>
            <w:pPr>
              <w:spacing w:after="0"/>
              <w:rPr>
                <w:sz w:val="14"/>
                <w:szCs w:val="14"/>
                <w:color w:val="auto"/>
              </w:rPr>
            </w:pP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w:t>
            </w:r>
          </w:p>
        </w:tc>
        <w:tc>
          <w:tcPr>
            <w:tcW w:w="1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w:t>
            </w:r>
          </w:p>
        </w:tc>
      </w:tr>
      <w:tr>
        <w:trPr>
          <w:trHeight w:val="170"/>
        </w:trPr>
        <w:tc>
          <w:tcPr>
            <w:tcW w:w="3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Equity income in subsidiaries.............</w:t>
            </w:r>
          </w:p>
        </w:tc>
        <w:tc>
          <w:tcPr>
            <w:tcW w:w="48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14.9</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(14.9)</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Intracompany allocations..................</w:t>
            </w:r>
          </w:p>
        </w:tc>
        <w:tc>
          <w:tcPr>
            <w:tcW w:w="48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(9.2)</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6.8</w:t>
            </w:r>
          </w:p>
        </w:tc>
        <w:tc>
          <w:tcPr>
            <w:tcW w:w="440" w:type="dxa"/>
            <w:vAlign w:val="bottom"/>
          </w:tcPr>
          <w:p>
            <w:pPr>
              <w:spacing w:after="0"/>
              <w:rPr>
                <w:sz w:val="14"/>
                <w:szCs w:val="14"/>
                <w:color w:val="auto"/>
              </w:rPr>
            </w:pP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2.4</w:t>
            </w:r>
          </w:p>
        </w:tc>
        <w:tc>
          <w:tcPr>
            <w:tcW w:w="1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Other income, net.........................</w:t>
            </w: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(0.7)</w:t>
            </w:r>
          </w:p>
        </w:tc>
        <w:tc>
          <w:tcPr>
            <w:tcW w:w="44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(0.5)</w:t>
            </w:r>
          </w:p>
        </w:tc>
        <w:tc>
          <w:tcPr>
            <w:tcW w:w="1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w:t>
            </w:r>
          </w:p>
        </w:tc>
      </w:tr>
      <w:tr>
        <w:trPr>
          <w:trHeight w:val="170"/>
        </w:trPr>
        <w:tc>
          <w:tcPr>
            <w:tcW w:w="384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Income (loss) from operations.............</w:t>
            </w:r>
          </w:p>
        </w:tc>
        <w:tc>
          <w:tcPr>
            <w:tcW w:w="48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2"/>
              </w:rPr>
              <w:t>(48.9)</w:t>
            </w:r>
          </w:p>
        </w:tc>
        <w:tc>
          <w:tcPr>
            <w:tcW w:w="4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(18.1)</w:t>
            </w:r>
          </w:p>
        </w:tc>
        <w:tc>
          <w:tcPr>
            <w:tcW w:w="44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(6.8)</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14.9</w:t>
            </w:r>
          </w:p>
        </w:tc>
        <w:tc>
          <w:tcPr>
            <w:tcW w:w="6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(58.9)</w:t>
            </w:r>
          </w:p>
        </w:tc>
      </w:tr>
      <w:tr>
        <w:trPr>
          <w:trHeight w:val="170"/>
        </w:trPr>
        <w:tc>
          <w:tcPr>
            <w:tcW w:w="3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Interest expense..........................</w:t>
            </w:r>
          </w:p>
        </w:tc>
        <w:tc>
          <w:tcPr>
            <w:tcW w:w="48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17.3</w:t>
            </w:r>
          </w:p>
        </w:tc>
        <w:tc>
          <w:tcPr>
            <w:tcW w:w="4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w:t>
            </w:r>
          </w:p>
        </w:tc>
        <w:tc>
          <w:tcPr>
            <w:tcW w:w="440" w:type="dxa"/>
            <w:vAlign w:val="bottom"/>
          </w:tcPr>
          <w:p>
            <w:pPr>
              <w:spacing w:after="0"/>
              <w:rPr>
                <w:sz w:val="14"/>
                <w:szCs w:val="14"/>
                <w:color w:val="auto"/>
              </w:rPr>
            </w:pP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3.1</w:t>
            </w:r>
          </w:p>
        </w:tc>
        <w:tc>
          <w:tcPr>
            <w:tcW w:w="1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16.5</w:t>
            </w:r>
          </w:p>
        </w:tc>
      </w:tr>
      <w:tr>
        <w:trPr>
          <w:trHeight w:val="170"/>
        </w:trPr>
        <w:tc>
          <w:tcPr>
            <w:tcW w:w="384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Income (loss) before income taxes.........</w:t>
            </w:r>
          </w:p>
        </w:tc>
        <w:tc>
          <w:tcPr>
            <w:tcW w:w="48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2"/>
              </w:rPr>
              <w:t>(66.2)</w:t>
            </w:r>
          </w:p>
        </w:tc>
        <w:tc>
          <w:tcPr>
            <w:tcW w:w="4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(14.2)</w:t>
            </w:r>
          </w:p>
        </w:tc>
        <w:tc>
          <w:tcPr>
            <w:tcW w:w="44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(9.9)</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14.9</w:t>
            </w:r>
          </w:p>
        </w:tc>
        <w:tc>
          <w:tcPr>
            <w:tcW w:w="6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(75.4)</w:t>
            </w:r>
          </w:p>
        </w:tc>
      </w:tr>
      <w:tr>
        <w:trPr>
          <w:trHeight w:val="170"/>
        </w:trPr>
        <w:tc>
          <w:tcPr>
            <w:tcW w:w="3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Income tax benefit........................</w:t>
            </w:r>
          </w:p>
        </w:tc>
        <w:tc>
          <w:tcPr>
            <w:tcW w:w="48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2"/>
              </w:rPr>
              <w:t>(19.4)</w:t>
            </w:r>
          </w:p>
        </w:tc>
        <w:tc>
          <w:tcPr>
            <w:tcW w:w="4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w:t>
            </w:r>
          </w:p>
        </w:tc>
        <w:tc>
          <w:tcPr>
            <w:tcW w:w="44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w:t>
            </w:r>
          </w:p>
        </w:tc>
        <w:tc>
          <w:tcPr>
            <w:tcW w:w="1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(28.6)</w:t>
            </w:r>
          </w:p>
        </w:tc>
      </w:tr>
      <w:tr>
        <w:trPr>
          <w:trHeight w:val="170"/>
        </w:trPr>
        <w:tc>
          <w:tcPr>
            <w:tcW w:w="384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Net income (loss).........................</w:t>
            </w:r>
          </w:p>
        </w:tc>
        <w:tc>
          <w:tcPr>
            <w:tcW w:w="4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2"/>
              </w:rPr>
              <w:t>(46.8)</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14.9</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(46.8)</w:t>
            </w:r>
          </w:p>
        </w:tc>
      </w:tr>
      <w:tr>
        <w:trPr>
          <w:trHeight w:val="170"/>
        </w:trPr>
        <w:tc>
          <w:tcPr>
            <w:tcW w:w="384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509"/>
        </w:trPr>
        <w:tc>
          <w:tcPr>
            <w:tcW w:w="38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20</w:t>
            </w: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400"/>
          </w:cols>
          <w:pgMar w:left="760" w:top="1130" w:right="739" w:bottom="1440" w:gutter="0" w:footer="0" w:header="0"/>
        </w:sectPr>
      </w:pPr>
    </w:p>
    <w:bookmarkStart w:id="20" w:name="page21"/>
    <w:bookmarkEnd w:id="20"/>
    <w:p>
      <w:pPr>
        <w:ind w:left="2280"/>
        <w:spacing w:after="0"/>
        <w:rPr>
          <w:sz w:val="20"/>
          <w:szCs w:val="20"/>
          <w:color w:val="auto"/>
        </w:rPr>
      </w:pPr>
      <w:r>
        <w:rPr>
          <w:rFonts w:ascii="Courier New" w:cs="Courier New" w:eastAsia="Courier New" w:hAnsi="Courier New"/>
          <w:sz w:val="15"/>
          <w:szCs w:val="15"/>
          <w:color w:val="auto"/>
        </w:rPr>
        <w:t>THE SCOTTS COMPANY</w:t>
      </w:r>
    </w:p>
    <w:p>
      <w:pPr>
        <w:ind w:left="2100"/>
        <w:spacing w:after="0"/>
        <w:rPr>
          <w:sz w:val="20"/>
          <w:szCs w:val="20"/>
          <w:color w:val="auto"/>
        </w:rPr>
      </w:pPr>
      <w:r>
        <w:rPr>
          <w:rFonts w:ascii="Courier New" w:cs="Courier New" w:eastAsia="Courier New" w:hAnsi="Courier New"/>
          <w:sz w:val="15"/>
          <w:szCs w:val="15"/>
          <w:color w:val="auto"/>
        </w:rPr>
        <w:t>STATEMENT OF CASH FLOWS</w:t>
      </w:r>
    </w:p>
    <w:p>
      <w:pPr>
        <w:ind w:left="260"/>
        <w:spacing w:after="0"/>
        <w:rPr>
          <w:sz w:val="20"/>
          <w:szCs w:val="20"/>
          <w:color w:val="auto"/>
        </w:rPr>
      </w:pPr>
      <w:r>
        <w:rPr>
          <w:rFonts w:ascii="Courier New" w:cs="Courier New" w:eastAsia="Courier New" w:hAnsi="Courier New"/>
          <w:sz w:val="15"/>
          <w:szCs w:val="15"/>
          <w:color w:val="auto"/>
        </w:rPr>
        <w:t>FOR THE THREE MONTH PERIOD ENDED DECEMBER 28, 2002 (IN MILLIONS)</w:t>
      </w:r>
    </w:p>
    <w:tbl>
      <w:tblPr>
        <w:tblLayout w:type="fixed"/>
        <w:tblInd w:w="0" w:type="dxa"/>
        <w:tblCellMar>
          <w:top w:w="0" w:type="dxa"/>
          <w:left w:w="0" w:type="dxa"/>
          <w:bottom w:w="0" w:type="dxa"/>
          <w:right w:w="0" w:type="dxa"/>
        </w:tblCellMar>
      </w:tblPr>
      <w:tr>
        <w:trPr>
          <w:trHeight w:val="169"/>
        </w:trPr>
        <w:tc>
          <w:tcPr>
            <w:tcW w:w="4140" w:type="dxa"/>
            <w:vAlign w:val="bottom"/>
          </w:tcPr>
          <w:p>
            <w:pPr>
              <w:ind w:left="2640"/>
              <w:spacing w:after="0" w:line="169" w:lineRule="exact"/>
              <w:rPr>
                <w:sz w:val="20"/>
                <w:szCs w:val="20"/>
                <w:color w:val="auto"/>
              </w:rPr>
            </w:pPr>
            <w:r>
              <w:rPr>
                <w:rFonts w:ascii="Courier New" w:cs="Courier New" w:eastAsia="Courier New" w:hAnsi="Courier New"/>
                <w:sz w:val="15"/>
                <w:szCs w:val="15"/>
                <w:color w:val="auto"/>
              </w:rPr>
              <w:t>(UNAUDITED)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678"/>
        </w:trPr>
        <w:tc>
          <w:tcPr>
            <w:tcW w:w="4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SUBSIDIARY</w:t>
            </w:r>
          </w:p>
        </w:tc>
        <w:tc>
          <w:tcPr>
            <w:tcW w:w="520" w:type="dxa"/>
            <w:vAlign w:val="bottom"/>
          </w:tcPr>
          <w:p>
            <w:pPr>
              <w:spacing w:after="0"/>
              <w:rPr>
                <w:sz w:val="24"/>
                <w:szCs w:val="2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NON-</w:t>
            </w: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4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2"/>
              </w:rPr>
              <w:t>PARENT</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GUARANTORS</w:t>
            </w: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GUARANTORS</w:t>
            </w: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ELIMINATIONS</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170"/>
        </w:trPr>
        <w:tc>
          <w:tcPr>
            <w:tcW w:w="4140" w:type="dxa"/>
            <w:vAlign w:val="bottom"/>
          </w:tcPr>
          <w:p>
            <w:pPr>
              <w:spacing w:after="0"/>
              <w:rPr>
                <w:sz w:val="14"/>
                <w:szCs w:val="14"/>
                <w:color w:val="auto"/>
              </w:rPr>
            </w:pPr>
          </w:p>
        </w:tc>
        <w:tc>
          <w:tcPr>
            <w:tcW w:w="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1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(46.8)</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(8.8)</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14.9</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(46.8)</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loss to</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4140" w:type="dxa"/>
            <w:vAlign w:val="bottom"/>
          </w:tcPr>
          <w:p>
            <w:pPr>
              <w:ind w:left="160"/>
              <w:spacing w:after="0"/>
              <w:rPr>
                <w:sz w:val="20"/>
                <w:szCs w:val="20"/>
                <w:color w:val="auto"/>
              </w:rPr>
            </w:pPr>
            <w:r>
              <w:rPr>
                <w:rFonts w:ascii="Courier New" w:cs="Courier New" w:eastAsia="Courier New" w:hAnsi="Courier New"/>
                <w:sz w:val="15"/>
                <w:szCs w:val="15"/>
                <w:color w:val="auto"/>
              </w:rPr>
              <w:t>net cash used in operating activities:</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4140" w:type="dxa"/>
            <w:vAlign w:val="bottom"/>
          </w:tcPr>
          <w:p>
            <w:pPr>
              <w:ind w:left="160"/>
              <w:spacing w:after="0"/>
              <w:rPr>
                <w:sz w:val="20"/>
                <w:szCs w:val="20"/>
                <w:color w:val="auto"/>
              </w:rPr>
            </w:pPr>
            <w:r>
              <w:rPr>
                <w:rFonts w:ascii="Courier New" w:cs="Courier New" w:eastAsia="Courier New" w:hAnsi="Courier New"/>
                <w:sz w:val="15"/>
                <w:szCs w:val="15"/>
                <w:color w:val="auto"/>
              </w:rPr>
              <w:t>Stock-based compensation expense..........</w:t>
            </w:r>
          </w:p>
        </w:tc>
        <w:tc>
          <w:tcPr>
            <w:tcW w:w="18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0.4</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0.4</w:t>
            </w:r>
          </w:p>
        </w:tc>
      </w:tr>
      <w:tr>
        <w:trPr>
          <w:trHeight w:val="170"/>
        </w:trPr>
        <w:tc>
          <w:tcPr>
            <w:tcW w:w="4140" w:type="dxa"/>
            <w:vAlign w:val="bottom"/>
          </w:tcPr>
          <w:p>
            <w:pPr>
              <w:ind w:left="160"/>
              <w:spacing w:after="0"/>
              <w:rPr>
                <w:sz w:val="20"/>
                <w:szCs w:val="20"/>
                <w:color w:val="auto"/>
              </w:rPr>
            </w:pPr>
            <w:r>
              <w:rPr>
                <w:rFonts w:ascii="Courier New" w:cs="Courier New" w:eastAsia="Courier New" w:hAnsi="Courier New"/>
                <w:sz w:val="15"/>
                <w:szCs w:val="15"/>
                <w:color w:val="auto"/>
              </w:rPr>
              <w:t>Depreciation..............................</w:t>
            </w:r>
          </w:p>
        </w:tc>
        <w:tc>
          <w:tcPr>
            <w:tcW w:w="18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w:t>
            </w:r>
          </w:p>
        </w:tc>
        <w:tc>
          <w:tcPr>
            <w:tcW w:w="36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w:t>
            </w:r>
          </w:p>
        </w:tc>
        <w:tc>
          <w:tcPr>
            <w:tcW w:w="52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w:t>
            </w: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8.8</w:t>
            </w:r>
          </w:p>
        </w:tc>
      </w:tr>
      <w:tr>
        <w:trPr>
          <w:trHeight w:val="170"/>
        </w:trPr>
        <w:tc>
          <w:tcPr>
            <w:tcW w:w="4140" w:type="dxa"/>
            <w:vAlign w:val="bottom"/>
          </w:tcPr>
          <w:p>
            <w:pPr>
              <w:ind w:left="160"/>
              <w:spacing w:after="0"/>
              <w:rPr>
                <w:sz w:val="20"/>
                <w:szCs w:val="20"/>
                <w:color w:val="auto"/>
              </w:rPr>
            </w:pPr>
            <w:r>
              <w:rPr>
                <w:rFonts w:ascii="Courier New" w:cs="Courier New" w:eastAsia="Courier New" w:hAnsi="Courier New"/>
                <w:sz w:val="15"/>
                <w:szCs w:val="15"/>
                <w:color w:val="auto"/>
              </w:rPr>
              <w:t>Amortization..............................</w:t>
            </w:r>
          </w:p>
        </w:tc>
        <w:tc>
          <w:tcPr>
            <w:tcW w:w="18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0.9</w:t>
            </w:r>
          </w:p>
        </w:tc>
        <w:tc>
          <w:tcPr>
            <w:tcW w:w="36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0.9</w:t>
            </w:r>
          </w:p>
        </w:tc>
        <w:tc>
          <w:tcPr>
            <w:tcW w:w="52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w:t>
            </w: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w:t>
            </w:r>
          </w:p>
        </w:tc>
      </w:tr>
      <w:tr>
        <w:trPr>
          <w:trHeight w:val="170"/>
        </w:trPr>
        <w:tc>
          <w:tcPr>
            <w:tcW w:w="4140" w:type="dxa"/>
            <w:vAlign w:val="bottom"/>
          </w:tcPr>
          <w:p>
            <w:pPr>
              <w:ind w:left="160"/>
              <w:spacing w:after="0"/>
              <w:rPr>
                <w:sz w:val="20"/>
                <w:szCs w:val="20"/>
                <w:color w:val="auto"/>
              </w:rPr>
            </w:pPr>
            <w:r>
              <w:rPr>
                <w:rFonts w:ascii="Courier New" w:cs="Courier New" w:eastAsia="Courier New" w:hAnsi="Courier New"/>
                <w:sz w:val="15"/>
                <w:szCs w:val="15"/>
                <w:color w:val="auto"/>
              </w:rPr>
              <w:t>Deferred taxes............................</w:t>
            </w:r>
          </w:p>
        </w:tc>
        <w:tc>
          <w:tcPr>
            <w:tcW w:w="18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w:t>
            </w:r>
          </w:p>
        </w:tc>
      </w:tr>
      <w:tr>
        <w:trPr>
          <w:trHeight w:val="170"/>
        </w:trPr>
        <w:tc>
          <w:tcPr>
            <w:tcW w:w="4140" w:type="dxa"/>
            <w:vAlign w:val="bottom"/>
          </w:tcPr>
          <w:p>
            <w:pPr>
              <w:ind w:left="160"/>
              <w:spacing w:after="0"/>
              <w:rPr>
                <w:sz w:val="20"/>
                <w:szCs w:val="20"/>
                <w:color w:val="auto"/>
              </w:rPr>
            </w:pPr>
            <w:r>
              <w:rPr>
                <w:rFonts w:ascii="Courier New" w:cs="Courier New" w:eastAsia="Courier New" w:hAnsi="Courier New"/>
                <w:sz w:val="15"/>
                <w:szCs w:val="15"/>
                <w:color w:val="auto"/>
              </w:rPr>
              <w:t>Equity (income) loss in non-guarantors....</w:t>
            </w:r>
          </w:p>
        </w:tc>
        <w:tc>
          <w:tcPr>
            <w:tcW w:w="18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14.9</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(14.9)</w:t>
            </w:r>
          </w:p>
        </w:tc>
        <w:tc>
          <w:tcPr>
            <w:tcW w:w="54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Net change in certain components</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4140" w:type="dxa"/>
            <w:vAlign w:val="bottom"/>
          </w:tcPr>
          <w:p>
            <w:pPr>
              <w:ind w:left="160"/>
              <w:spacing w:after="0"/>
              <w:rPr>
                <w:sz w:val="20"/>
                <w:szCs w:val="20"/>
                <w:color w:val="auto"/>
              </w:rPr>
            </w:pPr>
            <w:r>
              <w:rPr>
                <w:rFonts w:ascii="Courier New" w:cs="Courier New" w:eastAsia="Courier New" w:hAnsi="Courier New"/>
                <w:sz w:val="15"/>
                <w:szCs w:val="15"/>
                <w:color w:val="auto"/>
              </w:rPr>
              <w:t>of working capital........................</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(46.5)</w:t>
            </w:r>
          </w:p>
        </w:tc>
        <w:tc>
          <w:tcPr>
            <w:tcW w:w="3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(12.3)</w:t>
            </w:r>
          </w:p>
        </w:tc>
        <w:tc>
          <w:tcPr>
            <w:tcW w:w="5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(34.8)</w:t>
            </w: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(93.6)</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Net changes in other assets and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4140" w:type="dxa"/>
            <w:vAlign w:val="bottom"/>
          </w:tcPr>
          <w:p>
            <w:pPr>
              <w:ind w:left="160"/>
              <w:spacing w:after="0"/>
              <w:rPr>
                <w:sz w:val="20"/>
                <w:szCs w:val="20"/>
                <w:color w:val="auto"/>
              </w:rPr>
            </w:pPr>
            <w:r>
              <w:rPr>
                <w:rFonts w:ascii="Courier New" w:cs="Courier New" w:eastAsia="Courier New" w:hAnsi="Courier New"/>
                <w:sz w:val="15"/>
                <w:szCs w:val="15"/>
                <w:color w:val="auto"/>
              </w:rPr>
              <w:t>liabilities and other adjustments.........</w:t>
            </w:r>
          </w:p>
        </w:tc>
        <w:tc>
          <w:tcPr>
            <w:tcW w:w="18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6.5</w:t>
            </w:r>
          </w:p>
        </w:tc>
        <w:tc>
          <w:tcPr>
            <w:tcW w:w="36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0.1</w:t>
            </w:r>
          </w:p>
        </w:tc>
        <w:tc>
          <w:tcPr>
            <w:tcW w:w="5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(9.4)</w:t>
            </w: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w:t>
            </w:r>
          </w:p>
        </w:tc>
      </w:tr>
      <w:tr>
        <w:trPr>
          <w:trHeight w:val="170"/>
        </w:trPr>
        <w:tc>
          <w:tcPr>
            <w:tcW w:w="4140" w:type="dxa"/>
            <w:vAlign w:val="bottom"/>
          </w:tcPr>
          <w:p>
            <w:pPr>
              <w:spacing w:after="0"/>
              <w:rPr>
                <w:sz w:val="14"/>
                <w:szCs w:val="14"/>
                <w:color w:val="auto"/>
              </w:rPr>
            </w:pPr>
          </w:p>
        </w:tc>
        <w:tc>
          <w:tcPr>
            <w:tcW w:w="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Net cash used in operating activities.......</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(60.3)</w:t>
            </w:r>
          </w:p>
        </w:tc>
        <w:tc>
          <w:tcPr>
            <w:tcW w:w="3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(17.7)</w:t>
            </w:r>
          </w:p>
        </w:tc>
        <w:tc>
          <w:tcPr>
            <w:tcW w:w="5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(48.2)</w:t>
            </w:r>
          </w:p>
        </w:tc>
        <w:tc>
          <w:tcPr>
            <w:tcW w:w="66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(126.2)</w:t>
            </w:r>
          </w:p>
        </w:tc>
      </w:tr>
      <w:tr>
        <w:trPr>
          <w:trHeight w:val="170"/>
        </w:trPr>
        <w:tc>
          <w:tcPr>
            <w:tcW w:w="4140" w:type="dxa"/>
            <w:vAlign w:val="bottom"/>
          </w:tcPr>
          <w:p>
            <w:pPr>
              <w:spacing w:after="0"/>
              <w:rPr>
                <w:sz w:val="14"/>
                <w:szCs w:val="14"/>
                <w:color w:val="auto"/>
              </w:rPr>
            </w:pPr>
          </w:p>
        </w:tc>
        <w:tc>
          <w:tcPr>
            <w:tcW w:w="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Investment in property, plant and equipment.</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w:t>
            </w:r>
          </w:p>
        </w:tc>
        <w:tc>
          <w:tcPr>
            <w:tcW w:w="3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(10.4)</w:t>
            </w:r>
          </w:p>
        </w:tc>
        <w:tc>
          <w:tcPr>
            <w:tcW w:w="5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w:t>
            </w: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(18.6)</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Investment in acquired businesses,</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4140" w:type="dxa"/>
            <w:vAlign w:val="bottom"/>
          </w:tcPr>
          <w:p>
            <w:pPr>
              <w:ind w:left="160"/>
              <w:spacing w:after="0"/>
              <w:rPr>
                <w:sz w:val="20"/>
                <w:szCs w:val="20"/>
                <w:color w:val="auto"/>
              </w:rPr>
            </w:pPr>
            <w:r>
              <w:rPr>
                <w:rFonts w:ascii="Courier New" w:cs="Courier New" w:eastAsia="Courier New" w:hAnsi="Courier New"/>
                <w:sz w:val="15"/>
                <w:szCs w:val="15"/>
                <w:color w:val="auto"/>
              </w:rPr>
              <w:t>net of cash acquired......................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Payments on seller notes....................</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w:t>
            </w:r>
          </w:p>
        </w:tc>
        <w:tc>
          <w:tcPr>
            <w:tcW w:w="5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(9.0)</w:t>
            </w: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(12.1)</w:t>
            </w:r>
          </w:p>
        </w:tc>
      </w:tr>
      <w:tr>
        <w:trPr>
          <w:trHeight w:val="170"/>
        </w:trPr>
        <w:tc>
          <w:tcPr>
            <w:tcW w:w="414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w:t>
            </w:r>
          </w:p>
        </w:tc>
        <w:tc>
          <w:tcPr>
            <w:tcW w:w="3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(14.9)</w:t>
            </w:r>
          </w:p>
        </w:tc>
        <w:tc>
          <w:tcPr>
            <w:tcW w:w="5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(12.0)</w:t>
            </w:r>
          </w:p>
        </w:tc>
        <w:tc>
          <w:tcPr>
            <w:tcW w:w="66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(32.1)</w:t>
            </w:r>
          </w:p>
        </w:tc>
      </w:tr>
      <w:tr>
        <w:trPr>
          <w:trHeight w:val="170"/>
        </w:trPr>
        <w:tc>
          <w:tcPr>
            <w:tcW w:w="4140" w:type="dxa"/>
            <w:vAlign w:val="bottom"/>
          </w:tcPr>
          <w:p>
            <w:pPr>
              <w:spacing w:after="0"/>
              <w:rPr>
                <w:sz w:val="14"/>
                <w:szCs w:val="14"/>
                <w:color w:val="auto"/>
              </w:rPr>
            </w:pPr>
          </w:p>
        </w:tc>
        <w:tc>
          <w:tcPr>
            <w:tcW w:w="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Net borrowings under revolving</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4140" w:type="dxa"/>
            <w:vAlign w:val="bottom"/>
          </w:tcPr>
          <w:p>
            <w:pPr>
              <w:ind w:left="160"/>
              <w:spacing w:after="0"/>
              <w:rPr>
                <w:sz w:val="20"/>
                <w:szCs w:val="20"/>
                <w:color w:val="auto"/>
              </w:rPr>
            </w:pPr>
            <w:r>
              <w:rPr>
                <w:rFonts w:ascii="Courier New" w:cs="Courier New" w:eastAsia="Courier New" w:hAnsi="Courier New"/>
                <w:sz w:val="15"/>
                <w:szCs w:val="15"/>
                <w:color w:val="auto"/>
              </w:rPr>
              <w:t>and bank lines of credit..................</w:t>
            </w:r>
          </w:p>
        </w:tc>
        <w:tc>
          <w:tcPr>
            <w:tcW w:w="18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89.5</w:t>
            </w: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95.0</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Gross repayments under term loans...........</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(17.1)</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(7.4)</w:t>
            </w: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(24.5)</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Financing fees..............................</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(0.5)</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(0.5)</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Cash received from the exercise of stock</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4140" w:type="dxa"/>
            <w:vAlign w:val="bottom"/>
          </w:tcPr>
          <w:p>
            <w:pPr>
              <w:ind w:left="160"/>
              <w:spacing w:after="0"/>
              <w:rPr>
                <w:sz w:val="20"/>
                <w:szCs w:val="20"/>
                <w:color w:val="auto"/>
              </w:rPr>
            </w:pPr>
            <w:r>
              <w:rPr>
                <w:rFonts w:ascii="Courier New" w:cs="Courier New" w:eastAsia="Courier New" w:hAnsi="Courier New"/>
                <w:sz w:val="15"/>
                <w:szCs w:val="15"/>
                <w:color w:val="auto"/>
              </w:rPr>
              <w:t>options...................................</w:t>
            </w:r>
          </w:p>
        </w:tc>
        <w:tc>
          <w:tcPr>
            <w:tcW w:w="18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Intracompany financing......................</w:t>
            </w:r>
          </w:p>
        </w:tc>
        <w:tc>
          <w:tcPr>
            <w:tcW w:w="18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23.2</w:t>
            </w:r>
          </w:p>
        </w:tc>
        <w:tc>
          <w:tcPr>
            <w:tcW w:w="36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31.8</w:t>
            </w:r>
          </w:p>
        </w:tc>
        <w:tc>
          <w:tcPr>
            <w:tcW w:w="5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(55.0)</w:t>
            </w: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14"/>
                <w:szCs w:val="14"/>
                <w:color w:val="auto"/>
              </w:rPr>
            </w:pPr>
          </w:p>
        </w:tc>
        <w:tc>
          <w:tcPr>
            <w:tcW w:w="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Net cash provided by financing activities...</w:t>
            </w:r>
          </w:p>
        </w:tc>
        <w:tc>
          <w:tcPr>
            <w:tcW w:w="18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15.6</w:t>
            </w:r>
          </w:p>
        </w:tc>
        <w:tc>
          <w:tcPr>
            <w:tcW w:w="36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31.8</w:t>
            </w:r>
          </w:p>
        </w:tc>
        <w:tc>
          <w:tcPr>
            <w:tcW w:w="52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27.1</w:t>
            </w:r>
          </w:p>
        </w:tc>
        <w:tc>
          <w:tcPr>
            <w:tcW w:w="66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74.5</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0.5</w:t>
            </w: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0.5</w:t>
            </w:r>
          </w:p>
        </w:tc>
      </w:tr>
      <w:tr>
        <w:trPr>
          <w:trHeight w:val="170"/>
        </w:trPr>
        <w:tc>
          <w:tcPr>
            <w:tcW w:w="414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(49.9)</w:t>
            </w:r>
          </w:p>
        </w:tc>
        <w:tc>
          <w:tcPr>
            <w:tcW w:w="3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(0.8)</w:t>
            </w:r>
          </w:p>
        </w:tc>
        <w:tc>
          <w:tcPr>
            <w:tcW w:w="5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(32.6)</w:t>
            </w: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(83.3)</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w w:val="99"/>
              </w:rPr>
              <w:t>Cash and cash equivalents, beginning of period</w:t>
            </w:r>
          </w:p>
        </w:tc>
        <w:tc>
          <w:tcPr>
            <w:tcW w:w="18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54.7</w:t>
            </w:r>
          </w:p>
        </w:tc>
        <w:tc>
          <w:tcPr>
            <w:tcW w:w="36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w:t>
            </w:r>
          </w:p>
        </w:tc>
        <w:tc>
          <w:tcPr>
            <w:tcW w:w="52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43.0</w:t>
            </w: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99.7</w:t>
            </w:r>
          </w:p>
        </w:tc>
      </w:tr>
      <w:tr>
        <w:trPr>
          <w:trHeight w:val="170"/>
        </w:trPr>
        <w:tc>
          <w:tcPr>
            <w:tcW w:w="4140" w:type="dxa"/>
            <w:vAlign w:val="bottom"/>
          </w:tcPr>
          <w:p>
            <w:pPr>
              <w:spacing w:after="0"/>
              <w:rPr>
                <w:sz w:val="14"/>
                <w:szCs w:val="14"/>
                <w:color w:val="auto"/>
              </w:rPr>
            </w:pPr>
          </w:p>
        </w:tc>
        <w:tc>
          <w:tcPr>
            <w:tcW w:w="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 of period....</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10.4</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16.4</w:t>
            </w:r>
          </w:p>
        </w:tc>
      </w:tr>
      <w:tr>
        <w:trPr>
          <w:trHeight w:val="170"/>
        </w:trPr>
        <w:tc>
          <w:tcPr>
            <w:tcW w:w="4140" w:type="dxa"/>
            <w:vAlign w:val="bottom"/>
          </w:tcPr>
          <w:p>
            <w:pPr>
              <w:spacing w:after="0"/>
              <w:rPr>
                <w:sz w:val="14"/>
                <w:szCs w:val="14"/>
                <w:color w:val="auto"/>
              </w:rPr>
            </w:pPr>
          </w:p>
        </w:tc>
        <w:tc>
          <w:tcPr>
            <w:tcW w:w="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509"/>
        </w:trPr>
        <w:tc>
          <w:tcPr>
            <w:tcW w:w="4140" w:type="dxa"/>
            <w:vAlign w:val="bottom"/>
          </w:tcPr>
          <w:p>
            <w:pPr>
              <w:ind w:left="2980"/>
              <w:spacing w:after="0"/>
              <w:rPr>
                <w:sz w:val="20"/>
                <w:szCs w:val="20"/>
                <w:color w:val="auto"/>
              </w:rPr>
            </w:pPr>
            <w:r>
              <w:rPr>
                <w:rFonts w:ascii="Courier New" w:cs="Courier New" w:eastAsia="Courier New" w:hAnsi="Courier New"/>
                <w:sz w:val="15"/>
                <w:szCs w:val="15"/>
                <w:color w:val="auto"/>
              </w:rPr>
              <w:t>21</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480"/>
          </w:cols>
          <w:pgMar w:left="680" w:top="961" w:right="739" w:bottom="1440" w:gutter="0" w:footer="0" w:header="0"/>
        </w:sectPr>
      </w:pPr>
    </w:p>
    <w:bookmarkStart w:id="21" w:name="page22"/>
    <w:bookmarkEnd w:id="21"/>
    <w:p>
      <w:pPr>
        <w:jc w:val="center"/>
        <w:ind w:right="4400"/>
        <w:spacing w:after="0"/>
        <w:rPr>
          <w:sz w:val="20"/>
          <w:szCs w:val="20"/>
          <w:color w:val="auto"/>
        </w:rPr>
      </w:pPr>
      <w:r>
        <w:rPr>
          <w:rFonts w:ascii="Courier New" w:cs="Courier New" w:eastAsia="Courier New" w:hAnsi="Courier New"/>
          <w:sz w:val="15"/>
          <w:szCs w:val="15"/>
          <w:color w:val="auto"/>
        </w:rPr>
        <w:t>THE SCOTTS COMPANY</w:t>
      </w:r>
    </w:p>
    <w:p>
      <w:pPr>
        <w:jc w:val="center"/>
        <w:ind w:right="4320"/>
        <w:spacing w:after="0"/>
        <w:rPr>
          <w:sz w:val="20"/>
          <w:szCs w:val="20"/>
          <w:color w:val="auto"/>
        </w:rPr>
      </w:pPr>
      <w:r>
        <w:rPr>
          <w:rFonts w:ascii="Courier New" w:cs="Courier New" w:eastAsia="Courier New" w:hAnsi="Courier New"/>
          <w:sz w:val="15"/>
          <w:szCs w:val="15"/>
          <w:color w:val="auto"/>
        </w:rPr>
        <w:t>BALANCE SHEET</w:t>
      </w:r>
    </w:p>
    <w:p>
      <w:pPr>
        <w:jc w:val="center"/>
        <w:ind w:right="4320"/>
        <w:spacing w:after="0"/>
        <w:rPr>
          <w:sz w:val="20"/>
          <w:szCs w:val="20"/>
          <w:color w:val="auto"/>
        </w:rPr>
      </w:pPr>
      <w:r>
        <w:rPr>
          <w:rFonts w:ascii="Courier New" w:cs="Courier New" w:eastAsia="Courier New" w:hAnsi="Courier New"/>
          <w:sz w:val="15"/>
          <w:szCs w:val="15"/>
          <w:color w:val="auto"/>
        </w:rPr>
        <w:t>AS OF DECEMBER 28, 2002 (IN MILLIONS)</w:t>
      </w:r>
    </w:p>
    <w:p>
      <w:pPr>
        <w:jc w:val="center"/>
        <w:ind w:right="4320"/>
        <w:spacing w:after="0" w:line="238"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SUBSIDIARY</w:t>
            </w:r>
          </w:p>
        </w:tc>
        <w:tc>
          <w:tcPr>
            <w:tcW w:w="440" w:type="dxa"/>
            <w:vAlign w:val="bottom"/>
          </w:tcPr>
          <w:p>
            <w:pPr>
              <w:spacing w:after="0"/>
              <w:rPr>
                <w:sz w:val="14"/>
                <w:szCs w:val="14"/>
                <w:color w:val="auto"/>
              </w:rPr>
            </w:pPr>
          </w:p>
        </w:tc>
        <w:tc>
          <w:tcPr>
            <w:tcW w:w="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NON-</w:t>
            </w:r>
          </w:p>
        </w:tc>
        <w:tc>
          <w:tcPr>
            <w:tcW w:w="1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2"/>
              </w:rPr>
              <w:t>PARENT</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GUARANTORS</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GUARANTORS</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ELIMINATIONS</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170"/>
        </w:trPr>
        <w:tc>
          <w:tcPr>
            <w:tcW w:w="4320" w:type="dxa"/>
            <w:vAlign w:val="bottom"/>
          </w:tcPr>
          <w:p>
            <w:pPr>
              <w:spacing w:after="0"/>
              <w:rPr>
                <w:sz w:val="14"/>
                <w:szCs w:val="14"/>
                <w:color w:val="auto"/>
              </w:rPr>
            </w:pP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320" w:type="dxa"/>
            <w:vAlign w:val="bottom"/>
          </w:tcPr>
          <w:p>
            <w:pPr>
              <w:jc w:val="right"/>
              <w:ind w:right="1867"/>
              <w:spacing w:after="0"/>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43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Cash and cash equivalents.....................</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10.4</w:t>
            </w:r>
          </w:p>
        </w:tc>
        <w:tc>
          <w:tcPr>
            <w:tcW w:w="154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16.4</w:t>
            </w: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Accounts receivable, net......................</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40.6</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75.5</w:t>
            </w:r>
          </w:p>
        </w:tc>
        <w:tc>
          <w:tcPr>
            <w:tcW w:w="44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103.2</w:t>
            </w:r>
          </w:p>
        </w:tc>
        <w:tc>
          <w:tcPr>
            <w:tcW w:w="1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219.3</w:t>
            </w: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Inventories, net..............................</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242.7</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75.8</w:t>
            </w:r>
          </w:p>
        </w:tc>
        <w:tc>
          <w:tcPr>
            <w:tcW w:w="44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98.5</w:t>
            </w:r>
          </w:p>
        </w:tc>
        <w:tc>
          <w:tcPr>
            <w:tcW w:w="1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417.0</w:t>
            </w: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Current deferred tax asset....................</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73.4</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0.4</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73.8</w:t>
            </w: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Prepaid and other assets......................</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17.3</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w:t>
            </w:r>
          </w:p>
        </w:tc>
        <w:tc>
          <w:tcPr>
            <w:tcW w:w="44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18.6</w:t>
            </w:r>
          </w:p>
        </w:tc>
        <w:tc>
          <w:tcPr>
            <w:tcW w:w="1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37.2</w:t>
            </w:r>
          </w:p>
        </w:tc>
      </w:tr>
      <w:tr>
        <w:trPr>
          <w:trHeight w:val="170"/>
        </w:trPr>
        <w:tc>
          <w:tcPr>
            <w:tcW w:w="4320" w:type="dxa"/>
            <w:vAlign w:val="bottom"/>
          </w:tcPr>
          <w:p>
            <w:pPr>
              <w:spacing w:after="0"/>
              <w:rPr>
                <w:sz w:val="14"/>
                <w:szCs w:val="14"/>
                <w:color w:val="auto"/>
              </w:rPr>
            </w:pP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current assets.....................</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378.8</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154.2</w:t>
            </w:r>
          </w:p>
        </w:tc>
        <w:tc>
          <w:tcPr>
            <w:tcW w:w="44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230.7</w:t>
            </w:r>
          </w:p>
        </w:tc>
        <w:tc>
          <w:tcPr>
            <w:tcW w:w="1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763.7</w:t>
            </w: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Property, plant and equipment, net..............</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212.4</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91.0</w:t>
            </w:r>
          </w:p>
        </w:tc>
        <w:tc>
          <w:tcPr>
            <w:tcW w:w="44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35.0</w:t>
            </w:r>
          </w:p>
        </w:tc>
        <w:tc>
          <w:tcPr>
            <w:tcW w:w="1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338.4</w:t>
            </w: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Goodwill........................................</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21.6</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275.2</w:t>
            </w:r>
          </w:p>
        </w:tc>
        <w:tc>
          <w:tcPr>
            <w:tcW w:w="44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87.6</w:t>
            </w:r>
          </w:p>
        </w:tc>
        <w:tc>
          <w:tcPr>
            <w:tcW w:w="1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384.4</w:t>
            </w: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Intangible assets, net..........................</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280.9</w:t>
            </w:r>
          </w:p>
        </w:tc>
        <w:tc>
          <w:tcPr>
            <w:tcW w:w="44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132.6</w:t>
            </w:r>
          </w:p>
        </w:tc>
        <w:tc>
          <w:tcPr>
            <w:tcW w:w="1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418.1</w:t>
            </w: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Other assets....................................</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48.6</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2.2</w:t>
            </w:r>
          </w:p>
        </w:tc>
        <w:tc>
          <w:tcPr>
            <w:tcW w:w="44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w:t>
            </w:r>
          </w:p>
        </w:tc>
        <w:tc>
          <w:tcPr>
            <w:tcW w:w="1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48.6</w:t>
            </w: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Investment in affiliates........................</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925.4</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(925.4)</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Intracompany assets.............................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166.9</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(166.9)</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320" w:type="dxa"/>
            <w:vAlign w:val="bottom"/>
          </w:tcPr>
          <w:p>
            <w:pPr>
              <w:spacing w:after="0"/>
              <w:rPr>
                <w:sz w:val="14"/>
                <w:szCs w:val="14"/>
                <w:color w:val="auto"/>
              </w:rPr>
            </w:pP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assets.............................</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1,591.4</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970.4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483.7</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$(1,092.3)</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1,953.2</w:t>
            </w:r>
          </w:p>
        </w:tc>
      </w:tr>
      <w:tr>
        <w:trPr>
          <w:trHeight w:val="170"/>
        </w:trPr>
        <w:tc>
          <w:tcPr>
            <w:tcW w:w="4320" w:type="dxa"/>
            <w:vAlign w:val="bottom"/>
          </w:tcPr>
          <w:p>
            <w:pPr>
              <w:spacing w:after="0"/>
              <w:rPr>
                <w:sz w:val="14"/>
                <w:szCs w:val="14"/>
                <w:color w:val="auto"/>
              </w:rPr>
            </w:pP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LIABILITIES AND SHAREHOLDERS' EQUITY</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43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Current portion of debt.......................</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47.1</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6.0</w:t>
            </w:r>
          </w:p>
        </w:tc>
        <w:tc>
          <w:tcPr>
            <w:tcW w:w="154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62.7</w:t>
            </w: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Accounts payable..............................</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91.0</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26.8</w:t>
            </w:r>
          </w:p>
        </w:tc>
        <w:tc>
          <w:tcPr>
            <w:tcW w:w="44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57.3</w:t>
            </w:r>
          </w:p>
        </w:tc>
        <w:tc>
          <w:tcPr>
            <w:tcW w:w="1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175.1</w:t>
            </w: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Accrued liabilities...........................</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104.1</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24.9</w:t>
            </w:r>
          </w:p>
        </w:tc>
        <w:tc>
          <w:tcPr>
            <w:tcW w:w="44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88.8</w:t>
            </w:r>
          </w:p>
        </w:tc>
        <w:tc>
          <w:tcPr>
            <w:tcW w:w="1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217.8</w:t>
            </w: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Accrued taxes.................................</w:t>
            </w:r>
          </w:p>
        </w:tc>
        <w:tc>
          <w:tcPr>
            <w:tcW w:w="26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(14.2)</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w:t>
            </w:r>
          </w:p>
        </w:tc>
        <w:tc>
          <w:tcPr>
            <w:tcW w:w="44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w:t>
            </w:r>
          </w:p>
        </w:tc>
        <w:tc>
          <w:tcPr>
            <w:tcW w:w="1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(15.0)</w:t>
            </w:r>
          </w:p>
        </w:tc>
      </w:tr>
      <w:tr>
        <w:trPr>
          <w:trHeight w:val="170"/>
        </w:trPr>
        <w:tc>
          <w:tcPr>
            <w:tcW w:w="4320" w:type="dxa"/>
            <w:vAlign w:val="bottom"/>
          </w:tcPr>
          <w:p>
            <w:pPr>
              <w:spacing w:after="0"/>
              <w:rPr>
                <w:sz w:val="14"/>
                <w:szCs w:val="14"/>
                <w:color w:val="auto"/>
              </w:rPr>
            </w:pP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current liabilities................</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228.0</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62.6</w:t>
            </w:r>
          </w:p>
        </w:tc>
        <w:tc>
          <w:tcPr>
            <w:tcW w:w="44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150.0</w:t>
            </w:r>
          </w:p>
        </w:tc>
        <w:tc>
          <w:tcPr>
            <w:tcW w:w="1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440.6</w:t>
            </w: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Long-term debt..................................</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612.8</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7.4</w:t>
            </w:r>
          </w:p>
        </w:tc>
        <w:tc>
          <w:tcPr>
            <w:tcW w:w="44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211.4</w:t>
            </w:r>
          </w:p>
        </w:tc>
        <w:tc>
          <w:tcPr>
            <w:tcW w:w="1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831.6</w:t>
            </w: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Other liabilities...............................</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109.4</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w:t>
            </w:r>
          </w:p>
        </w:tc>
        <w:tc>
          <w:tcPr>
            <w:tcW w:w="44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19.0</w:t>
            </w:r>
          </w:p>
        </w:tc>
        <w:tc>
          <w:tcPr>
            <w:tcW w:w="1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129.7</w:t>
            </w: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Intracompany liabilities........................</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89.9</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77.0</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(166.9)</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320" w:type="dxa"/>
            <w:vAlign w:val="bottom"/>
          </w:tcPr>
          <w:p>
            <w:pPr>
              <w:spacing w:after="0"/>
              <w:rPr>
                <w:sz w:val="14"/>
                <w:szCs w:val="14"/>
                <w:color w:val="auto"/>
              </w:rPr>
            </w:pP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liabilities..........................</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1,040.1</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71.3</w:t>
            </w:r>
          </w:p>
        </w:tc>
        <w:tc>
          <w:tcPr>
            <w:tcW w:w="44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457.4</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(166.9)</w:t>
            </w:r>
          </w:p>
        </w:tc>
        <w:tc>
          <w:tcPr>
            <w:tcW w:w="5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1,401.9</w:t>
            </w:r>
          </w:p>
        </w:tc>
      </w:tr>
      <w:tr>
        <w:trPr>
          <w:trHeight w:val="170"/>
        </w:trPr>
        <w:tc>
          <w:tcPr>
            <w:tcW w:w="4320" w:type="dxa"/>
            <w:vAlign w:val="bottom"/>
          </w:tcPr>
          <w:p>
            <w:pPr>
              <w:spacing w:after="0"/>
              <w:rPr>
                <w:sz w:val="14"/>
                <w:szCs w:val="14"/>
                <w:color w:val="auto"/>
              </w:rPr>
            </w:pP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32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Investment from parent........................</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496.5</w:t>
            </w:r>
          </w:p>
        </w:tc>
        <w:tc>
          <w:tcPr>
            <w:tcW w:w="44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51.9</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(548.4)</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3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Common shares, no par value per share,</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$.01 stated value per share.................</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0.3</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w:t>
            </w: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Deferred compensation-stock awards............</w:t>
            </w:r>
          </w:p>
        </w:tc>
        <w:tc>
          <w:tcPr>
            <w:tcW w:w="26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(6.2)</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Capital in excess of par value................</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405.6</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405.6</w:t>
            </w: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Retained earnings.............................</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248.0</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405.0</w:t>
            </w:r>
          </w:p>
        </w:tc>
        <w:tc>
          <w:tcPr>
            <w:tcW w:w="44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(402.6)</w:t>
            </w:r>
          </w:p>
        </w:tc>
        <w:tc>
          <w:tcPr>
            <w:tcW w:w="5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248.0</w:t>
            </w: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Treasury stock, 1.0 shares at cost............</w:t>
            </w:r>
          </w:p>
        </w:tc>
        <w:tc>
          <w:tcPr>
            <w:tcW w:w="26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(37.7)</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(37.7)</w:t>
            </w: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Accumulated other comprehensive expense.......</w:t>
            </w:r>
          </w:p>
        </w:tc>
        <w:tc>
          <w:tcPr>
            <w:tcW w:w="26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(58.7)</w:t>
            </w:r>
          </w:p>
        </w:tc>
        <w:tc>
          <w:tcPr>
            <w:tcW w:w="4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w:t>
            </w:r>
          </w:p>
        </w:tc>
        <w:tc>
          <w:tcPr>
            <w:tcW w:w="44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(23.2)</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25.6</w:t>
            </w:r>
          </w:p>
        </w:tc>
        <w:tc>
          <w:tcPr>
            <w:tcW w:w="5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(58.7)</w:t>
            </w:r>
          </w:p>
        </w:tc>
      </w:tr>
      <w:tr>
        <w:trPr>
          <w:trHeight w:val="170"/>
        </w:trPr>
        <w:tc>
          <w:tcPr>
            <w:tcW w:w="432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Total shareholders' equity......................</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551.3</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899.1</w:t>
            </w:r>
          </w:p>
        </w:tc>
        <w:tc>
          <w:tcPr>
            <w:tcW w:w="44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26.3</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(925.4)</w:t>
            </w:r>
          </w:p>
        </w:tc>
        <w:tc>
          <w:tcPr>
            <w:tcW w:w="5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551.3</w:t>
            </w:r>
          </w:p>
        </w:tc>
      </w:tr>
      <w:tr>
        <w:trPr>
          <w:trHeight w:val="170"/>
        </w:trPr>
        <w:tc>
          <w:tcPr>
            <w:tcW w:w="4320" w:type="dxa"/>
            <w:vAlign w:val="bottom"/>
          </w:tcPr>
          <w:p>
            <w:pPr>
              <w:spacing w:after="0"/>
              <w:rPr>
                <w:sz w:val="14"/>
                <w:szCs w:val="14"/>
                <w:color w:val="auto"/>
              </w:rPr>
            </w:pP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3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Total liabilities and shareholders' equity......</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1,591.4</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970.4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483.7</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$(1,092.3)</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1,953.2</w:t>
            </w:r>
          </w:p>
        </w:tc>
      </w:tr>
      <w:tr>
        <w:trPr>
          <w:trHeight w:val="170"/>
        </w:trPr>
        <w:tc>
          <w:tcPr>
            <w:tcW w:w="4320" w:type="dxa"/>
            <w:vAlign w:val="bottom"/>
          </w:tcPr>
          <w:p>
            <w:pPr>
              <w:spacing w:after="0"/>
              <w:rPr>
                <w:sz w:val="14"/>
                <w:szCs w:val="14"/>
                <w:color w:val="auto"/>
              </w:rPr>
            </w:pP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432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22</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920"/>
          </w:cols>
          <w:pgMar w:left="500" w:top="961" w:right="479" w:bottom="1440" w:gutter="0" w:footer="0" w:header="0"/>
        </w:sectPr>
      </w:pPr>
    </w:p>
    <w:bookmarkStart w:id="22" w:name="page23"/>
    <w:bookmarkEnd w:id="22"/>
    <w:p>
      <w:pPr>
        <w:ind w:left="700" w:right="3979" w:hanging="704"/>
        <w:spacing w:after="0" w:line="235" w:lineRule="auto"/>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Scotts is a leading manufacturer and marketer of consumer branded products for lawn and garden care and professional horticulture in the United States and Europe. We also have a presence in Australia, the Far East, Latin America and South America. Also, in the United States, we operate the second largest residential lawn service business, Scotts LawnService(R). In fiscal 2004, our operations are divided into three reportable segments: North America, Scotts LawnService(R) and International.</w:t>
      </w:r>
    </w:p>
    <w:p>
      <w:pPr>
        <w:spacing w:after="0" w:line="17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As a leading consumer branded lawn and garden company, we focus our consumer marketing efforts, including advertising and consumer research, on creating consumer demand to pull products through the retail distribution channels. In the past three years, we have spent approximately 5% of our net sales annually on media advertising to support and promote our products and brands. We have applied this consumer marketing focus for the past several years, and we believe that Scotts receives a significant return on these marketing expenditures. We expect that we will continue to focus our marketing efforts toward the consumer and make additional investments in consumer marketing expenditures in the future to continue to drive category growth and increased market share. In fiscal 2004, we expect to increase advertising spending as we deliver a new media message for the Ortho(R) line, increase our advertising spending on selected brands in Europe and continue to have the largest share of voice in our lawn and garden categories in North America.</w:t>
      </w:r>
    </w:p>
    <w:p>
      <w:pPr>
        <w:spacing w:after="0" w:line="184" w:lineRule="exact"/>
        <w:rPr>
          <w:sz w:val="20"/>
          <w:szCs w:val="20"/>
          <w:color w:val="auto"/>
        </w:rPr>
      </w:pPr>
    </w:p>
    <w:p>
      <w:pPr>
        <w:ind w:right="3259" w:firstLine="353"/>
        <w:spacing w:after="0" w:line="258" w:lineRule="auto"/>
        <w:rPr>
          <w:sz w:val="20"/>
          <w:szCs w:val="20"/>
          <w:color w:val="auto"/>
        </w:rPr>
      </w:pPr>
      <w:r>
        <w:rPr>
          <w:rFonts w:ascii="Courier New" w:cs="Courier New" w:eastAsia="Courier New" w:hAnsi="Courier New"/>
          <w:sz w:val="14"/>
          <w:szCs w:val="14"/>
          <w:color w:val="auto"/>
        </w:rPr>
        <w:t>Our sales are susceptible to global weather conditions. For instance, periods of wet weather like we experienced this past spring in the United Sates adversely impacted fertilizer sales but increased demand for certain pesticide products. We believe that our past acquisitions have somewhat diversified both our product line risk and geographic risk to weather conditions.</w:t>
      </w:r>
    </w:p>
    <w:p>
      <w:pPr>
        <w:spacing w:after="0" w:line="16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Historically, the majority of our shipments to retailers have occurred in the second and third fiscal quarters. However, over the past two years, retailers have reduced their pre-season inventories by relying on vendors to deliver products "in season" when consumers seek to buy our products. This change in retailer purchasing patterns and the increasing importance of Scotts LawnService(R) revenues have caused a sales shift from our second fiscal quarter to the third and fourth fiscal quarters. Fiscal 2003 net sales by quarter were 9.5%, 35.4%, 37.2%, and 17.9%, respectively. Concurrent with this sales shift, and because of the expansion of Scotts LawnService(R), the Company has experienced a shift in profitability from the second to third and fourth fiscal quarters, with the third fiscal quarter now more profitable than the second fiscal quarter. Results for the Company's fourth fiscal quarter, historically a loss making quarter, improved substantially in fiscal 2003. We expect the trend towards stronger third and fourth fiscal quarter sales and profits to continue in fiscal 2004.</w:t>
      </w:r>
    </w:p>
    <w:p>
      <w:pPr>
        <w:spacing w:after="0" w:line="18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fiscal 2002, we announced the International Profit Improvement Plan to improve the operations and profitability of our European-based consumer and professional businesses. We have expended approximately $30 million through December 27, 2003, of which 25% have been capital expenditures, primarily technology related. The remaining 75% of the total spending relates to the reorganization and rationalization of our European supply chain, increased sales force productivity and a shift to Pan-European category management of our product portfolio. By the end of 2005, we anticipate spending between $45 million and $55 million in the aggregate on various projects related to this plan.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CRITICAL ACCOUNTING POLICIES AND ESTIMATES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following discussion and analysis of the consolidated results of operations and financial position should be read in conjunction with our Condensed, Consolidated Financial Statements included elsewhere in this Quarterly Report on Form 10-Q. Our Annual Report on Form 10-K for the fiscal year ended September 30, 2003 includes additional information about the Company, our operations, and our financial position, and should be read in conjunction with this Quarterly Report on Form 10-Q.</w:t>
      </w:r>
    </w:p>
    <w:p>
      <w:pPr>
        <w:spacing w:after="0" w:line="17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Our discussion and analysis of our financial condition and results of operations is based upon our Condensed,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disclosures of contingent assets and liabilities. On an on-going basis, we evaluate our estimates, including those related to customer programs and incentives, product returns, bad debts, inventories, intangible assets, income taxes, restructuring, environmental matters, contingencies and litigation. We base our estimates on historical experience and on various other assumptions that we believe to be reasonable under the circumstances. Actual results may differ from these estimates under different assumptions or conditions. The estimates that we believe are most critical to our reporting of results of</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966" w:right="1440" w:bottom="565"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operations and financial position are as follows:</w:t>
      </w:r>
    </w:p>
    <w:p>
      <w:pPr>
        <w:spacing w:after="0" w:line="175" w:lineRule="exact"/>
        <w:rPr>
          <w:sz w:val="20"/>
          <w:szCs w:val="20"/>
          <w:color w:val="auto"/>
        </w:rPr>
      </w:pPr>
    </w:p>
    <w:p>
      <w:pPr>
        <w:ind w:left="700" w:right="3179" w:hanging="357"/>
        <w:spacing w:after="0" w:line="238" w:lineRule="auto"/>
        <w:tabs>
          <w:tab w:leader="none" w:pos="7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significant investments in property and equipment, intangible assets and goodwill. Whenever changing conditions warrant, we review the realizability of the assets that may be impacted. At least annually, we review indefinite-lived intangible assets for impairment. The review for impairment of long-lived assets, intangibles and goodwill takes into account estimates of future cash flows. Our estimates of future cash flows are based upon budgets and longer-range plans. These budgets and plans are used for internal purposes and are also the basis for communication with outside parties about future business trends. While we believe the assumptions we use to estimate future cash flows are reasonable, there can be no assurance that the expected future cash flows will be realized. As a result, impairment charges that possibly should have been recognized in earlier periods may not be recognized until later periods if actual results deviate unfavorably from earlier estimates.</w:t>
      </w:r>
    </w:p>
    <w:p>
      <w:pPr>
        <w:spacing w:after="0" w:line="184" w:lineRule="exact"/>
        <w:rPr>
          <w:rFonts w:ascii="Courier New" w:cs="Courier New" w:eastAsia="Courier New" w:hAnsi="Courier New"/>
          <w:sz w:val="15"/>
          <w:szCs w:val="15"/>
          <w:color w:val="auto"/>
        </w:rPr>
      </w:pPr>
    </w:p>
    <w:p>
      <w:pPr>
        <w:ind w:left="700" w:right="3359" w:hanging="357"/>
        <w:spacing w:after="0" w:line="238" w:lineRule="auto"/>
        <w:tabs>
          <w:tab w:leader="none" w:pos="7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continually assess the adequacy of our reserves for uncollectible accounts due from customers. However, future changes in our customers' operating performance and cash flows or in general economic conditions could have an impact on their ability to fully pay these amounts which could have a material impact on our results of operations or financial position.</w:t>
      </w:r>
    </w:p>
    <w:p>
      <w:pPr>
        <w:spacing w:after="0" w:line="175" w:lineRule="exact"/>
        <w:rPr>
          <w:rFonts w:ascii="Courier New" w:cs="Courier New" w:eastAsia="Courier New" w:hAnsi="Courier New"/>
          <w:sz w:val="15"/>
          <w:szCs w:val="15"/>
          <w:color w:val="auto"/>
        </w:rPr>
      </w:pPr>
    </w:p>
    <w:p>
      <w:pPr>
        <w:ind w:left="700" w:right="3259" w:hanging="357"/>
        <w:spacing w:after="0" w:line="258" w:lineRule="auto"/>
        <w:tabs>
          <w:tab w:leader="none" w:pos="70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Reserves for product returns are based upon historical data and current program terms and conditions with our customers. Changes in economic conditions, regulatory actions or defective products could result in actual returns being materially different than the amounts provided for in our interim or annual results of operations or financial position.</w:t>
      </w:r>
    </w:p>
    <w:p>
      <w:pPr>
        <w:spacing w:after="0" w:line="164" w:lineRule="exact"/>
        <w:rPr>
          <w:rFonts w:ascii="Courier New" w:cs="Courier New" w:eastAsia="Courier New" w:hAnsi="Courier New"/>
          <w:sz w:val="14"/>
          <w:szCs w:val="14"/>
          <w:color w:val="auto"/>
        </w:rPr>
      </w:pPr>
    </w:p>
    <w:p>
      <w:pPr>
        <w:ind w:left="700" w:right="3259" w:hanging="357"/>
        <w:spacing w:after="0" w:line="238" w:lineRule="auto"/>
        <w:tabs>
          <w:tab w:leader="none" w:pos="7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Reserves for excess and obsolete inventory are based on a variety of factors, including product changes and improvements, changes in active ingredient availability and regulatory acceptance, new product introductions and estimated future demand. The adequacy of our reserves could be materially affected by changes in the demand for our products or by regulatory or competitive actions.</w:t>
      </w:r>
    </w:p>
    <w:p>
      <w:pPr>
        <w:spacing w:after="0" w:line="175" w:lineRule="exact"/>
        <w:rPr>
          <w:rFonts w:ascii="Courier New" w:cs="Courier New" w:eastAsia="Courier New" w:hAnsi="Courier New"/>
          <w:sz w:val="15"/>
          <w:szCs w:val="15"/>
          <w:color w:val="auto"/>
        </w:rPr>
      </w:pPr>
    </w:p>
    <w:p>
      <w:pPr>
        <w:ind w:left="700" w:right="3179" w:hanging="357"/>
        <w:spacing w:after="0" w:line="257" w:lineRule="auto"/>
        <w:tabs>
          <w:tab w:leader="none" w:pos="70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described more fully in the notes to the Consolidated Financial Statements for the year ended September 30, 2003, and in the notes to the unaudited, Condensed, Consolidated Financial Statements included in this Quarterly Report on Form 10-Q, we are involved in significant environmental and legal matters which have a high degree of uncertainty associated with them. We continually assess the likely outcomes of these matters and the adequacy of amounts, if any, provided for these matters. There can be no assurance that the ultimate outcomes will not differ materially from our assessment of them. There can also be no assurance that all matters that may be brought against us or that we may bring against other parties are known to us at any point in time.</w:t>
      </w:r>
    </w:p>
    <w:p>
      <w:pPr>
        <w:spacing w:after="0" w:line="165" w:lineRule="exact"/>
        <w:rPr>
          <w:rFonts w:ascii="Courier New" w:cs="Courier New" w:eastAsia="Courier New" w:hAnsi="Courier New"/>
          <w:sz w:val="14"/>
          <w:szCs w:val="14"/>
          <w:color w:val="auto"/>
        </w:rPr>
      </w:pPr>
    </w:p>
    <w:p>
      <w:pPr>
        <w:ind w:left="700" w:right="3259" w:hanging="357"/>
        <w:spacing w:after="0" w:line="238" w:lineRule="auto"/>
        <w:tabs>
          <w:tab w:leader="none" w:pos="7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accrue for the estimated costs of customer volume rebates, cooperative advertising, consumer coupons and other trade programs as the related sales occur during the year. These accruals involve the use of estimates as to the total expected program costs and the expected sales levels. Historical results are also used to evaluate the accuracy and adequacy of amounts provided at interim dates and year end. There can be no assurance that actual amounts paid for these trade programs will not differ from estimated amounts accrued. However, we believe any such differences would not be material to our financial position or results of operations.</w:t>
      </w:r>
    </w:p>
    <w:p>
      <w:pPr>
        <w:spacing w:after="0" w:line="179" w:lineRule="exact"/>
        <w:rPr>
          <w:rFonts w:ascii="Courier New" w:cs="Courier New" w:eastAsia="Courier New" w:hAnsi="Courier New"/>
          <w:sz w:val="15"/>
          <w:szCs w:val="15"/>
          <w:color w:val="auto"/>
        </w:rPr>
      </w:pPr>
    </w:p>
    <w:p>
      <w:pPr>
        <w:ind w:left="700" w:right="3179" w:hanging="357"/>
        <w:spacing w:after="0" w:line="239" w:lineRule="auto"/>
        <w:tabs>
          <w:tab w:leader="none" w:pos="7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record income tax liabilities utilizing known obligations and estimates of potential obligations. A deferred tax asset or liability is recognized whenever there are future tax effects from existing temporary differences and operating loss and tax credit carryforwards. Valuation allowances are used to reduce deferred tax assets to the balance that is more likely than not to be realized. We must make estimates and judgments on future taxable income, considering feasible tax planning strategies and taking into account existing facts and circumstances, to determine the proper valuation allowance. When we determine that deferred tax assets could be realized in greater or lesser amounts than recorded, the asset balance and income statement reflects the change in the period such determination is made. Due to changes in facts and circumstances and the estimates and judgments that are involved in determining the proper valuation allowance, differences between actual future events and prior estimates and judgments could result in adjustments to this valuation allowance. The Company uses an estimate of its annual effective tax rate at each interim period based on the facts and circumstances available at that time, while the actual effective tax rate is calculated at year-end.</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22"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RESULTS OF OPERATIONS</w:t>
      </w:r>
    </w:p>
    <w:p>
      <w:pPr>
        <w:spacing w:after="0" w:line="175" w:lineRule="exact"/>
        <w:rPr>
          <w:sz w:val="20"/>
          <w:szCs w:val="20"/>
          <w:color w:val="auto"/>
        </w:rPr>
      </w:pPr>
    </w:p>
    <w:p>
      <w:pPr>
        <w:ind w:right="3359" w:firstLine="353"/>
        <w:spacing w:after="0" w:line="235" w:lineRule="auto"/>
        <w:rPr>
          <w:sz w:val="20"/>
          <w:szCs w:val="20"/>
          <w:color w:val="auto"/>
        </w:rPr>
      </w:pPr>
      <w:r>
        <w:rPr>
          <w:rFonts w:ascii="Courier New" w:cs="Courier New" w:eastAsia="Courier New" w:hAnsi="Courier New"/>
          <w:sz w:val="15"/>
          <w:szCs w:val="15"/>
          <w:color w:val="auto"/>
        </w:rPr>
        <w:t>The following table sets forth net sales by business segment for the three months ended December 27, 2003 and December 28, 2002:</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132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FOR THE</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2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THREE</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MONTHS</w:t>
            </w:r>
          </w:p>
        </w:tc>
        <w:tc>
          <w:tcPr>
            <w:tcW w:w="9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ENDED</w:t>
            </w:r>
          </w:p>
        </w:tc>
      </w:tr>
      <w:tr>
        <w:trPr>
          <w:trHeight w:val="170"/>
        </w:trPr>
        <w:tc>
          <w:tcPr>
            <w:tcW w:w="2940" w:type="dxa"/>
            <w:vAlign w:val="bottom"/>
          </w:tcPr>
          <w:p>
            <w:pPr>
              <w:spacing w:after="0"/>
              <w:rPr>
                <w:sz w:val="14"/>
                <w:szCs w:val="14"/>
                <w:color w:val="auto"/>
              </w:rPr>
            </w:pPr>
          </w:p>
        </w:tc>
        <w:tc>
          <w:tcPr>
            <w:tcW w:w="25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DECEMBER 27,   DECEMBER 28,</w:t>
            </w:r>
          </w:p>
        </w:tc>
      </w:tr>
      <w:tr>
        <w:trPr>
          <w:trHeight w:val="170"/>
        </w:trPr>
        <w:tc>
          <w:tcPr>
            <w:tcW w:w="2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2003</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88"/>
              </w:rPr>
              <w:t>2002</w:t>
            </w:r>
          </w:p>
        </w:tc>
      </w:tr>
      <w:tr>
        <w:trPr>
          <w:trHeight w:val="170"/>
        </w:trPr>
        <w:tc>
          <w:tcPr>
            <w:tcW w:w="294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9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2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(UNAUDITED)</w:t>
            </w:r>
          </w:p>
        </w:tc>
        <w:tc>
          <w:tcPr>
            <w:tcW w:w="700" w:type="dxa"/>
            <w:vAlign w:val="bottom"/>
          </w:tcPr>
          <w:p>
            <w:pPr>
              <w:spacing w:after="0"/>
              <w:rPr>
                <w:sz w:val="14"/>
                <w:szCs w:val="14"/>
                <w:color w:val="auto"/>
              </w:rPr>
            </w:pPr>
          </w:p>
        </w:tc>
      </w:tr>
      <w:tr>
        <w:trPr>
          <w:trHeight w:val="170"/>
        </w:trPr>
        <w:tc>
          <w:tcPr>
            <w:tcW w:w="2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MILLIONS)</w:t>
            </w:r>
          </w:p>
        </w:tc>
        <w:tc>
          <w:tcPr>
            <w:tcW w:w="700" w:type="dxa"/>
            <w:vAlign w:val="bottom"/>
          </w:tcPr>
          <w:p>
            <w:pPr>
              <w:spacing w:after="0"/>
              <w:rPr>
                <w:sz w:val="14"/>
                <w:szCs w:val="14"/>
                <w:color w:val="auto"/>
              </w:rPr>
            </w:pPr>
          </w:p>
        </w:tc>
      </w:tr>
      <w:tr>
        <w:trPr>
          <w:trHeight w:val="339"/>
        </w:trPr>
        <w:tc>
          <w:tcPr>
            <w:tcW w:w="2940" w:type="dxa"/>
            <w:vAlign w:val="bottom"/>
          </w:tcPr>
          <w:p>
            <w:pPr>
              <w:spacing w:after="0"/>
              <w:rPr>
                <w:sz w:val="20"/>
                <w:szCs w:val="20"/>
                <w:color w:val="auto"/>
              </w:rPr>
            </w:pPr>
            <w:r>
              <w:rPr>
                <w:rFonts w:ascii="Courier New" w:cs="Courier New" w:eastAsia="Courier New" w:hAnsi="Courier New"/>
                <w:sz w:val="15"/>
                <w:szCs w:val="15"/>
                <w:color w:val="auto"/>
              </w:rPr>
              <w:t>North America.................</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102.7</w:t>
            </w:r>
          </w:p>
        </w:tc>
        <w:tc>
          <w:tcPr>
            <w:tcW w:w="660" w:type="dxa"/>
            <w:vAlign w:val="bottom"/>
          </w:tcPr>
          <w:p>
            <w:pPr>
              <w:spacing w:after="0"/>
              <w:rPr>
                <w:sz w:val="24"/>
                <w:szCs w:val="24"/>
                <w:color w:val="auto"/>
              </w:rPr>
            </w:pP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104.6</w:t>
            </w: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Scotts LawnService(R)...........</w:t>
            </w:r>
          </w:p>
        </w:tc>
        <w:tc>
          <w:tcPr>
            <w:tcW w:w="4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18.5</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15.3</w:t>
            </w: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International.................</w:t>
            </w:r>
          </w:p>
        </w:tc>
        <w:tc>
          <w:tcPr>
            <w:tcW w:w="4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65.0</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60.9</w:t>
            </w:r>
          </w:p>
        </w:tc>
      </w:tr>
      <w:tr>
        <w:trPr>
          <w:trHeight w:val="170"/>
        </w:trPr>
        <w:tc>
          <w:tcPr>
            <w:tcW w:w="294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9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2940" w:type="dxa"/>
            <w:vAlign w:val="bottom"/>
          </w:tcPr>
          <w:p>
            <w:pPr>
              <w:ind w:left="600"/>
              <w:spacing w:after="0"/>
              <w:rPr>
                <w:sz w:val="20"/>
                <w:szCs w:val="20"/>
                <w:color w:val="auto"/>
              </w:rPr>
            </w:pPr>
            <w:r>
              <w:rPr>
                <w:rFonts w:ascii="Courier New" w:cs="Courier New" w:eastAsia="Courier New" w:hAnsi="Courier New"/>
                <w:sz w:val="15"/>
                <w:szCs w:val="15"/>
                <w:color w:val="auto"/>
              </w:rPr>
              <w:t>Consolidated...........</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186.2</w:t>
            </w:r>
          </w:p>
        </w:tc>
        <w:tc>
          <w:tcPr>
            <w:tcW w:w="660" w:type="dxa"/>
            <w:vAlign w:val="bottom"/>
          </w:tcPr>
          <w:p>
            <w:pPr>
              <w:spacing w:after="0"/>
              <w:rPr>
                <w:sz w:val="14"/>
                <w:szCs w:val="14"/>
                <w:color w:val="auto"/>
              </w:rPr>
            </w:pP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180.8</w:t>
            </w:r>
          </w:p>
        </w:tc>
      </w:tr>
      <w:tr>
        <w:trPr>
          <w:trHeight w:val="170"/>
        </w:trPr>
        <w:tc>
          <w:tcPr>
            <w:tcW w:w="294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9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w:t>
            </w:r>
          </w:p>
        </w:tc>
      </w:tr>
    </w:tbl>
    <w:p>
      <w:pPr>
        <w:spacing w:after="0" w:line="344" w:lineRule="exact"/>
        <w:rPr>
          <w:sz w:val="20"/>
          <w:szCs w:val="20"/>
          <w:color w:val="auto"/>
        </w:rPr>
      </w:pPr>
    </w:p>
    <w:p>
      <w:pPr>
        <w:ind w:right="3539" w:firstLine="353"/>
        <w:spacing w:after="0" w:line="237" w:lineRule="auto"/>
        <w:rPr>
          <w:sz w:val="20"/>
          <w:szCs w:val="20"/>
          <w:color w:val="auto"/>
        </w:rPr>
      </w:pPr>
      <w:r>
        <w:rPr>
          <w:rFonts w:ascii="Courier New" w:cs="Courier New" w:eastAsia="Courier New" w:hAnsi="Courier New"/>
          <w:sz w:val="15"/>
          <w:szCs w:val="15"/>
          <w:color w:val="auto"/>
        </w:rPr>
        <w:t>The following table sets forth the components of income and expense as a percentage of net sales for the three months ended December 27, 2003 and December 28, 2002:</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90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FOR THE</w:t>
            </w:r>
          </w:p>
        </w:tc>
        <w:tc>
          <w:tcPr>
            <w:tcW w:w="1040" w:type="dxa"/>
            <w:vAlign w:val="bottom"/>
          </w:tcPr>
          <w:p>
            <w:pPr>
              <w:spacing w:after="0"/>
              <w:rPr>
                <w:sz w:val="14"/>
                <w:szCs w:val="14"/>
                <w:color w:val="auto"/>
              </w:rPr>
            </w:pPr>
          </w:p>
        </w:tc>
      </w:tr>
      <w:tr>
        <w:trPr>
          <w:trHeight w:val="170"/>
        </w:trPr>
        <w:tc>
          <w:tcPr>
            <w:tcW w:w="5900" w:type="dxa"/>
            <w:vAlign w:val="bottom"/>
          </w:tcPr>
          <w:p>
            <w:pPr>
              <w:spacing w:after="0"/>
              <w:rPr>
                <w:sz w:val="14"/>
                <w:szCs w:val="14"/>
                <w:color w:val="auto"/>
              </w:rPr>
            </w:pPr>
          </w:p>
        </w:tc>
        <w:tc>
          <w:tcPr>
            <w:tcW w:w="272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THREE MONTHS ENDED</w:t>
            </w:r>
          </w:p>
        </w:tc>
      </w:tr>
      <w:tr>
        <w:trPr>
          <w:trHeight w:val="170"/>
        </w:trPr>
        <w:tc>
          <w:tcPr>
            <w:tcW w:w="5900" w:type="dxa"/>
            <w:vAlign w:val="bottom"/>
          </w:tcPr>
          <w:p>
            <w:pPr>
              <w:spacing w:after="0"/>
              <w:rPr>
                <w:sz w:val="14"/>
                <w:szCs w:val="14"/>
                <w:color w:val="auto"/>
              </w:rPr>
            </w:pP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DECEMBER 27,</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4"/>
              </w:rPr>
              <w:t>DECEMBER 28,</w:t>
            </w:r>
          </w:p>
        </w:tc>
      </w:tr>
      <w:tr>
        <w:trPr>
          <w:trHeight w:val="170"/>
        </w:trPr>
        <w:tc>
          <w:tcPr>
            <w:tcW w:w="5900" w:type="dxa"/>
            <w:vAlign w:val="bottom"/>
          </w:tcPr>
          <w:p>
            <w:pPr>
              <w:spacing w:after="0"/>
              <w:rPr>
                <w:sz w:val="14"/>
                <w:szCs w:val="14"/>
                <w:color w:val="auto"/>
              </w:rPr>
            </w:pPr>
          </w:p>
        </w:tc>
        <w:tc>
          <w:tcPr>
            <w:tcW w:w="168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2003</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2002</w:t>
            </w:r>
          </w:p>
        </w:tc>
      </w:tr>
      <w:tr>
        <w:trPr>
          <w:trHeight w:val="170"/>
        </w:trPr>
        <w:tc>
          <w:tcPr>
            <w:tcW w:w="5900" w:type="dxa"/>
            <w:vAlign w:val="bottom"/>
          </w:tcPr>
          <w:p>
            <w:pPr>
              <w:spacing w:after="0"/>
              <w:rPr>
                <w:sz w:val="14"/>
                <w:szCs w:val="14"/>
                <w:color w:val="auto"/>
              </w:rPr>
            </w:pP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5900" w:type="dxa"/>
            <w:vAlign w:val="bottom"/>
          </w:tcPr>
          <w:p>
            <w:pPr>
              <w:spacing w:after="0"/>
              <w:rPr>
                <w:sz w:val="14"/>
                <w:szCs w:val="14"/>
                <w:color w:val="auto"/>
              </w:rPr>
            </w:pPr>
          </w:p>
        </w:tc>
        <w:tc>
          <w:tcPr>
            <w:tcW w:w="272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(UNAUDITED)</w:t>
            </w:r>
          </w:p>
        </w:tc>
      </w:tr>
      <w:tr>
        <w:trPr>
          <w:trHeight w:val="339"/>
        </w:trPr>
        <w:tc>
          <w:tcPr>
            <w:tcW w:w="59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Net sales.......................................................</w:t>
            </w: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100.0%</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59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Cost of sales...................................................</w:t>
            </w:r>
          </w:p>
        </w:tc>
        <w:tc>
          <w:tcPr>
            <w:tcW w:w="16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73.3</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76.9</w:t>
            </w:r>
          </w:p>
        </w:tc>
      </w:tr>
      <w:tr>
        <w:trPr>
          <w:trHeight w:val="170"/>
        </w:trPr>
        <w:tc>
          <w:tcPr>
            <w:tcW w:w="59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Restructuring and other charges.................................</w:t>
            </w:r>
          </w:p>
        </w:tc>
        <w:tc>
          <w:tcPr>
            <w:tcW w:w="16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0.2</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w:t>
            </w:r>
          </w:p>
        </w:tc>
      </w:tr>
      <w:tr>
        <w:trPr>
          <w:trHeight w:val="170"/>
        </w:trPr>
        <w:tc>
          <w:tcPr>
            <w:tcW w:w="5900" w:type="dxa"/>
            <w:vAlign w:val="bottom"/>
          </w:tcPr>
          <w:p>
            <w:pPr>
              <w:spacing w:after="0"/>
              <w:rPr>
                <w:sz w:val="14"/>
                <w:szCs w:val="14"/>
                <w:color w:val="auto"/>
              </w:rPr>
            </w:pPr>
          </w:p>
        </w:tc>
        <w:tc>
          <w:tcPr>
            <w:tcW w:w="16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59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Gross profit....................................................</w:t>
            </w:r>
          </w:p>
        </w:tc>
        <w:tc>
          <w:tcPr>
            <w:tcW w:w="16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26.5</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20.6</w:t>
            </w:r>
          </w:p>
        </w:tc>
      </w:tr>
      <w:tr>
        <w:trPr>
          <w:trHeight w:val="170"/>
        </w:trPr>
        <w:tc>
          <w:tcPr>
            <w:tcW w:w="59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Net expense from marketing agreement............................</w:t>
            </w: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(3.8)</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(3.9)</w:t>
            </w:r>
          </w:p>
        </w:tc>
      </w:tr>
      <w:tr>
        <w:trPr>
          <w:trHeight w:val="170"/>
        </w:trPr>
        <w:tc>
          <w:tcPr>
            <w:tcW w:w="5900" w:type="dxa"/>
            <w:vAlign w:val="bottom"/>
          </w:tcPr>
          <w:p>
            <w:pPr>
              <w:jc w:val="right"/>
              <w:ind w:right="4167"/>
              <w:spacing w:after="0"/>
              <w:rPr>
                <w:sz w:val="20"/>
                <w:szCs w:val="20"/>
                <w:color w:val="auto"/>
              </w:rPr>
            </w:pPr>
            <w:r>
              <w:rPr>
                <w:rFonts w:ascii="Courier New" w:cs="Courier New" w:eastAsia="Courier New" w:hAnsi="Courier New"/>
                <w:sz w:val="15"/>
                <w:szCs w:val="15"/>
                <w:color w:val="auto"/>
                <w:w w:val="95"/>
              </w:rPr>
              <w:t>Operating expenses:</w:t>
            </w:r>
          </w:p>
        </w:tc>
        <w:tc>
          <w:tcPr>
            <w:tcW w:w="16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59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Advertising.................................................</w:t>
            </w:r>
          </w:p>
        </w:tc>
        <w:tc>
          <w:tcPr>
            <w:tcW w:w="16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4.5</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w:t>
            </w:r>
          </w:p>
        </w:tc>
      </w:tr>
      <w:tr>
        <w:trPr>
          <w:trHeight w:val="170"/>
        </w:trPr>
        <w:tc>
          <w:tcPr>
            <w:tcW w:w="59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Selling, general and administrative.........................</w:t>
            </w:r>
          </w:p>
        </w:tc>
        <w:tc>
          <w:tcPr>
            <w:tcW w:w="16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41.9</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37.3</w:t>
            </w:r>
          </w:p>
        </w:tc>
      </w:tr>
      <w:tr>
        <w:trPr>
          <w:trHeight w:val="170"/>
        </w:trPr>
        <w:tc>
          <w:tcPr>
            <w:tcW w:w="59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Stock-based compensation....................................</w:t>
            </w:r>
          </w:p>
        </w:tc>
        <w:tc>
          <w:tcPr>
            <w:tcW w:w="16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0.7</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0.2</w:t>
            </w:r>
          </w:p>
        </w:tc>
      </w:tr>
      <w:tr>
        <w:trPr>
          <w:trHeight w:val="170"/>
        </w:trPr>
        <w:tc>
          <w:tcPr>
            <w:tcW w:w="59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Selling, general and administrative - lawn service business.</w:t>
            </w:r>
          </w:p>
        </w:tc>
        <w:tc>
          <w:tcPr>
            <w:tcW w:w="16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6.7</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w:t>
            </w:r>
          </w:p>
        </w:tc>
      </w:tr>
      <w:tr>
        <w:trPr>
          <w:trHeight w:val="170"/>
        </w:trPr>
        <w:tc>
          <w:tcPr>
            <w:tcW w:w="59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Restructuring and other charges.............................</w:t>
            </w:r>
          </w:p>
        </w:tc>
        <w:tc>
          <w:tcPr>
            <w:tcW w:w="16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0.2</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w:t>
            </w:r>
          </w:p>
        </w:tc>
      </w:tr>
      <w:tr>
        <w:trPr>
          <w:trHeight w:val="170"/>
        </w:trPr>
        <w:tc>
          <w:tcPr>
            <w:tcW w:w="59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Amortization of intangibles.................................</w:t>
            </w:r>
          </w:p>
        </w:tc>
        <w:tc>
          <w:tcPr>
            <w:tcW w:w="16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1.3</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w:t>
            </w:r>
          </w:p>
        </w:tc>
      </w:tr>
      <w:tr>
        <w:trPr>
          <w:trHeight w:val="170"/>
        </w:trPr>
        <w:tc>
          <w:tcPr>
            <w:tcW w:w="59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Other expense (income), net.................................</w:t>
            </w: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(0.9)</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(0.6)</w:t>
            </w:r>
          </w:p>
        </w:tc>
      </w:tr>
      <w:tr>
        <w:trPr>
          <w:trHeight w:val="170"/>
        </w:trPr>
        <w:tc>
          <w:tcPr>
            <w:tcW w:w="5900" w:type="dxa"/>
            <w:vAlign w:val="bottom"/>
          </w:tcPr>
          <w:p>
            <w:pPr>
              <w:spacing w:after="0"/>
              <w:rPr>
                <w:sz w:val="14"/>
                <w:szCs w:val="14"/>
                <w:color w:val="auto"/>
              </w:rPr>
            </w:pP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59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Loss from operations............................................</w:t>
            </w: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(31.7)</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(32.6)</w:t>
            </w:r>
          </w:p>
        </w:tc>
      </w:tr>
      <w:tr>
        <w:trPr>
          <w:trHeight w:val="170"/>
        </w:trPr>
        <w:tc>
          <w:tcPr>
            <w:tcW w:w="59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Interest expense................................................</w:t>
            </w:r>
          </w:p>
        </w:tc>
        <w:tc>
          <w:tcPr>
            <w:tcW w:w="16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6.4</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9.1</w:t>
            </w:r>
          </w:p>
        </w:tc>
      </w:tr>
      <w:tr>
        <w:trPr>
          <w:trHeight w:val="170"/>
        </w:trPr>
        <w:tc>
          <w:tcPr>
            <w:tcW w:w="59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Costs related to refinancing....................................</w:t>
            </w:r>
          </w:p>
        </w:tc>
        <w:tc>
          <w:tcPr>
            <w:tcW w:w="16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23.5</w:t>
            </w:r>
          </w:p>
        </w:tc>
        <w:tc>
          <w:tcPr>
            <w:tcW w:w="1040" w:type="dxa"/>
            <w:vAlign w:val="bottom"/>
          </w:tcPr>
          <w:p>
            <w:pPr>
              <w:spacing w:after="0"/>
              <w:rPr>
                <w:sz w:val="14"/>
                <w:szCs w:val="14"/>
                <w:color w:val="auto"/>
              </w:rPr>
            </w:pPr>
          </w:p>
        </w:tc>
      </w:tr>
      <w:tr>
        <w:trPr>
          <w:trHeight w:val="170"/>
        </w:trPr>
        <w:tc>
          <w:tcPr>
            <w:tcW w:w="5900" w:type="dxa"/>
            <w:vAlign w:val="bottom"/>
          </w:tcPr>
          <w:p>
            <w:pPr>
              <w:spacing w:after="0"/>
              <w:rPr>
                <w:sz w:val="14"/>
                <w:szCs w:val="14"/>
                <w:color w:val="auto"/>
              </w:rPr>
            </w:pPr>
          </w:p>
        </w:tc>
        <w:tc>
          <w:tcPr>
            <w:tcW w:w="16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r>
      <w:tr>
        <w:trPr>
          <w:trHeight w:val="170"/>
        </w:trPr>
        <w:tc>
          <w:tcPr>
            <w:tcW w:w="59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Loss before income taxes........................................</w:t>
            </w: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(61.6)</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(41.7)</w:t>
            </w:r>
          </w:p>
        </w:tc>
      </w:tr>
      <w:tr>
        <w:trPr>
          <w:trHeight w:val="170"/>
        </w:trPr>
        <w:tc>
          <w:tcPr>
            <w:tcW w:w="59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Income tax benefit..............................................</w:t>
            </w: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(23.6)</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(15.8)</w:t>
            </w:r>
          </w:p>
        </w:tc>
      </w:tr>
      <w:tr>
        <w:trPr>
          <w:trHeight w:val="170"/>
        </w:trPr>
        <w:tc>
          <w:tcPr>
            <w:tcW w:w="5900" w:type="dxa"/>
            <w:vAlign w:val="bottom"/>
          </w:tcPr>
          <w:p>
            <w:pPr>
              <w:spacing w:after="0"/>
              <w:rPr>
                <w:sz w:val="14"/>
                <w:szCs w:val="14"/>
                <w:color w:val="auto"/>
              </w:rPr>
            </w:pP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59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Net loss........................................................</w:t>
            </w: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(38.0)%</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(25.9)%</w:t>
            </w:r>
          </w:p>
        </w:tc>
      </w:tr>
      <w:tr>
        <w:trPr>
          <w:trHeight w:val="170"/>
        </w:trPr>
        <w:tc>
          <w:tcPr>
            <w:tcW w:w="5900" w:type="dxa"/>
            <w:vAlign w:val="bottom"/>
          </w:tcPr>
          <w:p>
            <w:pPr>
              <w:spacing w:after="0"/>
              <w:rPr>
                <w:sz w:val="14"/>
                <w:szCs w:val="14"/>
                <w:color w:val="auto"/>
              </w:rPr>
            </w:pP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5"/>
          <w:szCs w:val="15"/>
          <w:color w:val="auto"/>
        </w:rPr>
        <w:t>THREE MONTHS ENDED DECEMBER 27, 2003 COMPARED TO THREE MONTHS ENDED DECEMBER 28, 2002</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Net sales for the three months ended December 27, 2003 were $186.2 million, an increase of 3.0% from net sales of $180.8 million for the three months ended December 28, 2002. Excluding the effect of exchange rates, sales for the first quarter of fiscal 2004 were $176.3 million, or 2.4% below the first quarter of fiscal 2003. As mentioned previously, net sales in the first quarter of the fiscal year represent less than 10% of the expected net sales for the full year and thus may not be representative of results for the full year. Price increases are not material to the discussion of net sales in total or by reportable segment for either fiscal period presented.</w:t>
      </w:r>
    </w:p>
    <w:p>
      <w:pPr>
        <w:spacing w:after="0" w:line="179"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North America segment net sales were $102.7 million in the first quarter of fiscal 2004, a decrease of 1.8% from net sales of $104.6 million for the first quarter of fiscal 2003. This decrease was driven primarily by the timing of shipments to certain significant retail customers, as well as a special trade promotion held during the first quarter of 2003 that was not repeated in fiscal 2004.</w:t>
      </w:r>
    </w:p>
    <w:p>
      <w:pPr>
        <w:spacing w:after="0" w:line="176" w:lineRule="exact"/>
        <w:rPr>
          <w:sz w:val="20"/>
          <w:szCs w:val="20"/>
          <w:color w:val="auto"/>
        </w:rPr>
      </w:pPr>
    </w:p>
    <w:p>
      <w:pPr>
        <w:ind w:right="3179" w:firstLine="353"/>
        <w:spacing w:after="0" w:line="258" w:lineRule="auto"/>
        <w:rPr>
          <w:sz w:val="20"/>
          <w:szCs w:val="20"/>
          <w:color w:val="auto"/>
        </w:rPr>
      </w:pPr>
      <w:r>
        <w:rPr>
          <w:rFonts w:ascii="Courier New" w:cs="Courier New" w:eastAsia="Courier New" w:hAnsi="Courier New"/>
          <w:sz w:val="14"/>
          <w:szCs w:val="14"/>
          <w:color w:val="auto"/>
        </w:rPr>
        <w:t>Scotts LawnService(R) revenues increased 20.9% from $15.3 million in the first quarter of fiscal 2003 to $18.5 million in the first quarter of fiscal 2004. Approximately one half of the growth reflects an increase in the number of operating locations primarily due to acquisitions in new markets in late fiscal 2003, with the remainder of the increase due to more favorable weather conditions and additional services provided in the first quarter of fiscal 2004.</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22" w:right="1440" w:bottom="57" w:gutter="0" w:footer="0" w:header="0"/>
        </w:sectPr>
      </w:pPr>
    </w:p>
    <w:bookmarkStart w:id="25" w:name="page26"/>
    <w:bookmarkEnd w:id="25"/>
    <w:p>
      <w:pPr>
        <w:ind w:right="3179" w:firstLine="353"/>
        <w:spacing w:after="0" w:line="238" w:lineRule="auto"/>
        <w:rPr>
          <w:sz w:val="20"/>
          <w:szCs w:val="20"/>
          <w:color w:val="auto"/>
        </w:rPr>
      </w:pPr>
      <w:r>
        <w:rPr>
          <w:rFonts w:ascii="Courier New" w:cs="Courier New" w:eastAsia="Courier New" w:hAnsi="Courier New"/>
          <w:sz w:val="15"/>
          <w:szCs w:val="15"/>
          <w:color w:val="auto"/>
        </w:rPr>
        <w:t>Net sales for the International segment in the first quarter of fiscal 2004 were $65.0 million, an increase of $4.1 million, or 6.7%, versus the first quarter of fiscal 2002. Excluding the effect of exchange rates, net sales declined by $5.6 million. This decrease was partially due to shipping delays in our consumer business due to product availability issues resulting from our SKU rationalization initiatives. In addition, our decision to exit a very low margin line within our professional business and continued drought conditions in Australia also decreased net sales in the International segment.</w:t>
      </w:r>
    </w:p>
    <w:p>
      <w:pPr>
        <w:spacing w:after="0" w:line="17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Gross profit was $49.3 million in the first quarter of fiscal 2004, an increase of $12.1 million from gross profit of $37.2 million in the first quarter of fiscal 2003. As a percentage of net sales, gross profit was 26.5% of sales in the first quarter of fiscal 2004 compared to 20.6% in the first quarter of fiscal 2003. Excluding the effect of favorable exchange rates and excluding restructuring and other charges, gross profit margin was 26.0% of sales in the first quarter of fiscal 2004 compared to 23.1% in the first quarter of fiscal 2003. North America gross profit margin in the first quarter of fiscal 2004 improved primarily due to timing of trade program costs, favorable product mix and lower inventory adjustments relative to the prior year. The International segment realized improved margins due to the exit of the low margin professional line described above.</w:t>
      </w:r>
    </w:p>
    <w:p>
      <w:pPr>
        <w:spacing w:after="0" w:line="182"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The net expense from the marketing agreement was $7.1 million in the first quarters of fiscal 2004 and fiscal 2003. We do not recognize commission income under the marketing agreement until minimum earnings thresholds in the agreement are achieved, which is usually late in our second fiscal quarter or early in the third fiscal quarter.</w:t>
      </w:r>
    </w:p>
    <w:p>
      <w:pPr>
        <w:spacing w:after="0" w:line="178" w:lineRule="exact"/>
        <w:rPr>
          <w:sz w:val="20"/>
          <w:szCs w:val="20"/>
          <w:color w:val="auto"/>
        </w:rPr>
      </w:pPr>
    </w:p>
    <w:p>
      <w:pPr>
        <w:ind w:right="3259" w:firstLine="353"/>
        <w:spacing w:after="0" w:line="258" w:lineRule="auto"/>
        <w:rPr>
          <w:sz w:val="20"/>
          <w:szCs w:val="20"/>
          <w:color w:val="auto"/>
        </w:rPr>
      </w:pPr>
      <w:r>
        <w:rPr>
          <w:rFonts w:ascii="Courier New" w:cs="Courier New" w:eastAsia="Courier New" w:hAnsi="Courier New"/>
          <w:sz w:val="14"/>
          <w:szCs w:val="14"/>
          <w:color w:val="auto"/>
        </w:rPr>
        <w:t>Advertising expenses in the first quarter of fiscal 2004 were $8.3 million, a decrease of 3.5% from $8.6 million in the first quarter of fiscal 2003, related to a change in the sales mix of advertised products within the quarter. As a percentage of net sales, advertising expenses were 4.5% in the first quarter of fiscal 2004 compared to 4.8% in the first quarter of fiscal 2003.</w:t>
      </w:r>
    </w:p>
    <w:p>
      <w:pPr>
        <w:spacing w:after="0" w:line="16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Selling, general and administrative expenses ("SG&amp;A") excluding Scotts LawnService(R), stock-based compensation, restructuring and other charges increased to $78.1 million in the first quarter of fiscal 2004 from $67.4 million in the first quarter of fiscal 2003. This increase in SG&amp;A was due primarily to increased legal costs in fiscal 2004 and the non-recurrence of bad debt recoveries realized in fiscal 2003. Bad debt expense in the first quarter of fiscal 2004 was $0.9 million compared to a net recovery of $1.8 million in the comparable period of fiscal 2003.</w:t>
      </w:r>
    </w:p>
    <w:p>
      <w:pPr>
        <w:spacing w:after="0" w:line="178"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SG&amp;A in the Scotts LawnService(R) business increased from $10.0 million in the first quarter of fiscal 2003 to $12.4 million in the first quarter of fiscal 2004, reflecting the increased number of locations added over the past year from acquisitions, primarily in new markets.</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Stock-based compensation expense increased to $1.3 million in the first quarter of fiscal 2004, compared to $0.4 million in the first quarter of fiscal 2003, reflecting amortization of grants issued in late fiscal 2003 coupled with amortization associated with grants issued in fiscal 2004. The full year charges for stock-based compensation are expected to increase by $4.0 to $5.0 million in fiscal 2004 compared to fiscal 2003.</w:t>
      </w:r>
    </w:p>
    <w:p>
      <w:pPr>
        <w:spacing w:after="0" w:line="176"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Restructuring and other charges decreased from $1.8 million in fiscal 2003's first quarter to $0.5 million in fiscal 2004's first quarter due to reduced North American distribution restructuring costs and reduced International plant closure costs.</w:t>
      </w:r>
    </w:p>
    <w:p>
      <w:pPr>
        <w:spacing w:after="0" w:line="176" w:lineRule="exact"/>
        <w:rPr>
          <w:sz w:val="20"/>
          <w:szCs w:val="20"/>
          <w:color w:val="auto"/>
        </w:rPr>
      </w:pPr>
    </w:p>
    <w:p>
      <w:pPr>
        <w:ind w:right="3179" w:firstLine="353"/>
        <w:spacing w:after="0" w:line="235" w:lineRule="auto"/>
        <w:rPr>
          <w:sz w:val="20"/>
          <w:szCs w:val="20"/>
          <w:color w:val="auto"/>
        </w:rPr>
      </w:pPr>
      <w:r>
        <w:rPr>
          <w:rFonts w:ascii="Courier New" w:cs="Courier New" w:eastAsia="Courier New" w:hAnsi="Courier New"/>
          <w:sz w:val="15"/>
          <w:szCs w:val="15"/>
          <w:color w:val="auto"/>
        </w:rPr>
        <w:t>Other income was $1.8 million for the first quarter of fiscal 2004, compared to other income of $1.2 million in the first quarter of fiscal 2003.</w:t>
      </w:r>
    </w:p>
    <w:p>
      <w:pPr>
        <w:spacing w:after="0" w:line="176"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For segment reporting purposes, earnings before interest, taxes and amortization of intangible assets ("EBITA") is the measure used by management to assess earnings performance. Segment performance for the first quarter of fiscal</w:t>
      </w:r>
    </w:p>
    <w:p>
      <w:pPr>
        <w:spacing w:after="0" w:line="233" w:lineRule="auto"/>
        <w:rPr>
          <w:sz w:val="20"/>
          <w:szCs w:val="20"/>
          <w:color w:val="auto"/>
        </w:rPr>
      </w:pPr>
      <w:r>
        <w:rPr>
          <w:rFonts w:ascii="Courier New" w:cs="Courier New" w:eastAsia="Courier New" w:hAnsi="Courier New"/>
          <w:sz w:val="15"/>
          <w:szCs w:val="15"/>
          <w:color w:val="auto"/>
        </w:rPr>
        <w:t>2004 compared to the first quarter of fiscal 2003 was as follows:</w:t>
      </w:r>
    </w:p>
    <w:p>
      <w:pPr>
        <w:spacing w:after="0" w:line="175" w:lineRule="exact"/>
        <w:rPr>
          <w:sz w:val="20"/>
          <w:szCs w:val="20"/>
          <w:color w:val="auto"/>
        </w:rPr>
      </w:pPr>
    </w:p>
    <w:p>
      <w:pPr>
        <w:ind w:left="700" w:right="3179" w:hanging="357"/>
        <w:spacing w:after="0" w:line="256" w:lineRule="auto"/>
        <w:tabs>
          <w:tab w:leader="none" w:pos="70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North America's loss from operations declined from $29.7 million in fiscal 2003 to $28.7 million in fiscal 2004, as improved gross margins, previously described above, more than offset current year SG&amp;A increases in marketing, selling and research and development costs, and the non-recurrence of bad debt recoveries realized in the first quarter</w:t>
      </w:r>
    </w:p>
    <w:p>
      <w:pPr>
        <w:ind w:left="7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of fiscal 2003;</w:t>
      </w:r>
    </w:p>
    <w:p>
      <w:pPr>
        <w:spacing w:after="0" w:line="174" w:lineRule="exact"/>
        <w:rPr>
          <w:rFonts w:ascii="Courier New" w:cs="Courier New" w:eastAsia="Courier New" w:hAnsi="Courier New"/>
          <w:sz w:val="14"/>
          <w:szCs w:val="14"/>
          <w:color w:val="auto"/>
        </w:rPr>
      </w:pPr>
    </w:p>
    <w:p>
      <w:pPr>
        <w:ind w:left="700" w:right="3259" w:hanging="357"/>
        <w:spacing w:after="0" w:line="258" w:lineRule="auto"/>
        <w:tabs>
          <w:tab w:leader="none" w:pos="70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Scotts LawnService(R) reported higher net sales, but a larger loss from operations, $6.4 million compared to $4.8 million. As this highly seasonal business grows and adds fixed infrastructure costs, it will have larger losses in the first and second quarters of the fiscal year due to seasonally low revenues. Conversely, the second half of the fiscal year will provide higher revenues, margins and operating income;</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27" w:right="1440" w:bottom="1440" w:gutter="0" w:footer="0" w:header="0"/>
        </w:sectPr>
      </w:pPr>
    </w:p>
    <w:bookmarkStart w:id="26" w:name="page27"/>
    <w:bookmarkEnd w:id="26"/>
    <w:p>
      <w:pPr>
        <w:ind w:left="700" w:right="3179" w:hanging="357"/>
        <w:spacing w:after="0" w:line="260" w:lineRule="auto"/>
        <w:tabs>
          <w:tab w:leader="none" w:pos="70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International's loss from operations increased to $2.3 million from $1.7 million, as the net sales decline of $5.6 million, excluding the effect of exchange rates, was only partially offset by improved gross margin.</w:t>
      </w:r>
    </w:p>
    <w:p>
      <w:pPr>
        <w:spacing w:after="0" w:line="163" w:lineRule="exact"/>
        <w:rPr>
          <w:sz w:val="20"/>
          <w:szCs w:val="20"/>
          <w:color w:val="auto"/>
        </w:rPr>
      </w:pPr>
    </w:p>
    <w:p>
      <w:pPr>
        <w:ind w:right="3179" w:firstLine="353"/>
        <w:spacing w:after="0" w:line="258" w:lineRule="auto"/>
        <w:rPr>
          <w:sz w:val="20"/>
          <w:szCs w:val="20"/>
          <w:color w:val="auto"/>
        </w:rPr>
      </w:pPr>
      <w:r>
        <w:rPr>
          <w:rFonts w:ascii="Courier New" w:cs="Courier New" w:eastAsia="Courier New" w:hAnsi="Courier New"/>
          <w:sz w:val="14"/>
          <w:szCs w:val="14"/>
          <w:color w:val="auto"/>
        </w:rPr>
        <w:t>Interest expense for the first quarter of fiscal 2004 was $11.9 million, compared to $16.5 million for the first quarter of fiscal 2003. The decrease in interest expense was due to a reduction in average borrowings as compared to the prior year coupled with a reduction in the weighted average interest rate as a result of lower rates under our New Credit Agreement and issuance of the 6 5/8% Notes, replacing the 8 5/8% Notes which were tendered in October 2003.</w:t>
      </w:r>
    </w:p>
    <w:p>
      <w:pPr>
        <w:spacing w:after="0" w:line="164"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income tax benefit was calculated assuming an effective tax rate of 38.3% for the first quarter of fiscal 2004 versus 37.9% for the comparable quarter in fiscal 2003. The increase in the estimated effective tax rate is primarily due to changes in state tax laws. The effective tax rate used for interim reporting purposes is based on management's best estimate of factors impacting the effective tax rate for the fiscal year. Factors affecting the estimated rate include assumptions as to income by jurisdiction (domestic and foreign), the availability and utilization of tax credits, the existence of elements of income and expense that may not be taxable or deductible, as well as other items. There can be no assurance that the effective tax rate estimated for interim financial reporting purposes will approximate that determined at fiscal year end. The estimated effective tax rate is subject to revision in later interim periods and at fiscal year end as facts and circumstances change during the course of the fiscal year.</w:t>
      </w:r>
    </w:p>
    <w:p>
      <w:pPr>
        <w:spacing w:after="0" w:line="184"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The Company reported a loss of $70.7 million for the first three months of fiscal 2004, compared to a loss of $46.8 million for the first three months of fiscal 2003. If the effect of costs related to our refinancing are excluded, our net loss for the first fiscal quarter of 2004 was $3.1 million less than the comparable period in fiscal 2003. Average shares outstanding increased from 30.2 million at December 28, 2002 to 32.0 million at December 27, 2003 due to shares issued for option and warrant exercises. Common stock equivalents are not included in the shares used for first quarter earnings per share calculations due to their anti-dilutive effect in periods with net losses.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Cash used in operating activities was $205.2 million and $126.2 million for the three months ended December 27, 2003 and December 28, 2002, respectively. We entered fiscal 2004 with $155.9 million of cash and cash equivalents as compared to $99.7 million in fiscal 2003. This increase in cash and cash equivalents was largely due to cash management initiatives in the fourth quarter of fiscal 2003 that effected accounts payable and accrued liabilities. This factor was a major contributor to the significant increase in cash used in operations over the prior period as payables, which normally increase significantly in the first fiscal quarter to help finance our build of inventory, increased only moderately in the first quarter of fiscal 2004. The seasonal nature of our operations requires cash to build inventories during the first quarter in preparation for our peak sales periods. Cash used in operating activities benefited by cash generated through the continued improvement in accounts receivable management.</w:t>
      </w:r>
    </w:p>
    <w:p>
      <w:pPr>
        <w:spacing w:after="0" w:line="16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Cash used in investing activities was $6.5 million and $32.1 million for the three months ended December 27, 2003 and December 28, 2002, respectively. Capital expenditures were responsible for $14.6 million of the decrease between the quarterly periods. There were no significant capital projects that commenced in the quarter. In addition, principal payments due on seller notes issued in conjunction with prior acquisitions were $10.2 million less during the first quarter of fiscal 2004 as compared to fiscal 2003.</w:t>
      </w:r>
    </w:p>
    <w:p>
      <w:pPr>
        <w:spacing w:after="0" w:line="177"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Financing activities provided cash of $81.5 million and $74.5 million for the three months ended December 27, 2003 and December 28, 2002, respectively. During the first quarter of fiscal 2004, we restructured our borrowing arrangements through the refinancing of our former Credit Agreement, the redemption of our 8 5/8% Notes, and the issuance of our 6 5/8% Notes. In the first quarter of fiscal 2003, a $24.4 million mandatory prepayment was made on term loans as required by the level of fiscal 2002 excess cash flow, as defined in the former Credit Agreement.</w:t>
      </w:r>
    </w:p>
    <w:p>
      <w:pPr>
        <w:spacing w:after="0" w:line="178"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Our primary sources of liquidity are cash generated by operations and borrowings under our credit agreements. The New Credit Agreement consists of a $700 million multi-currency revolving credit commitment and a $500 million term loan B facility. Note 5 to the Condensed, Consolidated Financial Statements (unaudited) included in Part I, Item 1 of this Quarterly Report on Form 10-Q provides additional information pertaining to our New Credit Agreement. At December 27, 2003, we were in compliance with all of our debt covenants.</w:t>
      </w:r>
    </w:p>
    <w:p>
      <w:pPr>
        <w:spacing w:after="0" w:line="167"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We have not paid dividends on our common shares in the past and currently have no plans to pay dividends in the future. We anticipate that our earnings will be retained and reinvested to support the growth of our business or to pay down indebtedness. The payment of future dividends, if any, on common shares will be determined by our Board of Directors in light of conditions then existing, including our earnings, financial condition and capital requirements, restrictions in financing agreements, business conditions and other factors.</w:t>
      </w:r>
    </w:p>
    <w:p>
      <w:pPr>
        <w:spacing w:after="0" w:line="1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27" w:right="1440" w:bottom="1074" w:gutter="0" w:footer="0" w:header="0"/>
        </w:sectPr>
      </w:pPr>
    </w:p>
    <w:bookmarkStart w:id="27" w:name="page28"/>
    <w:bookmarkEnd w:id="27"/>
    <w:p>
      <w:pPr>
        <w:ind w:left="10" w:right="3179" w:firstLine="353"/>
        <w:spacing w:after="0" w:line="238" w:lineRule="auto"/>
        <w:rPr>
          <w:sz w:val="20"/>
          <w:szCs w:val="20"/>
          <w:color w:val="auto"/>
        </w:rPr>
      </w:pPr>
      <w:r>
        <w:rPr>
          <w:rFonts w:ascii="Courier New" w:cs="Courier New" w:eastAsia="Courier New" w:hAnsi="Courier New"/>
          <w:sz w:val="15"/>
          <w:szCs w:val="15"/>
          <w:color w:val="auto"/>
        </w:rPr>
        <w:t>All of our off-balance sheet financing is in the form of operating leases that are disclosed in the notes to consolidated financial statements included in our Annual Report on Form 10-K for the fiscal year ended September 30, 2003. Subsequent to the end of our fiscal quarter ended December 27, 2003, we took final delivery on a new aircraft under the terms of a synthetic operating lease agreement as disclosed in Note 7 to the Condensed, Consolidated Financial Statements (unaudited) included in Part I, Item 1 of this Quarterly Report on Form 10-Q.</w:t>
      </w:r>
    </w:p>
    <w:p>
      <w:pPr>
        <w:spacing w:after="0" w:line="178"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We are party to various pending judicial and administrative proceedings arising in the ordinary course of business. These include, among others, proceedings based on accidents or product liability claims and alleged violations of environmental laws. We have reviewed our pending environmental and legal proceedings, including the probable outcomes, reasonably anticipated costs and expenses, availability and limits of our insurance coverage and have established what we believe to be appropriate reserves. We do not believe that any liabilities that may result from these proceedings are reasonably likely to have a material adverse effect on our liquidity, financial condition or results of operations.</w:t>
      </w:r>
    </w:p>
    <w:p>
      <w:pPr>
        <w:spacing w:after="0" w:line="180" w:lineRule="exact"/>
        <w:rPr>
          <w:sz w:val="20"/>
          <w:szCs w:val="20"/>
          <w:color w:val="auto"/>
        </w:rPr>
      </w:pPr>
    </w:p>
    <w:p>
      <w:pPr>
        <w:ind w:left="10" w:right="3259" w:firstLine="353"/>
        <w:spacing w:after="0" w:line="257" w:lineRule="auto"/>
        <w:rPr>
          <w:sz w:val="20"/>
          <w:szCs w:val="20"/>
          <w:color w:val="auto"/>
        </w:rPr>
      </w:pPr>
      <w:r>
        <w:rPr>
          <w:rFonts w:ascii="Courier New" w:cs="Courier New" w:eastAsia="Courier New" w:hAnsi="Courier New"/>
          <w:sz w:val="14"/>
          <w:szCs w:val="14"/>
          <w:color w:val="auto"/>
        </w:rPr>
        <w:t>In our opinion, cash flows from operations and capital resources will be sufficient to meet debt service and working capital needs during fiscal 2004, and thereafter for the foreseeable future. However, we cannot ensure that our business will generate sufficient cash flow from operations or that future borrowings will be available under our credit facilities in amounts sufficient to pay indebtedness or fund other liquidity needs. Actual results of operations will depend on numerous factors, many of which are beyond our control.</w:t>
      </w:r>
    </w:p>
    <w:p>
      <w:pPr>
        <w:spacing w:after="0" w:line="16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ENVIRONMENTAL MATTERS</w:t>
      </w:r>
    </w:p>
    <w:p>
      <w:pPr>
        <w:spacing w:after="0" w:line="175" w:lineRule="exact"/>
        <w:rPr>
          <w:sz w:val="20"/>
          <w:szCs w:val="20"/>
          <w:color w:val="auto"/>
        </w:rPr>
      </w:pPr>
    </w:p>
    <w:p>
      <w:pPr>
        <w:ind w:left="10" w:right="3179" w:firstLine="353"/>
        <w:spacing w:after="0" w:line="239" w:lineRule="auto"/>
        <w:rPr>
          <w:sz w:val="20"/>
          <w:szCs w:val="20"/>
          <w:color w:val="auto"/>
        </w:rPr>
      </w:pPr>
      <w:r>
        <w:rPr>
          <w:rFonts w:ascii="Courier New" w:cs="Courier New" w:eastAsia="Courier New" w:hAnsi="Courier New"/>
          <w:sz w:val="15"/>
          <w:szCs w:val="15"/>
          <w:color w:val="auto"/>
        </w:rPr>
        <w:t>We are subject to local, state, federal and foreign environmental protection laws and regulations with respect to our business operations and believe we are operating in substantial compliance with, or taking action aimed at ensuring compliance with, such laws and regulations. We are involved in several legal actions with various governmental agencies related to environmental matters. While it is difficult to quantify the potential financial impact of actions involving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our financial position. However, there can be no assurance that the resolution of these matters will not materially affect future quarterly or annual results of operations, financial position and cash flows. Additional information on environmental matters affecting us is provided in Note 8 to the Condensed, Consolidated Financial Statements (unaudited) included in Part I, Item 1 of this Quarterly Report on Form 10-Q and in the fiscal 2003 Annual Report on Form 10-K under the "ITEM 1. BUSINESS - ENVIRONMENTAL AND REGULATORY CONSIDERATIONS" and "ITEM 3. LEGAL PROCEEDINGS" sections.</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FORWARD-LOOKING STATEMENTS</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We have made and will make "forward-looking statements" within the meaning of Section 27A of the Securities Act of 1933 and Section 21E of the Securities Exchange Act of 1934 in this Form 10-Q and in other contexts relating to future growth and profitability targets and strategies designed to increase total shareholder value. Forward-looking statements also include, but are not limited to, information regarding our future economic and financial condition, the plans and objectives of our management and our assumptions regarding our performance and these plans and objectives.</w:t>
      </w:r>
    </w:p>
    <w:p>
      <w:pPr>
        <w:spacing w:after="0" w:line="178" w:lineRule="exact"/>
        <w:rPr>
          <w:sz w:val="20"/>
          <w:szCs w:val="20"/>
          <w:color w:val="auto"/>
        </w:rPr>
      </w:pPr>
    </w:p>
    <w:p>
      <w:pPr>
        <w:ind w:left="10" w:right="3259" w:firstLine="353"/>
        <w:spacing w:after="0" w:line="238" w:lineRule="auto"/>
        <w:rPr>
          <w:sz w:val="20"/>
          <w:szCs w:val="20"/>
          <w:color w:val="auto"/>
        </w:rPr>
      </w:pPr>
      <w:r>
        <w:rPr>
          <w:rFonts w:ascii="Courier New" w:cs="Courier New" w:eastAsia="Courier New" w:hAnsi="Courier New"/>
          <w:sz w:val="15"/>
          <w:szCs w:val="15"/>
          <w:color w:val="auto"/>
        </w:rPr>
        <w:t>The Private Securities Litigation Reform Act of 1995 provides a "safe harbor" for forward-looking statements to encourage companies 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 We desire to take advantage of the "safe harbor" provisions of that Act.</w:t>
      </w:r>
    </w:p>
    <w:p>
      <w:pPr>
        <w:spacing w:after="0" w:line="177"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Some forward-looking statements that we make in this Form 10-Q and in other contexts represent challenging goals for the Company, and the achievement of these goals is subject to a variety of risks and assumptions and numerous factors beyond our control. Important factors that could cause actual results to differ materially from the forward-looking statements we make are described below. All forward-looking statements attributable to us or persons working on our behalf are expressly qualified in their entirety by the following cautionary statements.</w:t>
      </w:r>
    </w:p>
    <w:p>
      <w:pPr>
        <w:spacing w:after="0" w:line="178" w:lineRule="exact"/>
        <w:rPr>
          <w:sz w:val="20"/>
          <w:szCs w:val="20"/>
          <w:color w:val="auto"/>
        </w:rPr>
      </w:pPr>
    </w:p>
    <w:p>
      <w:pPr>
        <w:ind w:left="350" w:right="2999" w:hanging="350"/>
        <w:spacing w:after="0" w:line="235" w:lineRule="auto"/>
        <w:tabs>
          <w:tab w:leader="none" w:pos="173"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OUR SUBSTANTIAL INDEBTEDNESS COULD ADVERSELY AFFECT OUR FINANCIAL HEALTH AND PREVENT US FROM FULFILLING OUR OBLIGATIONS.</w:t>
      </w:r>
    </w:p>
    <w:p>
      <w:pPr>
        <w:spacing w:after="0" w:line="176" w:lineRule="exact"/>
        <w:rPr>
          <w:sz w:val="20"/>
          <w:szCs w:val="20"/>
          <w:color w:val="auto"/>
        </w:rPr>
      </w:pPr>
    </w:p>
    <w:p>
      <w:pPr>
        <w:ind w:left="10" w:right="3539" w:firstLine="353"/>
        <w:spacing w:after="0" w:line="235" w:lineRule="auto"/>
        <w:rPr>
          <w:sz w:val="20"/>
          <w:szCs w:val="20"/>
          <w:color w:val="auto"/>
        </w:rPr>
      </w:pPr>
      <w:r>
        <w:rPr>
          <w:rFonts w:ascii="Courier New" w:cs="Courier New" w:eastAsia="Courier New" w:hAnsi="Courier New"/>
          <w:sz w:val="15"/>
          <w:szCs w:val="15"/>
          <w:color w:val="auto"/>
        </w:rPr>
        <w:t>We have a significant amount of debt. Our substantial indebtedness could have important consequences. For example, it could:</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29"/>
          </w:cols>
          <w:pgMar w:left="230" w:top="627" w:right="1440" w:bottom="1440" w:gutter="0" w:footer="0" w:header="0"/>
        </w:sectPr>
      </w:pPr>
    </w:p>
    <w:bookmarkStart w:id="28" w:name="page29"/>
    <w:bookmarkEnd w:id="28"/>
    <w:p>
      <w:pPr>
        <w:ind w:left="700" w:right="4059" w:hanging="357"/>
        <w:spacing w:after="0" w:line="235" w:lineRule="auto"/>
        <w:tabs>
          <w:tab w:leader="none" w:pos="7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it more difficult for us to satisfy our obligations under outstanding indebtedness and otherwise;</w:t>
      </w:r>
    </w:p>
    <w:p>
      <w:pPr>
        <w:spacing w:after="0" w:line="175" w:lineRule="exact"/>
        <w:rPr>
          <w:rFonts w:ascii="Courier New" w:cs="Courier New" w:eastAsia="Courier New" w:hAnsi="Courier New"/>
          <w:sz w:val="15"/>
          <w:szCs w:val="15"/>
          <w:color w:val="auto"/>
        </w:rPr>
      </w:pPr>
    </w:p>
    <w:p>
      <w:pPr>
        <w:ind w:left="700" w:right="3619" w:hanging="357"/>
        <w:spacing w:after="0" w:line="235" w:lineRule="auto"/>
        <w:tabs>
          <w:tab w:leader="none" w:pos="7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our vulnerability to general adverse economic and industry conditions;</w:t>
      </w:r>
    </w:p>
    <w:p>
      <w:pPr>
        <w:spacing w:after="0" w:line="175" w:lineRule="exact"/>
        <w:rPr>
          <w:rFonts w:ascii="Courier New" w:cs="Courier New" w:eastAsia="Courier New" w:hAnsi="Courier New"/>
          <w:sz w:val="15"/>
          <w:szCs w:val="15"/>
          <w:color w:val="auto"/>
        </w:rPr>
      </w:pPr>
    </w:p>
    <w:p>
      <w:pPr>
        <w:ind w:left="700" w:right="3259" w:hanging="357"/>
        <w:spacing w:after="0" w:line="237" w:lineRule="auto"/>
        <w:tabs>
          <w:tab w:leader="none" w:pos="7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 us to dedicate a substantial portion of cash flows from operations to payments on our indebtedness, which would reduce the cash flows available to fund working capital, capital expenditures, advertising, research and development efforts and other general corporate requirements;</w:t>
      </w:r>
    </w:p>
    <w:p>
      <w:pPr>
        <w:spacing w:after="0" w:line="178" w:lineRule="exact"/>
        <w:rPr>
          <w:rFonts w:ascii="Courier New" w:cs="Courier New" w:eastAsia="Courier New" w:hAnsi="Courier New"/>
          <w:sz w:val="15"/>
          <w:szCs w:val="15"/>
          <w:color w:val="auto"/>
        </w:rPr>
      </w:pPr>
    </w:p>
    <w:p>
      <w:pPr>
        <w:ind w:left="700" w:right="3359" w:hanging="357"/>
        <w:spacing w:after="0" w:line="235" w:lineRule="auto"/>
        <w:tabs>
          <w:tab w:leader="none" w:pos="7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our flexibility in planning for, or reacting to, changes in our business and the industry in which we operate;</w:t>
      </w:r>
    </w:p>
    <w:p>
      <w:pPr>
        <w:spacing w:after="0" w:line="175" w:lineRule="exact"/>
        <w:rPr>
          <w:rFonts w:ascii="Courier New" w:cs="Courier New" w:eastAsia="Courier New" w:hAnsi="Courier New"/>
          <w:sz w:val="15"/>
          <w:szCs w:val="15"/>
          <w:color w:val="auto"/>
        </w:rPr>
      </w:pPr>
    </w:p>
    <w:p>
      <w:pPr>
        <w:ind w:left="700" w:right="3359" w:hanging="357"/>
        <w:spacing w:after="0" w:line="235" w:lineRule="auto"/>
        <w:tabs>
          <w:tab w:leader="none" w:pos="7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place us at a competitive disadvantage compared to certain competitors that may have less debt;</w:t>
      </w:r>
    </w:p>
    <w:p>
      <w:pPr>
        <w:spacing w:after="0" w:line="170" w:lineRule="exact"/>
        <w:rPr>
          <w:rFonts w:ascii="Courier New" w:cs="Courier New" w:eastAsia="Courier New" w:hAnsi="Courier New"/>
          <w:sz w:val="15"/>
          <w:szCs w:val="15"/>
          <w:color w:val="auto"/>
        </w:rPr>
      </w:pPr>
    </w:p>
    <w:p>
      <w:pPr>
        <w:ind w:left="700" w:hanging="357"/>
        <w:spacing w:after="0"/>
        <w:tabs>
          <w:tab w:leader="none" w:pos="7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our ability to borrow additional funds; and</w:t>
      </w:r>
    </w:p>
    <w:p>
      <w:pPr>
        <w:spacing w:after="0" w:line="174" w:lineRule="exact"/>
        <w:rPr>
          <w:rFonts w:ascii="Courier New" w:cs="Courier New" w:eastAsia="Courier New" w:hAnsi="Courier New"/>
          <w:sz w:val="15"/>
          <w:szCs w:val="15"/>
          <w:color w:val="auto"/>
        </w:rPr>
      </w:pPr>
    </w:p>
    <w:p>
      <w:pPr>
        <w:ind w:left="700" w:right="3259" w:hanging="357"/>
        <w:spacing w:after="0" w:line="260" w:lineRule="auto"/>
        <w:tabs>
          <w:tab w:leader="none" w:pos="70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expose us to risks inherent in interest rate fluctuations because some of our borrowings are at variable rates of interest, which could result in higher interest expense in the event of increases in interest rates.</w:t>
      </w:r>
    </w:p>
    <w:p>
      <w:pPr>
        <w:spacing w:after="0" w:line="163"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Our ability to make payments on and to refinance our indebtedness and to fund planned capital expenditures and acquisitions will depend on our ability to generate cash in the future. This, to some extent, is subject to general economic, financial, competitive, legislative, regulatory and other factors that are beyond our control.</w:t>
      </w:r>
    </w:p>
    <w:p>
      <w:pPr>
        <w:spacing w:after="0" w:line="178"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We cannot assure you that our business will generate sufficient cash flow from operating activities or that future borrowings will be available to us under our New Credit Agreement in amounts sufficient to enable us to pay our indebtedness or to fund our other liquidity needs. We may need to refinance all or a portion of our indebtedness, on or before maturity. We cannot assure you that we will be able to refinance any of our indebtedness on commercially reasonable terms or at all.</w:t>
      </w:r>
    </w:p>
    <w:p>
      <w:pPr>
        <w:spacing w:after="0" w:line="171"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RESTRICTIVE COVENANTS MAY ADVERSELY AFFECT US.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Our New Credit Agreement and the indenture governing our outstanding 6 5/8% Notes contain restrictive covenants and cross default provisions that require us to maintain specified financial ratios. Our ability to satisfy those financial ratios can be affected by events beyond our control, and we cannot assure you that we will satisfy those tests. A breach of any of these covenants could result in a default under our New Credit Agreement and/or our outstanding 6 5/8% Notes. Upon the occurrence of an event of default under our New Credit Agreement and/or the 6 5/8% Notes, the lenders and/or noteholders could elect to declare the applicable outstanding indebtedness to be immediately due and payable and terminate all commitments to extend further credit. We cannot be sure that our lenders or the noteholders would waive a default or that we could pay the indebtedness in full if it were accelerated.</w:t>
      </w:r>
    </w:p>
    <w:p>
      <w:pPr>
        <w:spacing w:after="0" w:line="176"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ADVERSE WEATHER CONDITIONS COULD ADVERSELY IMPACT FINANCIAL RESULTS.</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Weather conditions in North America and Europe have a significant impact on the timing of sales in the spring selling season and overall annual sales. An abnormally cold or wet spring throughout North America and/or Europe could adversely affect sales and therefore our financial results.</w:t>
      </w:r>
    </w:p>
    <w:p>
      <w:pPr>
        <w:sectPr>
          <w:pgSz w:w="11900" w:h="16838" w:orient="portrait"/>
          <w:cols w:equalWidth="0" w:num="1">
            <w:col w:w="10219"/>
          </w:cols>
          <w:pgMar w:left="240" w:top="627" w:right="1440" w:bottom="1440" w:gutter="0" w:footer="0" w:header="0"/>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right="3079" w:firstLine="176"/>
        <w:spacing w:after="0" w:line="235" w:lineRule="auto"/>
        <w:rPr>
          <w:sz w:val="20"/>
          <w:szCs w:val="20"/>
          <w:color w:val="auto"/>
        </w:rPr>
      </w:pPr>
      <w:r>
        <w:rPr>
          <w:rFonts w:ascii="Courier New" w:cs="Courier New" w:eastAsia="Courier New" w:hAnsi="Courier New"/>
          <w:sz w:val="15"/>
          <w:szCs w:val="15"/>
          <w:color w:val="auto"/>
        </w:rPr>
        <w:t>OUR HISTORICAL SEASONALITY COULD IMPAIR OUR ABILITY TO PAY OBLIGATIONS AS THEY COME DUE IN ADDITION TO OUR OPERATING EXPENSES.</w:t>
      </w:r>
    </w:p>
    <w:p>
      <w:pPr>
        <w:spacing w:after="0" w:line="176" w:lineRule="exact"/>
        <w:rPr>
          <w:sz w:val="20"/>
          <w:szCs w:val="20"/>
          <w:color w:val="auto"/>
        </w:rPr>
      </w:pPr>
    </w:p>
    <w:p>
      <w:pPr>
        <w:sectPr>
          <w:pgSz w:w="11900" w:h="16838" w:orient="portrait"/>
          <w:cols w:equalWidth="0" w:num="2">
            <w:col w:w="260" w:space="80"/>
            <w:col w:w="9879"/>
          </w:cols>
          <w:pgMar w:left="240" w:top="627" w:right="1440" w:bottom="1440" w:gutter="0" w:footer="0" w:header="0"/>
          <w:type w:val="continuous"/>
        </w:sectPr>
      </w:pPr>
    </w:p>
    <w:p>
      <w:pPr>
        <w:ind w:right="3179" w:firstLine="353"/>
        <w:spacing w:after="0" w:line="238" w:lineRule="auto"/>
        <w:rPr>
          <w:sz w:val="20"/>
          <w:szCs w:val="20"/>
          <w:color w:val="auto"/>
        </w:rPr>
      </w:pPr>
      <w:r>
        <w:rPr>
          <w:rFonts w:ascii="Courier New" w:cs="Courier New" w:eastAsia="Courier New" w:hAnsi="Courier New"/>
          <w:sz w:val="15"/>
          <w:szCs w:val="15"/>
          <w:color w:val="auto"/>
        </w:rPr>
        <w:t>Because our products are used primarily in the spring and summer, our business is highly seasonal. For the past two fiscal years, more than 70% of our net sales have occurred in the second and third fiscal quarters combined. Our working capital needs and our borrowings peak near the middle of our second fiscal quarter because we are generating fewer revenues while incurring expenditures and building inventories in preparation for the spring selling season. If cash on hand is insufficient to pay our obligations as they come due, including interest payments on our indebtedness, or our operating expenses, at a time when we are unable to draw on our credit facility, this seasonality could have a material adverse effect on our ability to conduct our business. Adverse weather conditions could heighten this risk.</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27" w:right="1440" w:bottom="1440" w:gutter="0" w:footer="0" w:header="0"/>
          <w:type w:val="continuous"/>
        </w:sectPr>
      </w:pPr>
    </w:p>
    <w:bookmarkStart w:id="29" w:name="page30"/>
    <w:bookmarkEnd w:id="29"/>
    <w:p>
      <w:pPr>
        <w:ind w:left="10" w:right="3699" w:hanging="10"/>
        <w:spacing w:after="0" w:line="235" w:lineRule="auto"/>
        <w:tabs>
          <w:tab w:leader="none" w:pos="18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PERCEPTIONS THAT THE PRODUCTS WE PRODUCE AND MARKET ARE NOT SAFE COULD ADVERSELY AFFECT US.</w:t>
      </w:r>
    </w:p>
    <w:p>
      <w:pPr>
        <w:spacing w:after="0" w:line="176"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We manufacture and market a number of complex chemical products, such as fertilizers, growing media, herbicides and pesticides, bearing one of our brand names. On occasion, allegations are made that some of our products have failed to perform up to expectations or have caused damage or injury to individuals or property. Based on reports of contamination at a third party supplier's vermiculite mine, the public may perceive that some of our products manufactured in the past using vermiculite are or may also be contaminated. Public perception that our products are not safe, whether justified or not, could impair reputation, involve us in litigation, damage our brand names and have a material adverse affect our business.</w:t>
      </w:r>
    </w:p>
    <w:p>
      <w:pPr>
        <w:spacing w:after="0" w:line="180" w:lineRule="exact"/>
        <w:rPr>
          <w:sz w:val="20"/>
          <w:szCs w:val="20"/>
          <w:color w:val="auto"/>
        </w:rPr>
      </w:pPr>
    </w:p>
    <w:p>
      <w:pPr>
        <w:ind w:left="350" w:right="2999" w:hanging="350"/>
        <w:spacing w:after="0" w:line="235" w:lineRule="auto"/>
        <w:tabs>
          <w:tab w:leader="none" w:pos="173"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NATURE OF CERTAIN OF OUR PRODUCTS AND OUR BUSINESS SUCCESS CONTRIBUTE TO THE RISK THAT THE COMPANY WILL BE SUBJECTED TO LAWSUITS.</w:t>
      </w:r>
    </w:p>
    <w:p>
      <w:pPr>
        <w:spacing w:after="0" w:line="176" w:lineRule="exact"/>
        <w:rPr>
          <w:sz w:val="20"/>
          <w:szCs w:val="20"/>
          <w:color w:val="auto"/>
        </w:rPr>
      </w:pPr>
    </w:p>
    <w:p>
      <w:pPr>
        <w:jc w:val="both"/>
        <w:ind w:left="10" w:right="3179" w:firstLine="353"/>
        <w:spacing w:after="0" w:line="237" w:lineRule="auto"/>
        <w:rPr>
          <w:sz w:val="20"/>
          <w:szCs w:val="20"/>
          <w:color w:val="auto"/>
        </w:rPr>
      </w:pPr>
      <w:r>
        <w:rPr>
          <w:rFonts w:ascii="Courier New" w:cs="Courier New" w:eastAsia="Courier New" w:hAnsi="Courier New"/>
          <w:sz w:val="15"/>
          <w:szCs w:val="15"/>
          <w:color w:val="auto"/>
        </w:rPr>
        <w:t>The nature of certain of our products and our business success contribute to the risk that the Company will be subjected to lawsuits. The following are among the factors that contribute to this litigation risk:</w:t>
      </w:r>
    </w:p>
    <w:p>
      <w:pPr>
        <w:spacing w:after="0" w:line="175" w:lineRule="exact"/>
        <w:rPr>
          <w:sz w:val="20"/>
          <w:szCs w:val="20"/>
          <w:color w:val="auto"/>
        </w:rPr>
      </w:pPr>
    </w:p>
    <w:p>
      <w:pPr>
        <w:ind w:left="710" w:right="3179" w:hanging="357"/>
        <w:spacing w:after="0" w:line="238" w:lineRule="auto"/>
        <w:tabs>
          <w:tab w:leader="none" w:pos="71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manufacture and market a number of complex chemical products bearing our brand names, including fertilizers, growing media, herbicides and pesticides. There is a portion of the population that perceives all chemical products as potentially hazardous. This perception, regardless of its merits, enhances the risk that the Company will be subjected to product liability claims that allege harm from exposure to our products. Product liability claims are brought against the Company from time to time.</w:t>
      </w:r>
    </w:p>
    <w:p>
      <w:pPr>
        <w:spacing w:after="0" w:line="177" w:lineRule="exact"/>
        <w:rPr>
          <w:rFonts w:ascii="Courier New" w:cs="Courier New" w:eastAsia="Courier New" w:hAnsi="Courier New"/>
          <w:sz w:val="15"/>
          <w:szCs w:val="15"/>
          <w:color w:val="auto"/>
        </w:rPr>
      </w:pPr>
    </w:p>
    <w:p>
      <w:pPr>
        <w:ind w:left="710" w:right="3439" w:hanging="357"/>
        <w:spacing w:after="0" w:line="238" w:lineRule="auto"/>
        <w:tabs>
          <w:tab w:leader="none" w:pos="71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third party vendor supplied contaminated vermiculite ore to the Company. Although our use of vermiculite ore from the contaminated source ended over twenty years ago, our former relationship with this supplier enhances the risk that the Company will be subjected to personal injury and product liability claims relating to the use of vermiculite in some of our products.</w:t>
      </w:r>
    </w:p>
    <w:p>
      <w:pPr>
        <w:spacing w:after="0" w:line="175" w:lineRule="exact"/>
        <w:rPr>
          <w:rFonts w:ascii="Courier New" w:cs="Courier New" w:eastAsia="Courier New" w:hAnsi="Courier New"/>
          <w:sz w:val="15"/>
          <w:szCs w:val="15"/>
          <w:color w:val="auto"/>
        </w:rPr>
      </w:pPr>
    </w:p>
    <w:p>
      <w:pPr>
        <w:ind w:left="710" w:right="3359" w:hanging="357"/>
        <w:spacing w:after="0" w:line="258" w:lineRule="auto"/>
        <w:tabs>
          <w:tab w:leader="none" w:pos="71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are a significant competitor in many of the markets in which we compete. Our success in our markets enhances the risk that the Company will be targeted by plaintiffs' lawyers, consumer groups, competitors and others asserting antitrust claims. Antitrust claims are brought against the Company from time to time. The Company believes that the antitrust claims of which it is aware are without merit.</w:t>
      </w:r>
    </w:p>
    <w:p>
      <w:pPr>
        <w:spacing w:after="0" w:line="164"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Please see Note 8 to the Condensed, Consolidated Financial Statements (unaudited) included in Part I, Item 1 of this Quarterly Report on Form 10-Q and the disclosures under Part II, Item 1 "Legal Proceedings" of this Quarterly Report Form 10-Q for information concerning certain significant lawsuits and claims involving the Company.</w:t>
      </w:r>
    </w:p>
    <w:p>
      <w:pPr>
        <w:spacing w:after="0" w:line="178" w:lineRule="exact"/>
        <w:rPr>
          <w:sz w:val="20"/>
          <w:szCs w:val="20"/>
          <w:color w:val="auto"/>
        </w:rPr>
      </w:pPr>
    </w:p>
    <w:p>
      <w:pPr>
        <w:ind w:left="350" w:right="3439" w:hanging="350"/>
        <w:spacing w:after="0" w:line="237" w:lineRule="auto"/>
        <w:tabs>
          <w:tab w:leader="none" w:pos="173"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BECAUSE OF THE CONCENTRATION OF OUR SALES TO A SMALL NUMBER OF RETAIL CUSTOMERS, THE LOSS OF ONE OR MORE OF, OR SIGNIFICANT DECLINE IN ORDERS FROM, OUR TOP CUSTOMERS COULD ADVERSELY AFFECT OUR RESULTS OF OPERATIONS, FINANCIAL POSITION OR CASH FLOWS.</w:t>
      </w:r>
    </w:p>
    <w:p>
      <w:pPr>
        <w:spacing w:after="0" w:line="176"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North America net sales represent approximately 74% of our worldwide net sales. Our top three North American retail customers together accounted for 69% of our North American fiscal 2003 net sales and 79% of our outstanding accounts receivable as of September 30, 2003. Home Depot, Wal-Mart and Lowe's represented approximately 37%, 19% and 13%, respectively, of our fiscal 2003 North American net sales. The loss of, or reduction in orders from, Home Depot, Wal-Mart and Lowe's or any other significant customer could have a material adverse effect on our results of operations, financial position or cash flows, as could customer disputes regarding shipments, fees, merchandise condition or related matters. Our inability to collect accounts receivable from any of these customers could also have a material adverse effect.</w:t>
      </w:r>
    </w:p>
    <w:p>
      <w:pPr>
        <w:spacing w:after="0" w:line="181" w:lineRule="exact"/>
        <w:rPr>
          <w:sz w:val="20"/>
          <w:szCs w:val="20"/>
          <w:color w:val="auto"/>
        </w:rPr>
      </w:pPr>
    </w:p>
    <w:p>
      <w:pPr>
        <w:ind w:left="10" w:right="3179" w:firstLine="353"/>
        <w:spacing w:after="0" w:line="257" w:lineRule="auto"/>
        <w:rPr>
          <w:sz w:val="20"/>
          <w:szCs w:val="20"/>
          <w:color w:val="auto"/>
        </w:rPr>
      </w:pPr>
      <w:r>
        <w:rPr>
          <w:rFonts w:ascii="Courier New" w:cs="Courier New" w:eastAsia="Courier New" w:hAnsi="Courier New"/>
          <w:sz w:val="14"/>
          <w:szCs w:val="14"/>
          <w:color w:val="auto"/>
        </w:rPr>
        <w:t>We do not have long-term sales agreements or other contractual assurances as to future sales to any of our major retail customers. In addition, continued consolidation in the retail industry has resulted in an increasingly concentrated retail base. To the extent such concentration continues to occur, our results of operations, financial position or cash flows may be increasingly sensitive to a deterioration in the financial condition of, or other adverse developments involving our relationship with, one or more customers.</w:t>
      </w:r>
    </w:p>
    <w:p>
      <w:pPr>
        <w:spacing w:after="0" w:line="16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29"/>
          </w:cols>
          <w:pgMar w:left="230" w:top="966" w:right="1440" w:bottom="1440" w:gutter="0" w:footer="0" w:header="0"/>
        </w:sectPr>
      </w:pPr>
    </w:p>
    <w:bookmarkStart w:id="30" w:name="page31"/>
    <w:bookmarkEnd w:id="30"/>
    <w:p>
      <w:pPr>
        <w:ind w:left="350" w:right="3539" w:hanging="350"/>
        <w:spacing w:after="0" w:line="235" w:lineRule="auto"/>
        <w:tabs>
          <w:tab w:leader="none" w:pos="173"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HIGHLY COMPETITIVE NATURE OF THE COMPANY'S MARKETS COULD ADVERSELY AFFECT THE ABILITY OF THE COMPANY TO GROW OR MAINTAIN REVENUES.</w:t>
      </w:r>
    </w:p>
    <w:p>
      <w:pPr>
        <w:spacing w:after="0" w:line="176"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Each of our segments participates in markets that are highly competitive. Many of our competitors sell their products at prices lower than ours, and we compete primarily on the basis of product quality, product performance, value, brand strength, supply chain competency and advertising. Some of our competitors have significant financial resources and research departments. The strong competition that we face in all of our markets may prevent us from achieving our revenue goals, which may have a material adverse effect on our results of operations, financial position or cash flows.</w:t>
      </w:r>
    </w:p>
    <w:p>
      <w:pPr>
        <w:spacing w:after="0" w:line="178" w:lineRule="exact"/>
        <w:rPr>
          <w:sz w:val="20"/>
          <w:szCs w:val="20"/>
          <w:color w:val="auto"/>
        </w:rPr>
      </w:pPr>
    </w:p>
    <w:p>
      <w:pPr>
        <w:ind w:left="350" w:right="3439" w:hanging="350"/>
        <w:spacing w:after="0" w:line="237" w:lineRule="auto"/>
        <w:tabs>
          <w:tab w:leader="none" w:pos="173"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IF MONSANTO WERE TO TERMINATE THE MARKETING AGREEMENT FOR CONSUMER ROUNDUP(R) PRODUCTS WITHOUT BEING REQUIRED TO PAY ANY TERMINATION FEE, WE WOULD LOSE A SUBSTANTIAL SOURCE OF FUTURE EARNINGS.</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If we were to commit a serious default under the marketing agreement with Monsanto for consumer Roundup(R) products, Monsanto may have the right to terminate the agreement. If Monsanto were to terminate the marketing agreement for cause, we would not be entitled to any termination fee, and we would lose all, or a significant portion, of this significant source of earnings and overhead expense absorption the marketing agreement provides. Monsanto may also be able to terminate the marketing agreement within a given region, including North America, without paying us a termination fee if sales to consumers in that region decline:</w:t>
      </w:r>
    </w:p>
    <w:p>
      <w:pPr>
        <w:spacing w:after="0" w:line="173" w:lineRule="exact"/>
        <w:rPr>
          <w:sz w:val="20"/>
          <w:szCs w:val="20"/>
          <w:color w:val="auto"/>
        </w:rPr>
      </w:pPr>
    </w:p>
    <w:p>
      <w:pPr>
        <w:ind w:left="710" w:hanging="357"/>
        <w:spacing w:after="0"/>
        <w:tabs>
          <w:tab w:leader="none" w:pos="710"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 a cumulative three fiscal year period; or</w:t>
      </w:r>
    </w:p>
    <w:p>
      <w:pPr>
        <w:spacing w:after="0" w:line="169" w:lineRule="exact"/>
        <w:rPr>
          <w:rFonts w:ascii="Courier New" w:cs="Courier New" w:eastAsia="Courier New" w:hAnsi="Courier New"/>
          <w:sz w:val="15"/>
          <w:szCs w:val="15"/>
          <w:color w:val="auto"/>
        </w:rPr>
      </w:pPr>
    </w:p>
    <w:p>
      <w:pPr>
        <w:ind w:left="710" w:hanging="357"/>
        <w:spacing w:after="0"/>
        <w:tabs>
          <w:tab w:leader="none" w:pos="710"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more than 5% for each of two consecutive fiscal years.</w:t>
      </w:r>
    </w:p>
    <w:p>
      <w:pPr>
        <w:spacing w:after="0" w:line="174" w:lineRule="exact"/>
        <w:rPr>
          <w:rFonts w:ascii="Courier New" w:cs="Courier New" w:eastAsia="Courier New" w:hAnsi="Courier New"/>
          <w:sz w:val="15"/>
          <w:szCs w:val="15"/>
          <w:color w:val="auto"/>
        </w:rPr>
      </w:pPr>
    </w:p>
    <w:p>
      <w:pPr>
        <w:ind w:left="350" w:right="3259" w:hanging="350"/>
        <w:spacing w:after="0" w:line="235" w:lineRule="auto"/>
        <w:tabs>
          <w:tab w:leader="none" w:pos="173"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HAGEDORN PARTNERSHIP, L.P. BENEFICIALLY OWNS APPROXIMATELY 34% OF OUR OUTSTANDING COMMON SHARES ON A FULLY DILUTED BASIS.</w:t>
      </w:r>
    </w:p>
    <w:p>
      <w:pPr>
        <w:spacing w:after="0" w:line="176" w:lineRule="exact"/>
        <w:rPr>
          <w:sz w:val="20"/>
          <w:szCs w:val="20"/>
          <w:color w:val="auto"/>
        </w:rPr>
      </w:pPr>
    </w:p>
    <w:p>
      <w:pPr>
        <w:ind w:left="10" w:right="3259" w:firstLine="353"/>
        <w:spacing w:after="0" w:line="237" w:lineRule="auto"/>
        <w:rPr>
          <w:sz w:val="20"/>
          <w:szCs w:val="20"/>
          <w:color w:val="auto"/>
        </w:rPr>
      </w:pPr>
      <w:r>
        <w:rPr>
          <w:rFonts w:ascii="Courier New" w:cs="Courier New" w:eastAsia="Courier New" w:hAnsi="Courier New"/>
          <w:sz w:val="15"/>
          <w:szCs w:val="15"/>
          <w:color w:val="auto"/>
        </w:rPr>
        <w:t>The Hagedorn Partnership, L.P. beneficially owns approximately 34% of our outstanding common shares and has sufficient voting power to significantly influence the election of directors and the approval of other actions requiring the approval of our shareholders.</w:t>
      </w:r>
    </w:p>
    <w:p>
      <w:pPr>
        <w:spacing w:after="0" w:line="176" w:lineRule="exact"/>
        <w:rPr>
          <w:sz w:val="20"/>
          <w:szCs w:val="20"/>
          <w:color w:val="auto"/>
        </w:rPr>
      </w:pPr>
    </w:p>
    <w:p>
      <w:pPr>
        <w:ind w:left="350" w:right="3439" w:hanging="350"/>
        <w:spacing w:after="0" w:line="235" w:lineRule="auto"/>
        <w:tabs>
          <w:tab w:leader="none" w:pos="173"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COMPLIANCE WITH ENVIRONMENTAL AND OTHER PUBLIC HEALTH REGULATIONS COULD INCREASE OUR COST OF DOING BUSINESS.</w:t>
      </w:r>
    </w:p>
    <w:p>
      <w:pPr>
        <w:spacing w:after="0" w:line="176"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Local, state, federal and foreign laws and regulations relating to environmental matters affect us in several ways. In the United States, all products containing pesticides must be registered with the United States Environmental Protection Agency ("U.S. EPA") and, in many cases, similar state agencies before they can be sold. The inability to obtain or the cancellation of any registration could have an adverse effect on our business. The severity of the effect would depend on which products were involved, whether another product could be substituted and whether our competitors were similarly affected. We attempt to anticipate regulatory developments and maintain registrations of, and access to, substitute chemicals. We may not always be able to avoid or minimize these risks.</w:t>
      </w:r>
    </w:p>
    <w:p>
      <w:pPr>
        <w:spacing w:after="0" w:line="181" w:lineRule="exact"/>
        <w:rPr>
          <w:sz w:val="20"/>
          <w:szCs w:val="20"/>
          <w:color w:val="auto"/>
        </w:rPr>
      </w:pPr>
    </w:p>
    <w:p>
      <w:pPr>
        <w:ind w:left="10" w:right="3179" w:firstLine="353"/>
        <w:spacing w:after="0" w:line="257" w:lineRule="auto"/>
        <w:rPr>
          <w:sz w:val="20"/>
          <w:szCs w:val="20"/>
          <w:color w:val="auto"/>
        </w:rPr>
      </w:pPr>
      <w:r>
        <w:rPr>
          <w:rFonts w:ascii="Courier New" w:cs="Courier New" w:eastAsia="Courier New" w:hAnsi="Courier New"/>
          <w:sz w:val="14"/>
          <w:szCs w:val="14"/>
          <w:color w:val="auto"/>
        </w:rPr>
        <w:t>The Food Quality Protection Act, enacted by the U.S. Congress in August 1996, established the following standard for food-use pesticides: a reasonable certainty of no harm will result from the cumulative effect of pesticide exposures. Under this act, the U.S. EPA is evaluating the cumulative risks from dietary and non-dietary exposures to pesticides. The pesticides in our products, certain of which may be used on crops processed into various food products, continue to be evaluated by the U.S. EPA as part of this exposure risk assessment. It is possible that the U.S. EPA or a third party active ingredient registrant may decide that a pesticide we use in our products will be limited or made unavailable to us. For example, in June 2000, DowAgroSciences, an active ingredient registrant, voluntarily agreed to a gradual phase-out of residential uses of chlorpyrifos, an active ingredient that was used in certain of our lawn and garden products. In December 2000, the U.S. EPA reached agreement with various parties, including manufacturers, regarding a phased withdrawal from retailers by December 2004 of residential use products containing diazinon, an active ingredient used in certain of our lawn and garden products. We cannot predict the outcome or the severity of the effect of the U.S. EPA's continuing evaluations of active ingredients used in our products.</w:t>
      </w:r>
    </w:p>
    <w:p>
      <w:pPr>
        <w:spacing w:after="0" w:line="333"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The use of certain pesticide and fertilizer products is regulated by various local, state, federal and foreign environmental and public health agencies. Regulations regarding the use of some pesticide and fertilizer products may include requirements that only certified or professional users apply the product, that the products be used only in specified locations or that certain ingredients not be used. Users may be required to post notices on properties to which products have been or will be applied and may be required to notify individuals</w:t>
      </w:r>
    </w:p>
    <w:p>
      <w:pPr>
        <w:spacing w:after="0" w:line="17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29"/>
          </w:cols>
          <w:pgMar w:left="230" w:top="966" w:right="1440" w:bottom="1440" w:gutter="0" w:footer="0" w:header="0"/>
        </w:sectPr>
      </w:pPr>
    </w:p>
    <w:bookmarkStart w:id="31" w:name="page32"/>
    <w:bookmarkEnd w:id="31"/>
    <w:p>
      <w:pPr>
        <w:ind w:left="10"/>
        <w:spacing w:after="0"/>
        <w:rPr>
          <w:sz w:val="20"/>
          <w:szCs w:val="20"/>
          <w:color w:val="auto"/>
        </w:rPr>
      </w:pPr>
      <w:r>
        <w:rPr>
          <w:rFonts w:ascii="Courier New" w:cs="Courier New" w:eastAsia="Courier New" w:hAnsi="Courier New"/>
          <w:sz w:val="15"/>
          <w:szCs w:val="15"/>
          <w:color w:val="auto"/>
        </w:rPr>
        <w:t>in the vicinity that products will be applied in the future. Even if</w:t>
      </w:r>
    </w:p>
    <w:p>
      <w:pPr>
        <w:spacing w:after="0" w:line="5" w:lineRule="exact"/>
        <w:rPr>
          <w:sz w:val="20"/>
          <w:szCs w:val="20"/>
          <w:color w:val="auto"/>
        </w:rPr>
      </w:pPr>
    </w:p>
    <w:p>
      <w:pPr>
        <w:ind w:left="10" w:right="3359"/>
        <w:spacing w:after="0" w:line="238" w:lineRule="auto"/>
        <w:rPr>
          <w:sz w:val="20"/>
          <w:szCs w:val="20"/>
          <w:color w:val="auto"/>
        </w:rPr>
      </w:pPr>
      <w:r>
        <w:rPr>
          <w:rFonts w:ascii="Courier New" w:cs="Courier New" w:eastAsia="Courier New" w:hAnsi="Courier New"/>
          <w:sz w:val="15"/>
          <w:szCs w:val="15"/>
          <w:color w:val="auto"/>
        </w:rPr>
        <w:t>we are able to comply with all such regulations and obtain all necessary registrations, we cannot assure you that our products, particularly pesticide products, will not cause injury to the environment or to people under all circumstances. The costs of compliance, remediation or products liability have adversely affected results of operations, financial position and cash flows in the past and could do so again in the future.</w:t>
      </w:r>
    </w:p>
    <w:p>
      <w:pPr>
        <w:spacing w:after="0" w:line="176" w:lineRule="exact"/>
        <w:rPr>
          <w:sz w:val="20"/>
          <w:szCs w:val="20"/>
          <w:color w:val="auto"/>
        </w:rPr>
      </w:pPr>
    </w:p>
    <w:p>
      <w:pPr>
        <w:ind w:left="10" w:right="3359" w:firstLine="353"/>
        <w:spacing w:after="0" w:line="238" w:lineRule="auto"/>
        <w:rPr>
          <w:sz w:val="20"/>
          <w:szCs w:val="20"/>
          <w:color w:val="auto"/>
        </w:rPr>
      </w:pPr>
      <w:r>
        <w:rPr>
          <w:rFonts w:ascii="Courier New" w:cs="Courier New" w:eastAsia="Courier New" w:hAnsi="Courier New"/>
          <w:sz w:val="15"/>
          <w:szCs w:val="15"/>
          <w:color w:val="auto"/>
        </w:rPr>
        <w:t>The harvesting of peat for our growing media business has come under increasing regulatory and environmental scrutiny. In the United States, state regulations frequently require us to limit our harvesting and to restore the property to an agreed-upon condition. In some locations, we have been required to create water retention ponds to control the sediment content of discharged water.</w:t>
      </w:r>
    </w:p>
    <w:p>
      <w:pPr>
        <w:spacing w:after="0" w:line="176" w:lineRule="exact"/>
        <w:rPr>
          <w:sz w:val="20"/>
          <w:szCs w:val="20"/>
          <w:color w:val="auto"/>
        </w:rPr>
      </w:pPr>
    </w:p>
    <w:p>
      <w:pPr>
        <w:ind w:left="10" w:right="3259" w:firstLine="353"/>
        <w:spacing w:after="0" w:line="238" w:lineRule="auto"/>
        <w:rPr>
          <w:sz w:val="20"/>
          <w:szCs w:val="20"/>
          <w:color w:val="auto"/>
        </w:rPr>
      </w:pPr>
      <w:r>
        <w:rPr>
          <w:rFonts w:ascii="Courier New" w:cs="Courier New" w:eastAsia="Courier New" w:hAnsi="Courier New"/>
          <w:sz w:val="15"/>
          <w:szCs w:val="15"/>
          <w:color w:val="auto"/>
        </w:rPr>
        <w:t>In addition to the regulations already described, local, state, federal and foreign agencies regulate the disposal, handling and storage of waste, air and water discharges from our facilities. In June 1997, the Ohio Environmental Protection Agency ("Ohio EPA") initiated an enforcement action against us with respect to alleged surface water violations and inadequate treatment capabilities at our Marysville facility and is seeking corrective action under the Resource Conservation Recovery Act. We have met with the Ohio EPA and the Ohio Attorney General's office to negotiate an amicable resolution of these issues. On December 3, 2001, an agreed judicial Consent Order was submitted to the Union County Common Pleas Court and was entered by the court on January 25, 2002.</w:t>
      </w:r>
    </w:p>
    <w:p>
      <w:pPr>
        <w:spacing w:after="0" w:line="181" w:lineRule="exact"/>
        <w:rPr>
          <w:sz w:val="20"/>
          <w:szCs w:val="20"/>
          <w:color w:val="auto"/>
        </w:rPr>
      </w:pPr>
    </w:p>
    <w:p>
      <w:pPr>
        <w:ind w:left="10" w:right="3259" w:firstLine="353"/>
        <w:spacing w:after="0" w:line="237" w:lineRule="auto"/>
        <w:rPr>
          <w:sz w:val="20"/>
          <w:szCs w:val="20"/>
          <w:color w:val="auto"/>
        </w:rPr>
      </w:pPr>
      <w:r>
        <w:rPr>
          <w:rFonts w:ascii="Courier New" w:cs="Courier New" w:eastAsia="Courier New" w:hAnsi="Courier New"/>
          <w:sz w:val="15"/>
          <w:szCs w:val="15"/>
          <w:color w:val="auto"/>
        </w:rPr>
        <w:t>In fiscal 2003, we made $1.5 million in environmental expenditures compared with approximately $0.3 million in environmental capital expenditures and $5.4 million in other environmental expenses in fiscal 2002. We expect spending on environmental matters in fiscal 2004 will not vary materially from the amounts spent in fiscal 2003.</w:t>
      </w:r>
    </w:p>
    <w:p>
      <w:pPr>
        <w:spacing w:after="0" w:line="178" w:lineRule="exact"/>
        <w:rPr>
          <w:sz w:val="20"/>
          <w:szCs w:val="20"/>
          <w:color w:val="auto"/>
        </w:rPr>
      </w:pPr>
    </w:p>
    <w:p>
      <w:pPr>
        <w:ind w:left="10" w:right="3539" w:firstLine="353"/>
        <w:spacing w:after="0" w:line="237" w:lineRule="auto"/>
        <w:rPr>
          <w:sz w:val="20"/>
          <w:szCs w:val="20"/>
          <w:color w:val="auto"/>
        </w:rPr>
      </w:pPr>
      <w:r>
        <w:rPr>
          <w:rFonts w:ascii="Courier New" w:cs="Courier New" w:eastAsia="Courier New" w:hAnsi="Courier New"/>
          <w:sz w:val="15"/>
          <w:szCs w:val="15"/>
          <w:color w:val="auto"/>
        </w:rPr>
        <w:t>The adequacy of these estimated future expenditures is based on our operating in substantial compliance with applicable environmental and public health laws and regulations and several significant assumptions:</w:t>
      </w:r>
    </w:p>
    <w:p>
      <w:pPr>
        <w:spacing w:after="0" w:line="175" w:lineRule="exact"/>
        <w:rPr>
          <w:sz w:val="20"/>
          <w:szCs w:val="20"/>
          <w:color w:val="auto"/>
        </w:rPr>
      </w:pPr>
    </w:p>
    <w:p>
      <w:pPr>
        <w:ind w:left="790" w:right="3699" w:hanging="437"/>
        <w:spacing w:after="0" w:line="235" w:lineRule="auto"/>
        <w:tabs>
          <w:tab w:leader="none" w:pos="79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we have identified all of the significant sites that must be remediated;</w:t>
      </w:r>
    </w:p>
    <w:p>
      <w:pPr>
        <w:spacing w:after="0" w:line="175" w:lineRule="exact"/>
        <w:rPr>
          <w:rFonts w:ascii="Courier New" w:cs="Courier New" w:eastAsia="Courier New" w:hAnsi="Courier New"/>
          <w:sz w:val="15"/>
          <w:szCs w:val="15"/>
          <w:color w:val="auto"/>
        </w:rPr>
      </w:pPr>
    </w:p>
    <w:p>
      <w:pPr>
        <w:ind w:left="790" w:right="3539" w:hanging="437"/>
        <w:spacing w:after="0" w:line="235" w:lineRule="auto"/>
        <w:tabs>
          <w:tab w:leader="none" w:pos="79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there are no significant conditions of potential contamination that are unknown to us; and</w:t>
      </w:r>
    </w:p>
    <w:p>
      <w:pPr>
        <w:spacing w:after="0" w:line="175" w:lineRule="exact"/>
        <w:rPr>
          <w:rFonts w:ascii="Courier New" w:cs="Courier New" w:eastAsia="Courier New" w:hAnsi="Courier New"/>
          <w:sz w:val="15"/>
          <w:szCs w:val="15"/>
          <w:color w:val="auto"/>
        </w:rPr>
      </w:pPr>
    </w:p>
    <w:p>
      <w:pPr>
        <w:ind w:left="790" w:right="3439" w:hanging="437"/>
        <w:spacing w:after="0" w:line="237" w:lineRule="auto"/>
        <w:tabs>
          <w:tab w:leader="none" w:pos="79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with respect to the agreed judicial Consent Order in Ohio, that potentially contaminated soil can be remediated in place rather than having to be removed and only specific stream segments will require remediation as opposed to the entire stream.</w:t>
      </w:r>
    </w:p>
    <w:p>
      <w:pPr>
        <w:spacing w:after="0" w:line="176"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If there is a significant change in the facts and circumstances surrounding these assumptions or if we are found not to be in substantial compliance with applicable environmental and public health laws and regulations, it could have a material impact on future environmental capital expenditures and other environmental expenses and our results of operations, financial position and cash flows.</w:t>
      </w:r>
    </w:p>
    <w:p>
      <w:pPr>
        <w:spacing w:after="0" w:line="176" w:lineRule="exact"/>
        <w:rPr>
          <w:sz w:val="20"/>
          <w:szCs w:val="20"/>
          <w:color w:val="auto"/>
        </w:rPr>
      </w:pPr>
    </w:p>
    <w:p>
      <w:pPr>
        <w:ind w:left="350" w:right="2999" w:hanging="350"/>
        <w:spacing w:after="0" w:line="235" w:lineRule="auto"/>
        <w:tabs>
          <w:tab w:leader="none" w:pos="173"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OUR SIGNIFICANT INTERNATIONAL OPERATIONS MAKE US SUSCEPTIBLE TO FLUCTUATIONS IN CURRENCY EXCHANGE RATES AND TO THE COSTS OF INTERNATIONAL REGULATION.</w:t>
      </w:r>
    </w:p>
    <w:p>
      <w:pPr>
        <w:spacing w:after="0" w:line="176"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We currently operate manufacturing, sales and service facilities outside of North America, particularly in the United Kingdom, Germany, France, Belgium and the Netherlands. In fiscal 2003, international sales accounted for approximately 20% of our total sales. Accordingly, we are subject to risks associated with operations in foreign countries, including:</w:t>
      </w:r>
    </w:p>
    <w:p>
      <w:pPr>
        <w:spacing w:after="0" w:line="173" w:lineRule="exact"/>
        <w:rPr>
          <w:sz w:val="20"/>
          <w:szCs w:val="20"/>
          <w:color w:val="auto"/>
        </w:rPr>
      </w:pPr>
    </w:p>
    <w:p>
      <w:pPr>
        <w:ind w:left="790" w:hanging="437"/>
        <w:spacing w:after="0"/>
        <w:tabs>
          <w:tab w:leader="none" w:pos="79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fluctuations in currency exchange rates;</w:t>
      </w:r>
    </w:p>
    <w:p>
      <w:pPr>
        <w:spacing w:after="0" w:line="169" w:lineRule="exact"/>
        <w:rPr>
          <w:rFonts w:ascii="Courier New" w:cs="Courier New" w:eastAsia="Courier New" w:hAnsi="Courier New"/>
          <w:sz w:val="15"/>
          <w:szCs w:val="15"/>
          <w:color w:val="auto"/>
        </w:rPr>
      </w:pPr>
    </w:p>
    <w:p>
      <w:pPr>
        <w:ind w:left="790" w:hanging="437"/>
        <w:spacing w:after="0"/>
        <w:tabs>
          <w:tab w:leader="none" w:pos="79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the conversion of foreign currencies into U.S. dollars;</w:t>
      </w:r>
    </w:p>
    <w:p>
      <w:pPr>
        <w:spacing w:after="0" w:line="174" w:lineRule="exact"/>
        <w:rPr>
          <w:rFonts w:ascii="Courier New" w:cs="Courier New" w:eastAsia="Courier New" w:hAnsi="Courier New"/>
          <w:sz w:val="15"/>
          <w:szCs w:val="15"/>
          <w:color w:val="auto"/>
        </w:rPr>
      </w:pPr>
    </w:p>
    <w:p>
      <w:pPr>
        <w:ind w:left="790" w:right="3799" w:hanging="437"/>
        <w:spacing w:after="0" w:line="235" w:lineRule="auto"/>
        <w:tabs>
          <w:tab w:leader="none" w:pos="79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the remittance of dividends and other payments by foreign subsidiaries;</w:t>
      </w:r>
    </w:p>
    <w:p>
      <w:pPr>
        <w:spacing w:after="0" w:line="170" w:lineRule="exact"/>
        <w:rPr>
          <w:rFonts w:ascii="Courier New" w:cs="Courier New" w:eastAsia="Courier New" w:hAnsi="Courier New"/>
          <w:sz w:val="15"/>
          <w:szCs w:val="15"/>
          <w:color w:val="auto"/>
        </w:rPr>
      </w:pPr>
    </w:p>
    <w:p>
      <w:pPr>
        <w:ind w:left="790" w:hanging="437"/>
        <w:spacing w:after="0"/>
        <w:tabs>
          <w:tab w:leader="none" w:pos="79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costs of compliance with local regulations; and</w:t>
      </w:r>
    </w:p>
    <w:p>
      <w:pPr>
        <w:spacing w:after="0" w:line="169" w:lineRule="exact"/>
        <w:rPr>
          <w:rFonts w:ascii="Courier New" w:cs="Courier New" w:eastAsia="Courier New" w:hAnsi="Courier New"/>
          <w:sz w:val="15"/>
          <w:szCs w:val="15"/>
          <w:color w:val="auto"/>
        </w:rPr>
      </w:pPr>
    </w:p>
    <w:p>
      <w:pPr>
        <w:ind w:left="790" w:hanging="437"/>
        <w:spacing w:after="0"/>
        <w:tabs>
          <w:tab w:leader="none" w:pos="79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historically, higher rates of inflation than in the United States.</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In addition, our operations outside the United States are subject to the risk of new and different legal and regulatory requirements in local jurisdictions, potential difficulties in staffing and managing local operations and potentially adverse tax consequences. The costs related to our international operations could adversely affect our results of operations, financial position and cash flows.</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29"/>
          </w:cols>
          <w:pgMar w:left="230" w:top="791" w:right="1440" w:bottom="1440" w:gutter="0" w:footer="0" w:header="0"/>
        </w:sectPr>
      </w:pPr>
    </w:p>
    <w:bookmarkStart w:id="32" w:name="page33"/>
    <w:bookmarkEnd w:id="32"/>
    <w:p>
      <w:pPr>
        <w:ind w:left="340"/>
        <w:spacing w:after="0"/>
        <w:tabs>
          <w:tab w:leader="none" w:pos="112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QUANTITATIVE AND QUALITATIVE DISCLOSURES ABOUT MARKET RISK</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Market risks have not changed significantly from those disclosed in the Registrant's Annual Report on Form 10-K for the fiscal year ended September 30, 2003.</w:t>
      </w:r>
    </w:p>
    <w:p>
      <w:pPr>
        <w:spacing w:after="0" w:line="169" w:lineRule="exact"/>
        <w:rPr>
          <w:sz w:val="20"/>
          <w:szCs w:val="20"/>
          <w:color w:val="auto"/>
        </w:rPr>
      </w:pPr>
    </w:p>
    <w:p>
      <w:pPr>
        <w:ind w:left="340"/>
        <w:spacing w:after="0"/>
        <w:tabs>
          <w:tab w:leader="none" w:pos="112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CONTROLS AND PROCEDURES</w:t>
      </w:r>
    </w:p>
    <w:p>
      <w:pPr>
        <w:spacing w:after="0" w:line="175"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With the participation of the Registrant's principal executive officer and principal financial officer, the Registrant's management has evaluated the effectiveness of the Registrant's disclosure controls and procedures (as defined in Rule 13a-15(e) under the Securities Exchange Act of 1934, as amended (the "Exchange Act"), as of the end of the period covered by this Quarterly Report on Form 10-Q. Based upon that evaluation, the Registrant's principal executive officer and principal financial officer have concluded that:</w:t>
      </w:r>
    </w:p>
    <w:p>
      <w:pPr>
        <w:spacing w:after="0" w:line="167" w:lineRule="exact"/>
        <w:rPr>
          <w:sz w:val="20"/>
          <w:szCs w:val="20"/>
          <w:color w:val="auto"/>
        </w:rPr>
      </w:pPr>
    </w:p>
    <w:p>
      <w:pPr>
        <w:ind w:left="700" w:right="3179" w:hanging="357"/>
        <w:spacing w:after="0" w:line="237" w:lineRule="auto"/>
        <w:tabs>
          <w:tab w:leader="none" w:pos="7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required to be disclosed by the Registrant in this Quarterly Report on Form 10-Q would be accumulated and communicated to the Registrant's management, including its principal executive and financial officers, as appropriate to allow timely decisions regarding required disclosure,</w:t>
      </w:r>
    </w:p>
    <w:p>
      <w:pPr>
        <w:spacing w:after="0" w:line="178" w:lineRule="exact"/>
        <w:rPr>
          <w:rFonts w:ascii="Courier New" w:cs="Courier New" w:eastAsia="Courier New" w:hAnsi="Courier New"/>
          <w:sz w:val="15"/>
          <w:szCs w:val="15"/>
          <w:color w:val="auto"/>
        </w:rPr>
      </w:pPr>
    </w:p>
    <w:p>
      <w:pPr>
        <w:ind w:left="700" w:right="3179" w:hanging="357"/>
        <w:spacing w:after="0" w:line="237" w:lineRule="auto"/>
        <w:tabs>
          <w:tab w:leader="none" w:pos="7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required to be disclosed by the Registrant in this Quarterly Report on Form 10-Q would be recorded, processed, summarized, and reported within the time period specified in the SEC's rules and forms; and</w:t>
      </w:r>
    </w:p>
    <w:p>
      <w:pPr>
        <w:spacing w:after="0" w:line="176" w:lineRule="exact"/>
        <w:rPr>
          <w:rFonts w:ascii="Courier New" w:cs="Courier New" w:eastAsia="Courier New" w:hAnsi="Courier New"/>
          <w:sz w:val="15"/>
          <w:szCs w:val="15"/>
          <w:color w:val="auto"/>
        </w:rPr>
      </w:pPr>
    </w:p>
    <w:p>
      <w:pPr>
        <w:ind w:left="700" w:right="3179" w:hanging="357"/>
        <w:spacing w:after="0" w:line="238" w:lineRule="auto"/>
        <w:tabs>
          <w:tab w:leader="none" w:pos="7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disclosure controls and procedures are effective as of the end of the period covered by this Quarterly Report on Form 10-Q to ensure that material information relating to the Registrant and its consolidated subsidiaries is made known to them, particularly during the period in which the Registrant's periodic reports, including this Quarterly Report on Form 10-Q, are being prepared.</w:t>
      </w:r>
    </w:p>
    <w:p>
      <w:pPr>
        <w:spacing w:after="0" w:line="176"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In addition, there were no changes in the Registrant's internal control over financial reporting (as defined in Rule 13a-15(f) under the Exchange Act) that occurred during the Registrant's fiscal quarter ended December 27, 2003, that have materially affected, or are reasonably likely to materially affect, the Registrant's internal control over financial reporting or in other factors that could significantly affect these internal controls subsequent to the date of the Evaluation.</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452" w:right="1440" w:bottom="1440" w:gutter="0" w:footer="0" w:header="0"/>
        </w:sectPr>
      </w:pPr>
    </w:p>
    <w:bookmarkStart w:id="33" w:name="page34"/>
    <w:bookmarkEnd w:id="33"/>
    <w:p>
      <w:pPr>
        <w:ind w:left="2390"/>
        <w:spacing w:after="0"/>
        <w:rPr>
          <w:sz w:val="20"/>
          <w:szCs w:val="20"/>
          <w:color w:val="auto"/>
        </w:rPr>
      </w:pPr>
      <w:r>
        <w:rPr>
          <w:rFonts w:ascii="Courier New" w:cs="Courier New" w:eastAsia="Courier New" w:hAnsi="Courier New"/>
          <w:sz w:val="15"/>
          <w:szCs w:val="15"/>
          <w:color w:val="auto"/>
        </w:rPr>
        <w:t>PART II - OTHER INFORMATION</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1. LEGAL PROCEEDINGS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SCOTTS V. AVENTIS S.A. AND STARLINK LOGISTICS, INC.</w:t>
      </w:r>
    </w:p>
    <w:p>
      <w:pPr>
        <w:spacing w:after="0" w:line="175" w:lineRule="exact"/>
        <w:rPr>
          <w:sz w:val="20"/>
          <w:szCs w:val="20"/>
          <w:color w:val="auto"/>
        </w:rPr>
      </w:pPr>
    </w:p>
    <w:p>
      <w:pPr>
        <w:ind w:left="10" w:right="3259" w:firstLine="353"/>
        <w:spacing w:after="0" w:line="257" w:lineRule="auto"/>
        <w:rPr>
          <w:sz w:val="20"/>
          <w:szCs w:val="20"/>
          <w:color w:val="auto"/>
        </w:rPr>
      </w:pPr>
      <w:r>
        <w:rPr>
          <w:rFonts w:ascii="Courier New" w:cs="Courier New" w:eastAsia="Courier New" w:hAnsi="Courier New"/>
          <w:sz w:val="14"/>
          <w:szCs w:val="14"/>
          <w:color w:val="auto"/>
        </w:rPr>
        <w:t>On August 9, 2002, Scotts filed suit against Aventis S.A. and its wholly-owned subsidiary Starlink Logistics, Inc. in the U.S. District Court for the Southern District of Ohio. In the complaint, Scotts alleges it is entitled to injunctive and monetary relief arising from Aventis' and Starlink's interference with Scotts' contractual right to purchase a company called TechPac, L.L.C. from one of Aventis' former subsidiaries, Aventis CropScience. The complaint alleges that pursuant to a contract between Scotts and a predecessor-in-interest to Aventis CropScience, Aventis CropScience was obligated to make a bona fide offer to sell its interest in TechPac to Scotts. The complaint further alleges that Aventis directed Aventis CropScience to make a belated sham offer to Scotts and that later, upon the sale of Aventis CropScience to Bayer AG, Aventis transferred ownership of TechPac to Starlink, an act which has made it impossible for Aventis CropScience's successor-in-interest to make a bona fide offer to sell TechPac to Scotts.</w:t>
      </w:r>
    </w:p>
    <w:p>
      <w:pPr>
        <w:spacing w:after="0" w:line="16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In this suit, Scotts seeks to ensure that it is able to exercise its right to receive a bona fide offer to acquire TechPac, and Scotts seeks to recover compensatory and punitive damages in an amount as yet undetermined for Aventis' and Starlink's interference with Scotts' right to receive such an offer. On October 4, 2002, Starlink filed a motion to dismiss the complaint on jurisdictional grounds. On December 17, 2002, Aventis filed a similar motion. A referee has recommended that those motions be granted, and the question of whether the referee's recommendation will be followed is currently pending before the United States District Judge to whom the action is assigned. Scotts intends to vigorously prosecute its claims against Aventis and Starlink. A trial date has not been set.</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SCOTTS V. UNITED INDUSTRIES, SOUTHERN DISTRICT OF FLORIDA</w:t>
      </w:r>
    </w:p>
    <w:p>
      <w:pPr>
        <w:spacing w:after="0" w:line="175" w:lineRule="exact"/>
        <w:rPr>
          <w:sz w:val="20"/>
          <w:szCs w:val="20"/>
          <w:color w:val="auto"/>
        </w:rPr>
      </w:pPr>
    </w:p>
    <w:p>
      <w:pPr>
        <w:ind w:left="10" w:right="3259" w:firstLine="353"/>
        <w:spacing w:after="0" w:line="256" w:lineRule="auto"/>
        <w:rPr>
          <w:sz w:val="20"/>
          <w:szCs w:val="20"/>
          <w:color w:val="auto"/>
        </w:rPr>
      </w:pPr>
      <w:r>
        <w:rPr>
          <w:rFonts w:ascii="Courier New" w:cs="Courier New" w:eastAsia="Courier New" w:hAnsi="Courier New"/>
          <w:sz w:val="14"/>
          <w:szCs w:val="14"/>
          <w:color w:val="auto"/>
        </w:rPr>
        <w:t>On April 15, 2002, Scotts and OMS Investments, Inc., a subsidiary of Scotts that holds various Scotts intellectual property assets ("OMS Investments"), filed a six count complaint against United Industries Corp. and Pursell Industries, Inc. -- now known as U.S. Fertilizer Corporation -- for acts of (1) federal trademark and trade dress infringement; (2) federal unfair competition;</w:t>
      </w:r>
    </w:p>
    <w:p>
      <w:pPr>
        <w:spacing w:after="0" w:line="2" w:lineRule="exact"/>
        <w:rPr>
          <w:sz w:val="20"/>
          <w:szCs w:val="20"/>
          <w:color w:val="auto"/>
        </w:rPr>
      </w:pPr>
    </w:p>
    <w:p>
      <w:pPr>
        <w:ind w:left="10" w:right="3179" w:hanging="10"/>
        <w:spacing w:after="0" w:line="238" w:lineRule="auto"/>
        <w:tabs>
          <w:tab w:leader="none" w:pos="362"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federal dilution; (4) common law trademark and trade dress infringement in violation of Florida law and other applicable law; (5) common law unfair competition in violation of Florida law and other applicable law; and (6) dilution in violation of Florida law and other applicable law. The claims against U.S. Fertilizer were subsequently resolved by a Settlement Agreement and Release dated February 6, 2003. In this Settlement Agreement and Release, U.S. Fertilizer acknowledged and agreed "that Scotts' trade dress as well the overall color designs and design layout that are utilized on the packaging of Scotts' Turf Builder(R) line as identified in the Civil Action (the "Turf Builder Trade Dress") are valid, protectable, and non-functional trade dress." U.S. Fertilizer is no longer a party to this action.</w:t>
      </w:r>
    </w:p>
    <w:p>
      <w:pPr>
        <w:spacing w:after="0" w:line="181" w:lineRule="exact"/>
        <w:rPr>
          <w:sz w:val="20"/>
          <w:szCs w:val="20"/>
          <w:color w:val="auto"/>
        </w:rPr>
      </w:pPr>
    </w:p>
    <w:p>
      <w:pPr>
        <w:ind w:left="10" w:right="3179" w:firstLine="353"/>
        <w:spacing w:after="0" w:line="257" w:lineRule="auto"/>
        <w:rPr>
          <w:sz w:val="20"/>
          <w:szCs w:val="20"/>
          <w:color w:val="auto"/>
        </w:rPr>
      </w:pPr>
      <w:r>
        <w:rPr>
          <w:rFonts w:ascii="Courier New" w:cs="Courier New" w:eastAsia="Courier New" w:hAnsi="Courier New"/>
          <w:sz w:val="14"/>
          <w:szCs w:val="14"/>
          <w:color w:val="auto"/>
        </w:rPr>
        <w:t>Shortly after filing the original complaint in this matter, Scotts filed its motion for preliminary injunction, which motion sought an injunction enjoining United Industries, pending trial, from manufacturing, producing, shipping, distributing, advertising, promoting, displaying, selling or offering for sale products in the then current packaging for its Spectracide(R) No Odor Fire Ant Killer Ready-to-Use Dust product and from otherwise using any trademarks, trade dress, packaging, promotional materials or other items which incorporated or were confusingly similar to the trademarks and trade dress featured in Scotts' Ortho(R) Orthene(R) Fire Ant Killer product packaging. Despite finding that United Industries had intentionally copied Scotts' trade dress, the trial court denied the motion for preliminary injunction. Scotts appealed, but the United States Court of Appeals for the Eleventh Circuit affirmed.</w:t>
      </w:r>
    </w:p>
    <w:p>
      <w:pPr>
        <w:spacing w:after="0" w:line="166"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On December 13, 2002, Scotts filed an amended complaint. The amended complaint contains the same causes of action as the original complaint, but asserts additional grounds in support of plaintiffs' claim that United Industries has infringed and diluted plaintiffs' Miracle-Gro(R) trade dress. The amended complaint also revises certain of the allegations in the original complaint to conform to facts recently learned.</w:t>
      </w:r>
    </w:p>
    <w:p>
      <w:pPr>
        <w:spacing w:after="0" w:line="176" w:lineRule="exact"/>
        <w:rPr>
          <w:sz w:val="20"/>
          <w:szCs w:val="20"/>
          <w:color w:val="auto"/>
        </w:rPr>
      </w:pPr>
    </w:p>
    <w:p>
      <w:pPr>
        <w:ind w:left="10" w:right="3179" w:firstLine="353"/>
        <w:spacing w:after="0" w:line="258" w:lineRule="auto"/>
        <w:rPr>
          <w:sz w:val="20"/>
          <w:szCs w:val="20"/>
          <w:color w:val="auto"/>
        </w:rPr>
      </w:pPr>
      <w:r>
        <w:rPr>
          <w:rFonts w:ascii="Courier New" w:cs="Courier New" w:eastAsia="Courier New" w:hAnsi="Courier New"/>
          <w:sz w:val="14"/>
          <w:szCs w:val="14"/>
          <w:color w:val="auto"/>
        </w:rPr>
        <w:t>United Industries subsequently filed its answer and counterclaim to the amended complaint. This answer and counterclaim is virtually identical to its original answer and counterclaim in that it seeks to cancel a specific Scotts' Miracle-Gro(R)and Design trademark registration (Reg. No. 2,139,929) and Scotts' pending Ortho(R)Orthene(R)Fire Ant Killer and Design trademark application (Serial No. 76/126,545). We believe that this counterclaim is without merit.</w:t>
      </w:r>
    </w:p>
    <w:p>
      <w:pPr>
        <w:spacing w:after="0" w:line="164"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On April 21, 2003, the parties mediated the matters. While several points of tentative agreement were reached, no settlement agreement has been reached or entered into. Since then, the parties have exchanged drafts of a proposed settlement agreement.</w:t>
      </w:r>
    </w:p>
    <w:p>
      <w:pPr>
        <w:spacing w:after="0" w:line="17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29"/>
          </w:cols>
          <w:pgMar w:left="230" w:top="622" w:right="1440" w:bottom="1440" w:gutter="0" w:footer="0" w:header="0"/>
        </w:sectPr>
      </w:pPr>
    </w:p>
    <w:bookmarkStart w:id="34" w:name="page35"/>
    <w:bookmarkEnd w:id="34"/>
    <w:p>
      <w:pPr>
        <w:ind w:left="340"/>
        <w:spacing w:after="0"/>
        <w:rPr>
          <w:sz w:val="20"/>
          <w:szCs w:val="20"/>
          <w:color w:val="auto"/>
        </w:rPr>
      </w:pPr>
      <w:r>
        <w:rPr>
          <w:rFonts w:ascii="Courier New" w:cs="Courier New" w:eastAsia="Courier New" w:hAnsi="Courier New"/>
          <w:sz w:val="15"/>
          <w:szCs w:val="15"/>
          <w:color w:val="auto"/>
        </w:rPr>
        <w:t>We do not anticipate incurring any damages relating to this action.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 V. BAYER CROPSCIENCE, LP, SOUTHERN DISTRICT OF OHIO</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On May 29, 2003, Scotts and OMS Investments, filed a four count complaint against Bayer CropScience, LP ("Bayer") for acts of (1) federal unfair competition; (2) federal dilution; (3) common law trade dress infringement and unfair competition; and (4) copyright infringement. The complaint alleges that Bayer's line of lawn fertilizer products infringes and dilutes Scotts' proprietary rights in the packaging of its Turf Builder(R) and LawnPro(R) Super Turf Builder(R) line of products. The complaint seeks both injunctive and monetary relief.</w:t>
      </w:r>
    </w:p>
    <w:p>
      <w:pPr>
        <w:spacing w:after="0" w:line="178" w:lineRule="exact"/>
        <w:rPr>
          <w:sz w:val="20"/>
          <w:szCs w:val="20"/>
          <w:color w:val="auto"/>
        </w:rPr>
      </w:pPr>
    </w:p>
    <w:p>
      <w:pPr>
        <w:ind w:right="3439" w:firstLine="353"/>
        <w:spacing w:after="0" w:line="237" w:lineRule="auto"/>
        <w:rPr>
          <w:sz w:val="20"/>
          <w:szCs w:val="20"/>
          <w:color w:val="auto"/>
        </w:rPr>
      </w:pPr>
      <w:r>
        <w:rPr>
          <w:rFonts w:ascii="Courier New" w:cs="Courier New" w:eastAsia="Courier New" w:hAnsi="Courier New"/>
          <w:sz w:val="15"/>
          <w:szCs w:val="15"/>
          <w:color w:val="auto"/>
        </w:rPr>
        <w:t>Bayer filed its answer and affirmative defenses on June 19, 2003. Bayer asserted no counterclaims. The parties have exchanged discovery requests, but have agreed to postpone the production of documents given that alternative resolutions have been discussed.</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We do not anticipate incurring any damages relating to this action.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75" w:lineRule="exact"/>
        <w:rPr>
          <w:sz w:val="20"/>
          <w:szCs w:val="20"/>
          <w:color w:val="auto"/>
        </w:rPr>
      </w:pPr>
    </w:p>
    <w:p>
      <w:pPr>
        <w:ind w:right="3799" w:firstLine="353"/>
        <w:spacing w:after="0" w:line="235" w:lineRule="auto"/>
        <w:rPr>
          <w:sz w:val="20"/>
          <w:szCs w:val="20"/>
          <w:color w:val="auto"/>
        </w:rPr>
      </w:pPr>
      <w:r>
        <w:rPr>
          <w:rFonts w:ascii="Courier New" w:cs="Courier New" w:eastAsia="Courier New" w:hAnsi="Courier New"/>
          <w:sz w:val="15"/>
          <w:szCs w:val="15"/>
          <w:color w:val="auto"/>
        </w:rPr>
        <w:t>The Annual Meeting of Shareholders of The Scotts Company (the "Annual Meeting") was held in Marysville, Ohio on January 29, 2004.</w:t>
      </w:r>
    </w:p>
    <w:p>
      <w:pPr>
        <w:spacing w:after="0" w:line="176" w:lineRule="exact"/>
        <w:rPr>
          <w:sz w:val="20"/>
          <w:szCs w:val="20"/>
          <w:color w:val="auto"/>
        </w:rPr>
      </w:pPr>
    </w:p>
    <w:p>
      <w:pPr>
        <w:ind w:right="4499" w:firstLine="353"/>
        <w:spacing w:after="0" w:line="265" w:lineRule="auto"/>
        <w:rPr>
          <w:sz w:val="20"/>
          <w:szCs w:val="20"/>
          <w:color w:val="auto"/>
        </w:rPr>
      </w:pPr>
      <w:r>
        <w:rPr>
          <w:rFonts w:ascii="Courier New" w:cs="Courier New" w:eastAsia="Courier New" w:hAnsi="Courier New"/>
          <w:sz w:val="14"/>
          <w:szCs w:val="14"/>
          <w:color w:val="auto"/>
        </w:rPr>
        <w:t>The result of the vote of the shareholders in the election of four directors, for terms of three years each, is as follows: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220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VOTES</w:t>
            </w:r>
          </w:p>
        </w:tc>
      </w:tr>
      <w:tr>
        <w:trPr>
          <w:trHeight w:val="170"/>
        </w:trPr>
        <w:tc>
          <w:tcPr>
            <w:tcW w:w="3560" w:type="dxa"/>
            <w:vAlign w:val="bottom"/>
          </w:tcPr>
          <w:p>
            <w:pPr>
              <w:ind w:left="700"/>
              <w:spacing w:after="0"/>
              <w:rPr>
                <w:sz w:val="20"/>
                <w:szCs w:val="20"/>
                <w:color w:val="auto"/>
              </w:rPr>
            </w:pPr>
            <w:r>
              <w:rPr>
                <w:rFonts w:ascii="Courier New" w:cs="Courier New" w:eastAsia="Courier New" w:hAnsi="Courier New"/>
                <w:sz w:val="15"/>
                <w:szCs w:val="15"/>
                <w:color w:val="auto"/>
              </w:rPr>
              <w:t>NOMINEE</w:t>
            </w:r>
          </w:p>
        </w:tc>
        <w:tc>
          <w:tcPr>
            <w:tcW w:w="1360" w:type="dxa"/>
            <w:vAlign w:val="bottom"/>
          </w:tcPr>
          <w:p>
            <w:pPr>
              <w:ind w:left="320"/>
              <w:spacing w:after="0"/>
              <w:rPr>
                <w:sz w:val="20"/>
                <w:szCs w:val="20"/>
                <w:color w:val="auto"/>
              </w:rPr>
            </w:pPr>
            <w:r>
              <w:rPr>
                <w:rFonts w:ascii="Courier New" w:cs="Courier New" w:eastAsia="Courier New" w:hAnsi="Courier New"/>
                <w:sz w:val="15"/>
                <w:szCs w:val="15"/>
                <w:color w:val="auto"/>
              </w:rPr>
              <w:t>VOTES FOR</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w w:val="97"/>
              </w:rPr>
              <w:t>WITHHELD</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3560" w:type="dxa"/>
            <w:vAlign w:val="bottom"/>
          </w:tcPr>
          <w:p>
            <w:pPr>
              <w:spacing w:after="0"/>
              <w:rPr>
                <w:sz w:val="20"/>
                <w:szCs w:val="20"/>
                <w:color w:val="auto"/>
              </w:rPr>
            </w:pPr>
            <w:r>
              <w:rPr>
                <w:rFonts w:ascii="Courier New" w:cs="Courier New" w:eastAsia="Courier New" w:hAnsi="Courier New"/>
                <w:sz w:val="15"/>
                <w:szCs w:val="15"/>
                <w:color w:val="auto"/>
              </w:rPr>
              <w:t>Mark R. Baker..........................</w:t>
            </w:r>
          </w:p>
        </w:tc>
        <w:tc>
          <w:tcPr>
            <w:tcW w:w="1360" w:type="dxa"/>
            <w:vAlign w:val="bottom"/>
          </w:tcPr>
          <w:p>
            <w:pPr>
              <w:ind w:left="140"/>
              <w:spacing w:after="0"/>
              <w:rPr>
                <w:sz w:val="20"/>
                <w:szCs w:val="20"/>
                <w:color w:val="auto"/>
              </w:rPr>
            </w:pPr>
            <w:r>
              <w:rPr>
                <w:rFonts w:ascii="Courier New" w:cs="Courier New" w:eastAsia="Courier New" w:hAnsi="Courier New"/>
                <w:sz w:val="15"/>
                <w:szCs w:val="15"/>
                <w:color w:val="auto"/>
              </w:rPr>
              <w:t>27,871,333</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165,566</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Joseph P. Flannery.....................</w:t>
            </w:r>
          </w:p>
        </w:tc>
        <w:tc>
          <w:tcPr>
            <w:tcW w:w="1360" w:type="dxa"/>
            <w:vAlign w:val="bottom"/>
          </w:tcPr>
          <w:p>
            <w:pPr>
              <w:ind w:left="140"/>
              <w:spacing w:after="0"/>
              <w:rPr>
                <w:sz w:val="20"/>
                <w:szCs w:val="20"/>
                <w:color w:val="auto"/>
              </w:rPr>
            </w:pPr>
            <w:r>
              <w:rPr>
                <w:rFonts w:ascii="Courier New" w:cs="Courier New" w:eastAsia="Courier New" w:hAnsi="Courier New"/>
                <w:sz w:val="15"/>
                <w:szCs w:val="15"/>
                <w:color w:val="auto"/>
              </w:rPr>
              <w:t>27,869,722</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167,177</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Katherine Hagedorn Littlefield.........</w:t>
            </w:r>
          </w:p>
        </w:tc>
        <w:tc>
          <w:tcPr>
            <w:tcW w:w="1360" w:type="dxa"/>
            <w:vAlign w:val="bottom"/>
          </w:tcPr>
          <w:p>
            <w:pPr>
              <w:ind w:left="140"/>
              <w:spacing w:after="0"/>
              <w:rPr>
                <w:sz w:val="20"/>
                <w:szCs w:val="20"/>
                <w:color w:val="auto"/>
              </w:rPr>
            </w:pPr>
            <w:r>
              <w:rPr>
                <w:rFonts w:ascii="Courier New" w:cs="Courier New" w:eastAsia="Courier New" w:hAnsi="Courier New"/>
                <w:sz w:val="15"/>
                <w:szCs w:val="15"/>
                <w:color w:val="auto"/>
              </w:rPr>
              <w:t>27,874,436</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162,463</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Patrick J. Norton......................</w:t>
            </w:r>
          </w:p>
        </w:tc>
        <w:tc>
          <w:tcPr>
            <w:tcW w:w="1360" w:type="dxa"/>
            <w:vAlign w:val="bottom"/>
          </w:tcPr>
          <w:p>
            <w:pPr>
              <w:ind w:left="140"/>
              <w:spacing w:after="0"/>
              <w:rPr>
                <w:sz w:val="20"/>
                <w:szCs w:val="20"/>
                <w:color w:val="auto"/>
              </w:rPr>
            </w:pPr>
            <w:r>
              <w:rPr>
                <w:rFonts w:ascii="Courier New" w:cs="Courier New" w:eastAsia="Courier New" w:hAnsi="Courier New"/>
                <w:sz w:val="15"/>
                <w:szCs w:val="15"/>
                <w:color w:val="auto"/>
              </w:rPr>
              <w:t>27,868,859</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168,040</w:t>
            </w:r>
          </w:p>
        </w:tc>
      </w:tr>
    </w:tbl>
    <w:p>
      <w:pPr>
        <w:spacing w:after="0" w:line="344" w:lineRule="exact"/>
        <w:rPr>
          <w:sz w:val="20"/>
          <w:szCs w:val="20"/>
          <w:color w:val="auto"/>
        </w:rPr>
      </w:pPr>
    </w:p>
    <w:p>
      <w:pPr>
        <w:ind w:right="3439" w:firstLine="353"/>
        <w:spacing w:after="0" w:line="237" w:lineRule="auto"/>
        <w:rPr>
          <w:sz w:val="20"/>
          <w:szCs w:val="20"/>
          <w:color w:val="auto"/>
        </w:rPr>
      </w:pPr>
      <w:r>
        <w:rPr>
          <w:rFonts w:ascii="Courier New" w:cs="Courier New" w:eastAsia="Courier New" w:hAnsi="Courier New"/>
          <w:sz w:val="15"/>
          <w:szCs w:val="15"/>
          <w:color w:val="auto"/>
        </w:rPr>
        <w:t>Each of the nominees was elected. The other directors whose terms of office continue after the Annual Meeting are Lynn J. Beasley, Gordon F. Brunner, Arnold W. Donald, James Hagedorn, Karen G. Mills, Stephanie M. Shern, John M. Sullivan and John Walker, Ph.D.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EXHIBITS AND REPORTS ON FORM 8-K</w:t>
      </w:r>
    </w:p>
    <w:p>
      <w:pPr>
        <w:spacing w:after="0" w:line="175" w:lineRule="exact"/>
        <w:rPr>
          <w:sz w:val="20"/>
          <w:szCs w:val="20"/>
          <w:color w:val="auto"/>
        </w:rPr>
      </w:pPr>
    </w:p>
    <w:p>
      <w:pPr>
        <w:ind w:right="3879" w:firstLine="784"/>
        <w:spacing w:after="0" w:line="235" w:lineRule="auto"/>
        <w:tabs>
          <w:tab w:leader="none" w:pos="1146"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Index to Exhibits at page 37 for a list of the exhibits included herewith.</w:t>
      </w:r>
    </w:p>
    <w:p>
      <w:pPr>
        <w:spacing w:after="0" w:line="175" w:lineRule="exact"/>
        <w:rPr>
          <w:rFonts w:ascii="Courier New" w:cs="Courier New" w:eastAsia="Courier New" w:hAnsi="Courier New"/>
          <w:sz w:val="15"/>
          <w:szCs w:val="15"/>
          <w:color w:val="auto"/>
        </w:rPr>
      </w:pPr>
    </w:p>
    <w:p>
      <w:pPr>
        <w:ind w:right="3259" w:firstLine="784"/>
        <w:spacing w:after="0" w:line="235" w:lineRule="auto"/>
        <w:tabs>
          <w:tab w:leader="none" w:pos="1146"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reports on Form 8-K were filed by The Scotts Company during the fiscal quarter ended December 27, 2003.</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22" w:right="1440" w:bottom="1440" w:gutter="0" w:footer="0" w:header="0"/>
        </w:sectPr>
      </w:pPr>
    </w:p>
    <w:bookmarkStart w:id="35" w:name="page36"/>
    <w:bookmarkEnd w:id="35"/>
    <w:p>
      <w:pPr>
        <w:jc w:val="center"/>
        <w:ind w:right="3199"/>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right="3539" w:firstLine="353"/>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THE SCOTTS COMPANY</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/s/CHRISTOPHER L. NAGEL</w:t>
      </w:r>
    </w:p>
    <w:p>
      <w:pPr>
        <w:ind w:left="2380"/>
        <w:spacing w:after="0"/>
        <w:rPr>
          <w:sz w:val="20"/>
          <w:szCs w:val="20"/>
          <w:color w:val="auto"/>
        </w:rPr>
      </w:pPr>
      <w:r>
        <w:rPr>
          <w:rFonts w:ascii="Courier New" w:cs="Courier New" w:eastAsia="Courier New" w:hAnsi="Courier New"/>
          <w:sz w:val="15"/>
          <w:szCs w:val="15"/>
          <w:color w:val="auto"/>
        </w:rPr>
        <w:t>--------------------------------------------</w:t>
      </w:r>
    </w:p>
    <w:p>
      <w:pPr>
        <w:ind w:left="2640"/>
        <w:spacing w:after="0"/>
        <w:rPr>
          <w:sz w:val="20"/>
          <w:szCs w:val="20"/>
          <w:color w:val="auto"/>
        </w:rPr>
      </w:pPr>
      <w:r>
        <w:rPr>
          <w:rFonts w:ascii="Courier New" w:cs="Courier New" w:eastAsia="Courier New" w:hAnsi="Courier New"/>
          <w:sz w:val="15"/>
          <w:szCs w:val="15"/>
          <w:color w:val="auto"/>
        </w:rPr>
        <w:t>Christopher L. Nagel</w:t>
      </w:r>
    </w:p>
    <w:p>
      <w:pPr>
        <w:spacing w:after="0" w:line="4" w:lineRule="exact"/>
        <w:rPr>
          <w:sz w:val="20"/>
          <w:szCs w:val="20"/>
          <w:color w:val="auto"/>
        </w:rPr>
      </w:pPr>
    </w:p>
    <w:p>
      <w:pPr>
        <w:ind w:left="2640" w:right="3539" w:hanging="2643"/>
        <w:spacing w:after="0" w:line="235" w:lineRule="auto"/>
        <w:tabs>
          <w:tab w:leader="none" w:pos="2620" w:val="left"/>
        </w:tabs>
        <w:rPr>
          <w:sz w:val="20"/>
          <w:szCs w:val="20"/>
          <w:color w:val="auto"/>
        </w:rPr>
      </w:pPr>
      <w:r>
        <w:rPr>
          <w:rFonts w:ascii="Courier New" w:cs="Courier New" w:eastAsia="Courier New" w:hAnsi="Courier New"/>
          <w:sz w:val="15"/>
          <w:szCs w:val="15"/>
          <w:color w:val="auto"/>
        </w:rPr>
        <w:t>Date: February 10, 2004</w:t>
      </w:r>
      <w:r>
        <w:rPr>
          <w:sz w:val="20"/>
          <w:szCs w:val="20"/>
          <w:color w:val="auto"/>
        </w:rPr>
        <w:tab/>
      </w:r>
      <w:r>
        <w:rPr>
          <w:rFonts w:ascii="Courier New" w:cs="Courier New" w:eastAsia="Courier New" w:hAnsi="Courier New"/>
          <w:sz w:val="15"/>
          <w:szCs w:val="15"/>
          <w:color w:val="auto"/>
        </w:rPr>
        <w:t>Executive Vice President and Chief Financial Officer,</w:t>
      </w:r>
    </w:p>
    <w:p>
      <w:pPr>
        <w:spacing w:after="0" w:line="6"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(Principal Financial and Principal Accounting</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Officer)</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961" w:right="1440" w:bottom="1440" w:gutter="0" w:footer="0" w:header="0"/>
        </w:sectPr>
      </w:pPr>
    </w:p>
    <w:bookmarkStart w:id="36" w:name="page37"/>
    <w:bookmarkEnd w:id="36"/>
    <w:p>
      <w:pPr>
        <w:jc w:val="center"/>
        <w:ind w:right="3259"/>
        <w:spacing w:after="0"/>
        <w:rPr>
          <w:sz w:val="20"/>
          <w:szCs w:val="20"/>
          <w:color w:val="auto"/>
        </w:rPr>
      </w:pPr>
      <w:r>
        <w:rPr>
          <w:rFonts w:ascii="Courier New" w:cs="Courier New" w:eastAsia="Courier New" w:hAnsi="Courier New"/>
          <w:sz w:val="15"/>
          <w:szCs w:val="15"/>
          <w:color w:val="auto"/>
        </w:rPr>
        <w:t>THE SCOTTS COMPANY</w:t>
      </w:r>
    </w:p>
    <w:p>
      <w:pPr>
        <w:jc w:val="center"/>
        <w:ind w:right="3259"/>
        <w:spacing w:after="0"/>
        <w:rPr>
          <w:sz w:val="20"/>
          <w:szCs w:val="20"/>
          <w:color w:val="auto"/>
        </w:rPr>
      </w:pPr>
      <w:r>
        <w:rPr>
          <w:rFonts w:ascii="Courier New" w:cs="Courier New" w:eastAsia="Courier New" w:hAnsi="Courier New"/>
          <w:sz w:val="15"/>
          <w:szCs w:val="15"/>
          <w:color w:val="auto"/>
        </w:rPr>
        <w:t>ANNUAL REPORT ON FORM 10-Q</w:t>
      </w:r>
    </w:p>
    <w:p>
      <w:pPr>
        <w:jc w:val="center"/>
        <w:ind w:right="3259"/>
        <w:spacing w:after="0"/>
        <w:rPr>
          <w:sz w:val="20"/>
          <w:szCs w:val="20"/>
          <w:color w:val="auto"/>
        </w:rPr>
      </w:pPr>
      <w:r>
        <w:rPr>
          <w:rFonts w:ascii="Courier New" w:cs="Courier New" w:eastAsia="Courier New" w:hAnsi="Courier New"/>
          <w:sz w:val="15"/>
          <w:szCs w:val="15"/>
          <w:color w:val="auto"/>
        </w:rPr>
        <w:t>FOR THE FISCAL QUARTER ENDED DECEMBER 27, 2003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40" w:type="dxa"/>
            <w:vAlign w:val="bottom"/>
          </w:tcPr>
          <w:p>
            <w:pPr>
              <w:spacing w:after="0"/>
              <w:rPr>
                <w:sz w:val="14"/>
                <w:szCs w:val="14"/>
                <w:color w:val="auto"/>
              </w:rPr>
            </w:pPr>
          </w:p>
        </w:tc>
        <w:tc>
          <w:tcPr>
            <w:tcW w:w="5360" w:type="dxa"/>
            <w:vAlign w:val="bottom"/>
          </w:tcPr>
          <w:p>
            <w:pPr>
              <w:ind w:left="1500"/>
              <w:spacing w:after="0"/>
              <w:rPr>
                <w:sz w:val="20"/>
                <w:szCs w:val="20"/>
                <w:color w:val="auto"/>
              </w:rPr>
            </w:pPr>
            <w:r>
              <w:rPr>
                <w:rFonts w:ascii="Courier New" w:cs="Courier New" w:eastAsia="Courier New" w:hAnsi="Courier New"/>
                <w:sz w:val="15"/>
                <w:szCs w:val="15"/>
                <w:color w:val="auto"/>
              </w:rPr>
              <w:t>INDEX TO EXHIBITS</w:t>
            </w:r>
          </w:p>
        </w:tc>
        <w:tc>
          <w:tcPr>
            <w:tcW w:w="1500" w:type="dxa"/>
            <w:vAlign w:val="bottom"/>
          </w:tcPr>
          <w:p>
            <w:pPr>
              <w:spacing w:after="0"/>
              <w:rPr>
                <w:sz w:val="14"/>
                <w:szCs w:val="14"/>
                <w:color w:val="auto"/>
              </w:rPr>
            </w:pPr>
          </w:p>
        </w:tc>
      </w:tr>
      <w:tr>
        <w:trPr>
          <w:trHeight w:val="678"/>
        </w:trPr>
        <w:tc>
          <w:tcPr>
            <w:tcW w:w="124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5360" w:type="dxa"/>
            <w:vAlign w:val="bottom"/>
          </w:tcPr>
          <w:p>
            <w:pPr>
              <w:ind w:left="1580"/>
              <w:spacing w:after="0"/>
              <w:rPr>
                <w:sz w:val="20"/>
                <w:szCs w:val="20"/>
                <w:color w:val="auto"/>
              </w:rPr>
            </w:pPr>
            <w:r>
              <w:rPr>
                <w:rFonts w:ascii="Courier New" w:cs="Courier New" w:eastAsia="Courier New" w:hAnsi="Courier New"/>
                <w:sz w:val="15"/>
                <w:szCs w:val="15"/>
                <w:color w:val="auto"/>
              </w:rPr>
              <w:t>DESCRIPTION</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LOCATION</w:t>
            </w:r>
          </w:p>
        </w:tc>
      </w:tr>
      <w:tr>
        <w:trPr>
          <w:trHeight w:val="170"/>
        </w:trPr>
        <w:tc>
          <w:tcPr>
            <w:tcW w:w="12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31(a)</w:t>
            </w:r>
          </w:p>
        </w:tc>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Rule 13a-14(a)/15d-14(a) Certification (Principal</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1240" w:type="dxa"/>
            <w:vAlign w:val="bottom"/>
          </w:tcPr>
          <w:p>
            <w:pPr>
              <w:spacing w:after="0"/>
              <w:rPr>
                <w:sz w:val="14"/>
                <w:szCs w:val="14"/>
                <w:color w:val="auto"/>
              </w:rPr>
            </w:pPr>
          </w:p>
        </w:tc>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Executive Officer)</w:t>
            </w:r>
          </w:p>
        </w:tc>
        <w:tc>
          <w:tcPr>
            <w:tcW w:w="1500" w:type="dxa"/>
            <w:vAlign w:val="bottom"/>
          </w:tcPr>
          <w:p>
            <w:pPr>
              <w:spacing w:after="0"/>
              <w:rPr>
                <w:sz w:val="14"/>
                <w:szCs w:val="14"/>
                <w:color w:val="auto"/>
              </w:rPr>
            </w:pPr>
          </w:p>
        </w:tc>
      </w:tr>
      <w:tr>
        <w:trPr>
          <w:trHeight w:val="339"/>
        </w:trPr>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31(b)</w:t>
            </w:r>
          </w:p>
        </w:tc>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Rule 13a-14(a)/15d-14(a) Certification (Principal</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1240" w:type="dxa"/>
            <w:vAlign w:val="bottom"/>
          </w:tcPr>
          <w:p>
            <w:pPr>
              <w:spacing w:after="0"/>
              <w:rPr>
                <w:sz w:val="14"/>
                <w:szCs w:val="14"/>
                <w:color w:val="auto"/>
              </w:rPr>
            </w:pPr>
          </w:p>
        </w:tc>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Financial Officer)</w:t>
            </w:r>
          </w:p>
        </w:tc>
        <w:tc>
          <w:tcPr>
            <w:tcW w:w="1500" w:type="dxa"/>
            <w:vAlign w:val="bottom"/>
          </w:tcPr>
          <w:p>
            <w:pPr>
              <w:spacing w:after="0"/>
              <w:rPr>
                <w:sz w:val="14"/>
                <w:szCs w:val="14"/>
                <w:color w:val="auto"/>
              </w:rPr>
            </w:pPr>
          </w:p>
        </w:tc>
      </w:tr>
      <w:tr>
        <w:trPr>
          <w:trHeight w:val="339"/>
        </w:trPr>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32</w:t>
            </w:r>
          </w:p>
        </w:tc>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Section 1350 Certification (Principal Executive</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1240" w:type="dxa"/>
            <w:vAlign w:val="bottom"/>
          </w:tcPr>
          <w:p>
            <w:pPr>
              <w:spacing w:after="0"/>
              <w:rPr>
                <w:sz w:val="14"/>
                <w:szCs w:val="14"/>
                <w:color w:val="auto"/>
              </w:rPr>
            </w:pPr>
          </w:p>
        </w:tc>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Officer and Principal Financial Officer)</w:t>
            </w:r>
          </w:p>
        </w:tc>
        <w:tc>
          <w:tcPr>
            <w:tcW w:w="1500" w:type="dxa"/>
            <w:vAlign w:val="bottom"/>
          </w:tcPr>
          <w:p>
            <w:pPr>
              <w:spacing w:after="0"/>
              <w:rPr>
                <w:sz w:val="14"/>
                <w:szCs w:val="14"/>
                <w:color w:val="auto"/>
              </w:rPr>
            </w:pPr>
          </w:p>
        </w:tc>
      </w:tr>
      <w:tr>
        <w:trPr>
          <w:trHeight w:val="678"/>
        </w:trPr>
        <w:tc>
          <w:tcPr>
            <w:tcW w:w="1240" w:type="dxa"/>
            <w:vAlign w:val="bottom"/>
          </w:tcPr>
          <w:p>
            <w:pPr>
              <w:spacing w:after="0"/>
              <w:rPr>
                <w:sz w:val="24"/>
                <w:szCs w:val="24"/>
                <w:color w:val="auto"/>
              </w:rPr>
            </w:pPr>
          </w:p>
        </w:tc>
        <w:tc>
          <w:tcPr>
            <w:tcW w:w="5360" w:type="dxa"/>
            <w:vAlign w:val="bottom"/>
          </w:tcPr>
          <w:p>
            <w:pPr>
              <w:ind w:left="2100"/>
              <w:spacing w:after="0"/>
              <w:rPr>
                <w:sz w:val="20"/>
                <w:szCs w:val="20"/>
                <w:color w:val="auto"/>
              </w:rPr>
            </w:pPr>
            <w:r>
              <w:rPr>
                <w:rFonts w:ascii="Courier New" w:cs="Courier New" w:eastAsia="Courier New" w:hAnsi="Courier New"/>
                <w:sz w:val="15"/>
                <w:szCs w:val="15"/>
                <w:color w:val="auto"/>
              </w:rPr>
              <w:t>37</w:t>
            </w:r>
          </w:p>
        </w:tc>
        <w:tc>
          <w:tcPr>
            <w:tcW w:w="1500" w:type="dxa"/>
            <w:vAlign w:val="bottom"/>
          </w:tcPr>
          <w:p>
            <w:pPr>
              <w:spacing w:after="0"/>
              <w:rPr>
                <w:sz w:val="24"/>
                <w:szCs w:val="24"/>
                <w:color w:val="auto"/>
              </w:rPr>
            </w:pPr>
          </w:p>
        </w:tc>
      </w:tr>
    </w:tbl>
    <w:p>
      <w:pPr>
        <w:sectPr>
          <w:pgSz w:w="11900" w:h="16838" w:orient="portrait"/>
          <w:cols w:equalWidth="0" w:num="1">
            <w:col w:w="10139"/>
          </w:cols>
          <w:pgMar w:left="320" w:top="961" w:right="1440" w:bottom="1440" w:gutter="0" w:footer="0" w:header="0"/>
        </w:sectPr>
      </w:pPr>
    </w:p>
    <w:bookmarkStart w:id="37" w:name="page38"/>
    <w:bookmarkEnd w:id="37"/>
    <w:p>
      <w:pPr>
        <w:jc w:val="right"/>
        <w:ind w:right="3179"/>
        <w:spacing w:after="0"/>
        <w:rPr>
          <w:sz w:val="20"/>
          <w:szCs w:val="20"/>
          <w:color w:val="auto"/>
        </w:rPr>
      </w:pPr>
      <w:r>
        <w:rPr>
          <w:rFonts w:ascii="Courier New" w:cs="Courier New" w:eastAsia="Courier New" w:hAnsi="Courier New"/>
          <w:sz w:val="15"/>
          <w:szCs w:val="15"/>
          <w:color w:val="auto"/>
        </w:rPr>
        <w:t>Exhibit 31(a)</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RULE 13a-14(a)/15d-14(a) CERTIFICATION</w:t>
      </w:r>
    </w:p>
    <w:p>
      <w:pPr>
        <w:ind w:left="2280"/>
        <w:spacing w:after="0"/>
        <w:rPr>
          <w:sz w:val="20"/>
          <w:szCs w:val="20"/>
          <w:color w:val="auto"/>
        </w:rPr>
      </w:pPr>
      <w:r>
        <w:rPr>
          <w:rFonts w:ascii="Courier New" w:cs="Courier New" w:eastAsia="Courier New" w:hAnsi="Courier New"/>
          <w:sz w:val="15"/>
          <w:szCs w:val="15"/>
          <w:color w:val="auto"/>
        </w:rPr>
        <w:t>(PRINCIPAL EXECUTIVE OFFICER)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James Hagedorn, certify that:</w:t>
      </w:r>
    </w:p>
    <w:p>
      <w:pPr>
        <w:spacing w:after="0" w:line="175" w:lineRule="exact"/>
        <w:rPr>
          <w:sz w:val="20"/>
          <w:szCs w:val="20"/>
          <w:color w:val="auto"/>
        </w:rPr>
      </w:pPr>
    </w:p>
    <w:p>
      <w:pPr>
        <w:ind w:left="600" w:hanging="257"/>
        <w:spacing w:after="0"/>
        <w:tabs>
          <w:tab w:leader="none" w:pos="60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Quarterly Report on Form 10-Q of The Scotts Company;</w:t>
      </w:r>
    </w:p>
    <w:p>
      <w:pPr>
        <w:spacing w:after="0" w:line="180" w:lineRule="exact"/>
        <w:rPr>
          <w:rFonts w:ascii="Courier New" w:cs="Courier New" w:eastAsia="Courier New" w:hAnsi="Courier New"/>
          <w:sz w:val="14"/>
          <w:szCs w:val="14"/>
          <w:color w:val="auto"/>
        </w:rPr>
      </w:pPr>
    </w:p>
    <w:p>
      <w:pPr>
        <w:ind w:left="600" w:right="3179" w:hanging="257"/>
        <w:spacing w:after="0" w:line="237" w:lineRule="auto"/>
        <w:tabs>
          <w:tab w:leader="none" w:pos="6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8" w:lineRule="exact"/>
        <w:rPr>
          <w:rFonts w:ascii="Courier New" w:cs="Courier New" w:eastAsia="Courier New" w:hAnsi="Courier New"/>
          <w:sz w:val="15"/>
          <w:szCs w:val="15"/>
          <w:color w:val="auto"/>
        </w:rPr>
      </w:pPr>
    </w:p>
    <w:p>
      <w:pPr>
        <w:ind w:left="600" w:right="3179" w:hanging="257"/>
        <w:spacing w:after="0" w:line="237" w:lineRule="auto"/>
        <w:tabs>
          <w:tab w:leader="none" w:pos="6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Courier New" w:cs="Courier New" w:eastAsia="Courier New" w:hAnsi="Courier New"/>
          <w:sz w:val="15"/>
          <w:szCs w:val="15"/>
          <w:color w:val="auto"/>
        </w:rPr>
      </w:pPr>
    </w:p>
    <w:p>
      <w:pPr>
        <w:jc w:val="both"/>
        <w:ind w:left="600" w:right="3699" w:hanging="257"/>
        <w:spacing w:after="0" w:line="260" w:lineRule="auto"/>
        <w:tabs>
          <w:tab w:leader="none" w:pos="60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are responsible for establishing and maintaining disclosure controls and procedures (as defined in Exchange Act Rules 13a-15(e) and 15d-15(e)) and have:</w:t>
      </w:r>
    </w:p>
    <w:p>
      <w:pPr>
        <w:spacing w:after="0" w:line="162" w:lineRule="exact"/>
        <w:rPr>
          <w:rFonts w:ascii="Courier New" w:cs="Courier New" w:eastAsia="Courier New" w:hAnsi="Courier New"/>
          <w:sz w:val="14"/>
          <w:szCs w:val="14"/>
          <w:color w:val="auto"/>
        </w:rPr>
      </w:pPr>
    </w:p>
    <w:p>
      <w:pPr>
        <w:ind w:left="880" w:right="3259" w:firstLine="521"/>
        <w:spacing w:after="0" w:line="238" w:lineRule="auto"/>
        <w:tabs>
          <w:tab w:leader="none" w:pos="1761"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Courier New" w:cs="Courier New" w:eastAsia="Courier New" w:hAnsi="Courier New"/>
          <w:sz w:val="15"/>
          <w:szCs w:val="15"/>
          <w:color w:val="auto"/>
        </w:rPr>
      </w:pPr>
    </w:p>
    <w:p>
      <w:pPr>
        <w:ind w:left="880" w:right="3259" w:firstLine="521"/>
        <w:spacing w:after="0" w:line="237" w:lineRule="auto"/>
        <w:tabs>
          <w:tab w:leader="none" w:pos="1761"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8" w:lineRule="exact"/>
        <w:rPr>
          <w:rFonts w:ascii="Courier New" w:cs="Courier New" w:eastAsia="Courier New" w:hAnsi="Courier New"/>
          <w:sz w:val="15"/>
          <w:szCs w:val="15"/>
          <w:color w:val="auto"/>
        </w:rPr>
      </w:pPr>
    </w:p>
    <w:p>
      <w:pPr>
        <w:ind w:left="880" w:right="3259" w:firstLine="521"/>
        <w:spacing w:after="0" w:line="237" w:lineRule="auto"/>
        <w:tabs>
          <w:tab w:leader="none" w:pos="1761"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8" w:lineRule="exact"/>
        <w:rPr>
          <w:rFonts w:ascii="Courier New" w:cs="Courier New" w:eastAsia="Courier New" w:hAnsi="Courier New"/>
          <w:sz w:val="15"/>
          <w:szCs w:val="15"/>
          <w:color w:val="auto"/>
        </w:rPr>
      </w:pPr>
    </w:p>
    <w:p>
      <w:pPr>
        <w:jc w:val="both"/>
        <w:ind w:left="600" w:right="3259" w:hanging="257"/>
        <w:spacing w:after="0" w:line="259" w:lineRule="auto"/>
        <w:tabs>
          <w:tab w:leader="none" w:pos="60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Courier New" w:cs="Courier New" w:eastAsia="Courier New" w:hAnsi="Courier New"/>
          <w:sz w:val="14"/>
          <w:szCs w:val="14"/>
          <w:color w:val="auto"/>
        </w:rPr>
      </w:pPr>
    </w:p>
    <w:p>
      <w:pPr>
        <w:ind w:left="880" w:right="3179" w:firstLine="521"/>
        <w:spacing w:after="0" w:line="259" w:lineRule="auto"/>
        <w:tabs>
          <w:tab w:leader="none" w:pos="1761"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Courier New" w:cs="Courier New" w:eastAsia="Courier New" w:hAnsi="Courier New"/>
          <w:sz w:val="14"/>
          <w:szCs w:val="14"/>
          <w:color w:val="auto"/>
        </w:rPr>
      </w:pPr>
    </w:p>
    <w:p>
      <w:pPr>
        <w:ind w:left="880" w:right="3179" w:firstLine="521"/>
        <w:spacing w:after="0" w:line="237" w:lineRule="auto"/>
        <w:tabs>
          <w:tab w:leader="none" w:pos="1761"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19"/>
          </w:cols>
          <w:pgMar w:left="240" w:top="305" w:right="1440" w:bottom="1440" w:gutter="0" w:footer="0" w:header="0"/>
        </w:sect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February 10, 2004</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James Hagedorn</w:t>
      </w:r>
    </w:p>
    <w:p>
      <w:pPr>
        <w:spacing w:after="0"/>
        <w:rPr>
          <w:sz w:val="20"/>
          <w:szCs w:val="20"/>
          <w:color w:val="auto"/>
        </w:rPr>
      </w:pPr>
      <w:r>
        <w:rPr>
          <w:rFonts w:ascii="Courier New" w:cs="Courier New" w:eastAsia="Courier New" w:hAnsi="Courier New"/>
          <w:sz w:val="15"/>
          <w:szCs w:val="15"/>
          <w:color w:val="auto"/>
        </w:rPr>
        <w:t>----------------------------------</w:t>
      </w:r>
    </w:p>
    <w:p>
      <w:pPr>
        <w:spacing w:after="0"/>
        <w:tabs>
          <w:tab w:leader="none" w:pos="500" w:val="left"/>
        </w:tabs>
        <w:rPr>
          <w:sz w:val="20"/>
          <w:szCs w:val="20"/>
          <w:color w:val="auto"/>
        </w:rPr>
      </w:pPr>
      <w:r>
        <w:rPr>
          <w:rFonts w:ascii="Courier New" w:cs="Courier New" w:eastAsia="Courier New" w:hAnsi="Courier New"/>
          <w:sz w:val="15"/>
          <w:szCs w:val="15"/>
          <w:color w:val="auto"/>
        </w:rPr>
        <w:t>By:</w:t>
        <w:tab/>
        <w:t>James Hagedorn</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President, Chief Executive Officer</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and Chairman of the Board</w:t>
      </w:r>
    </w:p>
    <w:p>
      <w:pPr>
        <w:spacing w:after="0" w:line="169" w:lineRule="exact"/>
        <w:rPr>
          <w:sz w:val="20"/>
          <w:szCs w:val="20"/>
          <w:color w:val="auto"/>
        </w:rPr>
      </w:pPr>
    </w:p>
    <w:p>
      <w:pPr>
        <w:sectPr>
          <w:pgSz w:w="11900" w:h="16838" w:orient="portrait"/>
          <w:cols w:equalWidth="0" w:num="2">
            <w:col w:w="2620" w:space="720"/>
            <w:col w:w="6879"/>
          </w:cols>
          <w:pgMar w:left="240" w:top="305"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305" w:right="1440" w:bottom="1440" w:gutter="0" w:footer="0" w:header="0"/>
          <w:type w:val="continuous"/>
        </w:sectPr>
      </w:pPr>
    </w:p>
    <w:bookmarkStart w:id="38" w:name="page39"/>
    <w:bookmarkEnd w:id="38"/>
    <w:p>
      <w:pPr>
        <w:jc w:val="right"/>
        <w:ind w:right="3179"/>
        <w:spacing w:after="0"/>
        <w:rPr>
          <w:sz w:val="20"/>
          <w:szCs w:val="20"/>
          <w:color w:val="auto"/>
        </w:rPr>
      </w:pPr>
      <w:r>
        <w:rPr>
          <w:rFonts w:ascii="Courier New" w:cs="Courier New" w:eastAsia="Courier New" w:hAnsi="Courier New"/>
          <w:sz w:val="15"/>
          <w:szCs w:val="15"/>
          <w:color w:val="auto"/>
        </w:rPr>
        <w:t>Exhibit 31(b)</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RULE 13a-14(a)/15d-14(a) CERTIFICATION</w:t>
      </w:r>
    </w:p>
    <w:p>
      <w:pPr>
        <w:ind w:left="2280"/>
        <w:spacing w:after="0"/>
        <w:rPr>
          <w:sz w:val="20"/>
          <w:szCs w:val="20"/>
          <w:color w:val="auto"/>
        </w:rPr>
      </w:pPr>
      <w:r>
        <w:rPr>
          <w:rFonts w:ascii="Courier New" w:cs="Courier New" w:eastAsia="Courier New" w:hAnsi="Courier New"/>
          <w:sz w:val="15"/>
          <w:szCs w:val="15"/>
          <w:color w:val="auto"/>
        </w:rPr>
        <w:t>(PRINCIPAL FINANCIAL OFFICER)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Christopher L. Nagel, certify that:</w:t>
      </w:r>
    </w:p>
    <w:p>
      <w:pPr>
        <w:spacing w:after="0" w:line="175" w:lineRule="exact"/>
        <w:rPr>
          <w:sz w:val="20"/>
          <w:szCs w:val="20"/>
          <w:color w:val="auto"/>
        </w:rPr>
      </w:pPr>
    </w:p>
    <w:p>
      <w:pPr>
        <w:ind w:left="600" w:hanging="257"/>
        <w:spacing w:after="0"/>
        <w:tabs>
          <w:tab w:leader="none" w:pos="60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Quarterly Report on Form 10-Q of The Scotts Company;</w:t>
      </w:r>
    </w:p>
    <w:p>
      <w:pPr>
        <w:spacing w:after="0" w:line="180" w:lineRule="exact"/>
        <w:rPr>
          <w:rFonts w:ascii="Courier New" w:cs="Courier New" w:eastAsia="Courier New" w:hAnsi="Courier New"/>
          <w:sz w:val="14"/>
          <w:szCs w:val="14"/>
          <w:color w:val="auto"/>
        </w:rPr>
      </w:pPr>
    </w:p>
    <w:p>
      <w:pPr>
        <w:ind w:left="600" w:right="3179" w:hanging="257"/>
        <w:spacing w:after="0" w:line="237" w:lineRule="auto"/>
        <w:tabs>
          <w:tab w:leader="none" w:pos="6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8" w:lineRule="exact"/>
        <w:rPr>
          <w:rFonts w:ascii="Courier New" w:cs="Courier New" w:eastAsia="Courier New" w:hAnsi="Courier New"/>
          <w:sz w:val="15"/>
          <w:szCs w:val="15"/>
          <w:color w:val="auto"/>
        </w:rPr>
      </w:pPr>
    </w:p>
    <w:p>
      <w:pPr>
        <w:ind w:left="600" w:right="3179" w:hanging="257"/>
        <w:spacing w:after="0" w:line="237" w:lineRule="auto"/>
        <w:tabs>
          <w:tab w:leader="none" w:pos="6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Courier New" w:cs="Courier New" w:eastAsia="Courier New" w:hAnsi="Courier New"/>
          <w:sz w:val="15"/>
          <w:szCs w:val="15"/>
          <w:color w:val="auto"/>
        </w:rPr>
      </w:pPr>
    </w:p>
    <w:p>
      <w:pPr>
        <w:jc w:val="both"/>
        <w:ind w:left="600" w:right="3699" w:hanging="257"/>
        <w:spacing w:after="0" w:line="260" w:lineRule="auto"/>
        <w:tabs>
          <w:tab w:leader="none" w:pos="60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are responsible for establishing and maintaining disclosure controls and procedures (as defined in Exchange Act Rules 13a-15(e) and 15d-15(e)) and have:</w:t>
      </w:r>
    </w:p>
    <w:p>
      <w:pPr>
        <w:spacing w:after="0" w:line="162" w:lineRule="exact"/>
        <w:rPr>
          <w:rFonts w:ascii="Courier New" w:cs="Courier New" w:eastAsia="Courier New" w:hAnsi="Courier New"/>
          <w:sz w:val="14"/>
          <w:szCs w:val="14"/>
          <w:color w:val="auto"/>
        </w:rPr>
      </w:pPr>
    </w:p>
    <w:p>
      <w:pPr>
        <w:ind w:left="880" w:right="3259" w:firstLine="521"/>
        <w:spacing w:after="0" w:line="238" w:lineRule="auto"/>
        <w:tabs>
          <w:tab w:leader="none" w:pos="1761"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Courier New" w:cs="Courier New" w:eastAsia="Courier New" w:hAnsi="Courier New"/>
          <w:sz w:val="15"/>
          <w:szCs w:val="15"/>
          <w:color w:val="auto"/>
        </w:rPr>
      </w:pPr>
    </w:p>
    <w:p>
      <w:pPr>
        <w:ind w:left="880" w:right="3259" w:firstLine="521"/>
        <w:spacing w:after="0" w:line="237" w:lineRule="auto"/>
        <w:tabs>
          <w:tab w:leader="none" w:pos="1761"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8" w:lineRule="exact"/>
        <w:rPr>
          <w:rFonts w:ascii="Courier New" w:cs="Courier New" w:eastAsia="Courier New" w:hAnsi="Courier New"/>
          <w:sz w:val="15"/>
          <w:szCs w:val="15"/>
          <w:color w:val="auto"/>
        </w:rPr>
      </w:pPr>
    </w:p>
    <w:p>
      <w:pPr>
        <w:ind w:left="880" w:right="3259" w:firstLine="521"/>
        <w:spacing w:after="0" w:line="237" w:lineRule="auto"/>
        <w:tabs>
          <w:tab w:leader="none" w:pos="1761"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8" w:lineRule="exact"/>
        <w:rPr>
          <w:rFonts w:ascii="Courier New" w:cs="Courier New" w:eastAsia="Courier New" w:hAnsi="Courier New"/>
          <w:sz w:val="15"/>
          <w:szCs w:val="15"/>
          <w:color w:val="auto"/>
        </w:rPr>
      </w:pPr>
    </w:p>
    <w:p>
      <w:pPr>
        <w:jc w:val="both"/>
        <w:ind w:left="600" w:right="3259" w:hanging="257"/>
        <w:spacing w:after="0" w:line="259" w:lineRule="auto"/>
        <w:tabs>
          <w:tab w:leader="none" w:pos="60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Courier New" w:cs="Courier New" w:eastAsia="Courier New" w:hAnsi="Courier New"/>
          <w:sz w:val="14"/>
          <w:szCs w:val="14"/>
          <w:color w:val="auto"/>
        </w:rPr>
      </w:pPr>
    </w:p>
    <w:p>
      <w:pPr>
        <w:ind w:left="880" w:right="3179" w:firstLine="521"/>
        <w:spacing w:after="0" w:line="259" w:lineRule="auto"/>
        <w:tabs>
          <w:tab w:leader="none" w:pos="1761"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Courier New" w:cs="Courier New" w:eastAsia="Courier New" w:hAnsi="Courier New"/>
          <w:sz w:val="14"/>
          <w:szCs w:val="14"/>
          <w:color w:val="auto"/>
        </w:rPr>
      </w:pPr>
    </w:p>
    <w:p>
      <w:pPr>
        <w:ind w:left="880" w:right="3179" w:firstLine="521"/>
        <w:spacing w:after="0" w:line="237" w:lineRule="auto"/>
        <w:tabs>
          <w:tab w:leader="none" w:pos="1761"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19"/>
          </w:cols>
          <w:pgMar w:left="240" w:top="305" w:right="1440" w:bottom="1440" w:gutter="0" w:footer="0" w:header="0"/>
        </w:sectPr>
      </w:pPr>
    </w:p>
    <w:p>
      <w:pPr>
        <w:spacing w:after="0" w:line="17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Date: February 10, 2004</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Christopher L. Nagel</w:t>
      </w:r>
    </w:p>
    <w:p>
      <w:pPr>
        <w:spacing w:after="0"/>
        <w:rPr>
          <w:sz w:val="20"/>
          <w:szCs w:val="20"/>
          <w:color w:val="auto"/>
        </w:rPr>
      </w:pPr>
      <w:r>
        <w:rPr>
          <w:rFonts w:ascii="Courier New" w:cs="Courier New" w:eastAsia="Courier New" w:hAnsi="Courier New"/>
          <w:sz w:val="15"/>
          <w:szCs w:val="15"/>
          <w:color w:val="auto"/>
        </w:rPr>
        <w:t>---------------------------------</w:t>
      </w:r>
    </w:p>
    <w:p>
      <w:pPr>
        <w:ind w:left="360"/>
        <w:spacing w:after="0"/>
        <w:tabs>
          <w:tab w:leader="none" w:pos="860" w:val="left"/>
        </w:tabs>
        <w:rPr>
          <w:sz w:val="20"/>
          <w:szCs w:val="20"/>
          <w:color w:val="auto"/>
        </w:rPr>
      </w:pPr>
      <w:r>
        <w:rPr>
          <w:rFonts w:ascii="Courier New" w:cs="Courier New" w:eastAsia="Courier New" w:hAnsi="Courier New"/>
          <w:sz w:val="15"/>
          <w:szCs w:val="15"/>
          <w:color w:val="auto"/>
        </w:rPr>
        <w:t>By:</w:t>
        <w:tab/>
        <w:t>Christopher L. Nagel</w:t>
      </w:r>
    </w:p>
    <w:p>
      <w:pPr>
        <w:ind w:left="880"/>
        <w:spacing w:after="0" w:line="238" w:lineRule="auto"/>
        <w:rPr>
          <w:sz w:val="20"/>
          <w:szCs w:val="20"/>
          <w:color w:val="auto"/>
        </w:rPr>
      </w:pPr>
      <w:r>
        <w:rPr>
          <w:rFonts w:ascii="Courier New" w:cs="Courier New" w:eastAsia="Courier New" w:hAnsi="Courier New"/>
          <w:sz w:val="15"/>
          <w:szCs w:val="15"/>
          <w:color w:val="auto"/>
        </w:rPr>
        <w:t>Executive Vice President</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and Chief Financial Officer</w:t>
      </w:r>
    </w:p>
    <w:p>
      <w:pPr>
        <w:spacing w:after="0" w:line="200" w:lineRule="exact"/>
        <w:rPr>
          <w:sz w:val="20"/>
          <w:szCs w:val="20"/>
          <w:color w:val="auto"/>
        </w:rPr>
      </w:pPr>
    </w:p>
    <w:p>
      <w:pPr>
        <w:sectPr>
          <w:pgSz w:w="11900" w:h="16838" w:orient="portrait"/>
          <w:cols w:equalWidth="0" w:num="2">
            <w:col w:w="2440" w:space="720"/>
            <w:col w:w="7059"/>
          </w:cols>
          <w:pgMar w:left="240" w:top="305" w:right="1440" w:bottom="1440" w:gutter="0" w:footer="0" w:header="0"/>
          <w:type w:val="continuous"/>
        </w:sectPr>
      </w:pPr>
    </w:p>
    <w:p>
      <w:pPr>
        <w:spacing w:after="0" w:line="14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305" w:right="1440" w:bottom="1440" w:gutter="0" w:footer="0" w:header="0"/>
          <w:type w:val="continuous"/>
        </w:sectPr>
      </w:pPr>
    </w:p>
    <w:bookmarkStart w:id="39" w:name="page40"/>
    <w:bookmarkEnd w:id="39"/>
    <w:p>
      <w:pPr>
        <w:jc w:val="right"/>
        <w:ind w:right="3179"/>
        <w:spacing w:after="0"/>
        <w:rPr>
          <w:sz w:val="20"/>
          <w:szCs w:val="20"/>
          <w:color w:val="auto"/>
        </w:rPr>
      </w:pPr>
      <w:r>
        <w:rPr>
          <w:rFonts w:ascii="Courier New" w:cs="Courier New" w:eastAsia="Courier New" w:hAnsi="Courier New"/>
          <w:sz w:val="15"/>
          <w:szCs w:val="15"/>
          <w:color w:val="auto"/>
        </w:rPr>
        <w:t>Exhibit 32</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SECTION 1350 CERTIFICATION*</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In connection with the Quarterly Report of The Scotts Company (the "Company") on Form 10-Q for the quarterly period ended December 27, 2003 as filed with the Securities and Exchange Commission on the date hereof (the "Report"), the undersigned James Hagedorn, President, Chief Executive Officer and Chairman of the Board of the Company, and Christopher L. Nagel,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179" w:lineRule="exact"/>
        <w:rPr>
          <w:sz w:val="20"/>
          <w:szCs w:val="20"/>
          <w:color w:val="auto"/>
        </w:rPr>
      </w:pPr>
    </w:p>
    <w:p>
      <w:pPr>
        <w:ind w:left="600" w:right="3699" w:hanging="257"/>
        <w:spacing w:after="0" w:line="235" w:lineRule="auto"/>
        <w:tabs>
          <w:tab w:leader="none" w:pos="6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Report fully complies with the requirements of Section 13(a) of the Securities Exchange Act of 1934; and</w:t>
      </w:r>
    </w:p>
    <w:p>
      <w:pPr>
        <w:spacing w:after="0" w:line="175" w:lineRule="exact"/>
        <w:rPr>
          <w:rFonts w:ascii="Courier New" w:cs="Courier New" w:eastAsia="Courier New" w:hAnsi="Courier New"/>
          <w:sz w:val="15"/>
          <w:szCs w:val="15"/>
          <w:color w:val="auto"/>
        </w:rPr>
      </w:pPr>
    </w:p>
    <w:p>
      <w:pPr>
        <w:ind w:left="600" w:right="3259" w:hanging="257"/>
        <w:spacing w:after="0" w:line="237" w:lineRule="auto"/>
        <w:tabs>
          <w:tab w:leader="none" w:pos="6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the Report fairly presents, in all material respects, the financial condition and results of operations of the Company.</w:t>
      </w:r>
    </w:p>
    <w:p>
      <w:pPr>
        <w:sectPr>
          <w:pgSz w:w="11900" w:h="16838" w:orient="portrait"/>
          <w:cols w:equalWidth="0" w:num="1">
            <w:col w:w="10219"/>
          </w:cols>
          <w:pgMar w:left="240" w:top="814" w:right="1440" w:bottom="1440" w:gutter="0" w:footer="0" w:header="0"/>
        </w:sectPr>
      </w:pPr>
    </w:p>
    <w:p>
      <w:pPr>
        <w:spacing w:after="0" w:line="1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 James Hagedorn</w:t>
      </w: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James Hagedorn</w:t>
      </w: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President, Chief Executive Officer</w:t>
      </w: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and Chairman of the Board</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Christopher L. Nagel</w:t>
      </w:r>
    </w:p>
    <w:p>
      <w:pPr>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Christopher L. Nagel</w:t>
      </w:r>
    </w:p>
    <w:p>
      <w:pPr>
        <w:spacing w:after="0" w:line="238" w:lineRule="auto"/>
        <w:rPr>
          <w:sz w:val="20"/>
          <w:szCs w:val="20"/>
          <w:color w:val="auto"/>
        </w:rPr>
      </w:pPr>
      <w:r>
        <w:rPr>
          <w:rFonts w:ascii="Courier New" w:cs="Courier New" w:eastAsia="Courier New" w:hAnsi="Courier New"/>
          <w:sz w:val="15"/>
          <w:szCs w:val="15"/>
          <w:color w:val="auto"/>
        </w:rPr>
        <w:t>Executive 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Chief Financial Officer</w:t>
      </w:r>
    </w:p>
    <w:p>
      <w:pPr>
        <w:spacing w:after="0" w:line="180" w:lineRule="exact"/>
        <w:rPr>
          <w:sz w:val="20"/>
          <w:szCs w:val="20"/>
          <w:color w:val="auto"/>
        </w:rPr>
      </w:pPr>
    </w:p>
    <w:p>
      <w:pPr>
        <w:sectPr>
          <w:pgSz w:w="11900" w:h="16838" w:orient="portrait"/>
          <w:cols w:equalWidth="0" w:num="2">
            <w:col w:w="3760" w:space="720"/>
            <w:col w:w="5739"/>
          </w:cols>
          <w:pgMar w:left="240" w:top="814" w:right="1440" w:bottom="1440" w:gutter="0" w:footer="0" w:header="0"/>
          <w:type w:val="continuous"/>
        </w:sectPr>
      </w:pPr>
    </w:p>
    <w:p>
      <w:pPr>
        <w:ind w:left="700"/>
        <w:spacing w:after="0"/>
        <w:rPr>
          <w:sz w:val="20"/>
          <w:szCs w:val="20"/>
          <w:color w:val="auto"/>
        </w:rPr>
      </w:pPr>
      <w:r>
        <w:rPr>
          <w:rFonts w:ascii="Courier New" w:cs="Courier New" w:eastAsia="Courier New" w:hAnsi="Courier New"/>
          <w:sz w:val="14"/>
          <w:szCs w:val="14"/>
          <w:color w:val="auto"/>
        </w:rPr>
        <w:t>February 10, 2004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February 10, 2004</w:t>
      </w:r>
    </w:p>
    <w:p>
      <w:pPr>
        <w:spacing w:after="0" w:line="180" w:lineRule="exact"/>
        <w:rPr>
          <w:sz w:val="20"/>
          <w:szCs w:val="20"/>
          <w:color w:val="auto"/>
        </w:rPr>
      </w:pPr>
    </w:p>
    <w:p>
      <w:pPr>
        <w:sectPr>
          <w:pgSz w:w="11900" w:h="16838" w:orient="portrait"/>
          <w:cols w:equalWidth="0" w:num="2">
            <w:col w:w="3760" w:space="720"/>
            <w:col w:w="5739"/>
          </w:cols>
          <w:pgMar w:left="240" w:top="814" w:right="1440" w:bottom="1440" w:gutter="0" w:footer="0" w:header="0"/>
          <w:type w:val="continuous"/>
        </w:sectPr>
      </w:pPr>
    </w:p>
    <w:p>
      <w:pPr>
        <w:ind w:right="3179"/>
        <w:spacing w:after="0" w:line="238" w:lineRule="auto"/>
        <w:rPr>
          <w:sz w:val="20"/>
          <w:szCs w:val="20"/>
          <w:color w:val="auto"/>
        </w:rPr>
      </w:pPr>
      <w:r>
        <w:rPr>
          <w:rFonts w:ascii="Courier New" w:cs="Courier New" w:eastAsia="Courier New" w:hAnsi="Courier New"/>
          <w:sz w:val="15"/>
          <w:szCs w:val="15"/>
          <w:color w:val="auto"/>
        </w:rPr>
        <w:t>*THIS CERTIFICATION IS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THIS CERTIFICATION SHALL NOT BE DEEMED TO BE INCORPORATED BY REFERENCE INTO ANY FILING UNDER THE SECURITIES ACT OF 1933 OR THE EXCHANGE ACT, EXCEPT AS OTHERWISE STATED IN SUCH FILING.</w:t>
      </w: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sectPr>
      <w:pgSz w:w="11900" w:h="16838" w:orient="portrait"/>
      <w:cols w:equalWidth="0" w:num="1">
        <w:col w:w="10219"/>
      </w:cols>
      <w:pgMar w:left="240" w:top="8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upperLetter"/>
      <w:start w:val="24"/>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2"/>
    </w:lvl>
  </w:abstractNum>
  <w:abstractNum w:abstractNumId="4">
    <w:nsid w:val="431BD7B7"/>
    <w:multiLevelType w:val="hybridMultilevel"/>
    <w:lvl w:ilvl="0">
      <w:lvlJc w:val="left"/>
      <w:lvlText w:val="%1."/>
      <w:numFmt w:val="decimal"/>
      <w:start w:val="3"/>
    </w:lvl>
  </w:abstractNum>
  <w:abstractNum w:abstractNumId="5">
    <w:nsid w:val="3F2DBA31"/>
    <w:multiLevelType w:val="hybridMultilevel"/>
    <w:lvl w:ilvl="0">
      <w:lvlJc w:val="left"/>
      <w:lvlText w:val="%1."/>
      <w:numFmt w:val="decimal"/>
      <w:start w:val="4"/>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1."/>
      <w:numFmt w:val="decimal"/>
      <w:start w:val="9"/>
    </w:lvl>
  </w:abstractNum>
  <w:abstractNum w:abstractNumId="8">
    <w:nsid w:val="62BBD95A"/>
    <w:multiLevelType w:val="hybridMultilevel"/>
    <w:lvl w:ilvl="0">
      <w:lvlJc w:val="left"/>
      <w:lvlText w:val="%1."/>
      <w:numFmt w:val="decimal"/>
      <w:start w:val="12"/>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lvl w:ilvl="1">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1)"/>
      <w:numFmt w:val="upperLetter"/>
      <w:start w:val="1"/>
    </w:lvl>
  </w:abstractNum>
  <w:abstractNum w:abstractNumId="26">
    <w:nsid w:val="2901D82"/>
    <w:multiLevelType w:val="hybridMultilevel"/>
    <w:lvl w:ilvl="0">
      <w:lvlJc w:val="left"/>
      <w:lvlText w:val="(%1)"/>
      <w:numFmt w:val="decimal"/>
      <w:start w:val="3"/>
    </w:lvl>
  </w:abstractNum>
  <w:abstractNum w:abstractNumId="27">
    <w:nsid w:val="3A95F874"/>
    <w:multiLevelType w:val="hybridMultilevel"/>
    <w:lvl w:ilvl="0">
      <w:lvlJc w:val="left"/>
      <w:lvlText w:val="(%1)"/>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2019-12-11T21:15:48Z</dcterms:created>
  <dcterms:modified xsi:type="dcterms:W3CDTF">2019-12-11T21:15:48Z</dcterms:modified>
</cp:coreProperties>
</file>