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4782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782820"/>
                    </a:xfrm>
                    <a:prstGeom prst="rect">
                      <a:avLst/>
                    </a:prstGeom>
                    <a:noFill/>
                  </pic:spPr>
                </pic:pic>
              </a:graphicData>
            </a:graphic>
          </wp:anchor>
        </w:drawing>
      </w:r>
    </w:p>
    <w:p>
      <w:pPr>
        <w:spacing w:after="0" w:line="1251"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Aviles Edith</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220"/>
        <w:spacing w:after="0" w:line="348" w:lineRule="auto"/>
        <w:rPr>
          <w:sz w:val="20"/>
          <w:szCs w:val="20"/>
          <w:color w:val="auto"/>
        </w:rPr>
      </w:pPr>
      <w:r>
        <w:rPr>
          <w:rFonts w:ascii="Times New Roman" w:cs="Times New Roman" w:eastAsia="Times New Roman" w:hAnsi="Times New Roman"/>
          <w:sz w:val="17"/>
          <w:szCs w:val="17"/>
          <w:color w:val="0000FF"/>
        </w:rPr>
        <w:t>C/O THE SCOTTS MIRACLE-GRO COMPANY 14111 SCOTTSLAWN ROAD</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MARYSVILLE</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OH</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43041</w:t>
            </w:r>
          </w:p>
        </w:tc>
      </w:tr>
      <w:tr>
        <w:trPr>
          <w:trHeight w:val="152"/>
        </w:trPr>
        <w:tc>
          <w:tcPr>
            <w:tcW w:w="2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3760" w:type="dxa"/>
            <w:vAlign w:val="bottom"/>
            <w:gridSpan w:val="3"/>
          </w:tcPr>
          <w:p>
            <w:pPr>
              <w:spacing w:after="0" w:line="22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SCOTTS MIRACLE-GRO CO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SMG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500" w:type="dxa"/>
            <w:vAlign w:val="bottom"/>
            <w:tcBorders>
              <w:top w:val="single" w:sz="8" w:color="0000EE"/>
            </w:tcBorders>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5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vMerge w:val="restart"/>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tcPr>
          <w:p>
            <w:pPr>
              <w:ind w:left="3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27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03/07/2025</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490"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102</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Equivalent</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200"/>
              <w:spacing w:after="0" w:line="144" w:lineRule="exact"/>
              <w:rPr>
                <w:sz w:val="20"/>
                <w:szCs w:val="20"/>
                <w:color w:val="auto"/>
              </w:rPr>
            </w:pPr>
            <w:r>
              <w:rPr>
                <w:rFonts w:ascii="Times New Roman" w:cs="Times New Roman" w:eastAsia="Times New Roman" w:hAnsi="Times New Roman"/>
                <w:sz w:val="13"/>
                <w:szCs w:val="13"/>
                <w:color w:val="0000FF"/>
              </w:rPr>
              <w:t>03/07/2025</w:t>
            </w:r>
          </w:p>
        </w:tc>
        <w:tc>
          <w:tcPr>
            <w:tcW w:w="1100" w:type="dxa"/>
            <w:vAlign w:val="bottom"/>
          </w:tcPr>
          <w:p>
            <w:pPr>
              <w:spacing w:after="0"/>
              <w:rPr>
                <w:sz w:val="5"/>
                <w:szCs w:val="5"/>
                <w:color w:val="auto"/>
              </w:rPr>
            </w:pPr>
          </w:p>
        </w:tc>
        <w:tc>
          <w:tcPr>
            <w:tcW w:w="800" w:type="dxa"/>
            <w:vAlign w:val="bottom"/>
            <w:vMerge w:val="restart"/>
          </w:tcPr>
          <w:p>
            <w:pPr>
              <w:ind w:left="160"/>
              <w:spacing w:after="0" w:line="144" w:lineRule="exact"/>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00"/>
              <w:spacing w:after="0" w:line="144" w:lineRule="exact"/>
              <w:rPr>
                <w:sz w:val="20"/>
                <w:szCs w:val="20"/>
                <w:color w:val="auto"/>
              </w:rPr>
            </w:pPr>
            <w:r>
              <w:rPr>
                <w:rFonts w:ascii="Times New Roman" w:cs="Times New Roman" w:eastAsia="Times New Roman" w:hAnsi="Times New Roman"/>
                <w:sz w:val="13"/>
                <w:szCs w:val="13"/>
                <w:color w:val="0000FF"/>
              </w:rPr>
              <w:t>102</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8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62.18</w:t>
            </w:r>
          </w:p>
        </w:tc>
        <w:tc>
          <w:tcPr>
            <w:tcW w:w="940" w:type="dxa"/>
            <w:vAlign w:val="bottom"/>
            <w:vMerge w:val="restart"/>
          </w:tcPr>
          <w:p>
            <w:pPr>
              <w:ind w:left="380"/>
              <w:spacing w:after="0" w:line="144" w:lineRule="exact"/>
              <w:rPr>
                <w:sz w:val="20"/>
                <w:szCs w:val="20"/>
                <w:color w:val="auto"/>
              </w:rPr>
            </w:pPr>
            <w:r>
              <w:rPr>
                <w:rFonts w:ascii="Times New Roman" w:cs="Times New Roman" w:eastAsia="Times New Roman" w:hAnsi="Times New Roman"/>
                <w:sz w:val="13"/>
                <w:szCs w:val="13"/>
                <w:color w:val="0000FF"/>
              </w:rPr>
              <w:t>461</w:t>
            </w:r>
          </w:p>
        </w:tc>
        <w:tc>
          <w:tcPr>
            <w:tcW w:w="74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66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dividend equivalent rights accrued on DSU or RSU grants and become exercisable proportionately with the DSUs or RSUs to which they relate. Each dividend equivalent right is the economic equivalent of one common share of the Issuer.</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5" w:lineRule="auto"/>
        <w:rPr>
          <w:sz w:val="20"/>
          <w:szCs w:val="20"/>
          <w:color w:val="auto"/>
        </w:rPr>
      </w:pPr>
      <w:r>
        <w:rPr>
          <w:rFonts w:ascii="Times New Roman" w:cs="Times New Roman" w:eastAsia="Times New Roman" w:hAnsi="Times New Roman"/>
          <w:sz w:val="17"/>
          <w:szCs w:val="17"/>
          <w:color w:val="0000FF"/>
        </w:rPr>
        <w:t xml:space="preserve">/s/ Kathy L. Uttley as attorney- </w:t>
      </w:r>
      <w:r>
        <w:rPr>
          <w:rFonts w:ascii="Times New Roman" w:cs="Times New Roman" w:eastAsia="Times New Roman" w:hAnsi="Times New Roman"/>
          <w:sz w:val="33"/>
          <w:szCs w:val="33"/>
          <w:color w:val="0000FF"/>
          <w:vertAlign w:val="subscript"/>
        </w:rPr>
        <w:t>03/11/2025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37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Edith Aviles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9925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92505"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85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57659" TargetMode="External"/><Relationship Id="rId14"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2025-03-11T14:04:13Z</dcterms:created>
  <dcterms:modified xsi:type="dcterms:W3CDTF">2025-03-11T14:04:13Z</dcterms:modified>
</cp:coreProperties>
</file>