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3"/>
          <w:szCs w:val="13"/>
          <w:color w:val="auto"/>
        </w:rPr>
        <w:t>FORM 10-Q</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SECURITIES AND EXCHANGE COMMISSION</w:t>
      </w:r>
    </w:p>
    <w:p>
      <w:pPr>
        <w:spacing w:after="0" w:line="7" w:lineRule="exact"/>
        <w:rPr>
          <w:sz w:val="24"/>
          <w:szCs w:val="24"/>
          <w:color w:val="auto"/>
        </w:rPr>
      </w:pPr>
    </w:p>
    <w:p>
      <w:pPr>
        <w:spacing w:after="0"/>
        <w:tabs>
          <w:tab w:leader="none" w:pos="1500" w:val="left"/>
        </w:tabs>
        <w:rPr>
          <w:sz w:val="20"/>
          <w:szCs w:val="20"/>
          <w:color w:val="auto"/>
        </w:rPr>
      </w:pPr>
      <w:r>
        <w:rPr>
          <w:rFonts w:ascii="Courier New" w:cs="Courier New" w:eastAsia="Courier New" w:hAnsi="Courier New"/>
          <w:sz w:val="13"/>
          <w:szCs w:val="13"/>
          <w:color w:val="auto"/>
        </w:rPr>
        <w:t>WASHINGTON, D. C.</w:t>
        <w:tab/>
        <w:t>20549</w:t>
      </w:r>
    </w:p>
    <w:p>
      <w:pPr>
        <w:spacing w:after="0" w:line="161" w:lineRule="exact"/>
        <w:rPr>
          <w:sz w:val="24"/>
          <w:szCs w:val="24"/>
          <w:color w:val="auto"/>
        </w:rPr>
      </w:pPr>
    </w:p>
    <w:p>
      <w:pPr>
        <w:ind w:left="1120" w:hanging="1118"/>
        <w:spacing w:after="0"/>
        <w:tabs>
          <w:tab w:leader="none" w:pos="112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QUARTERLY REPORT PURSUANT TO SECTION 13 OR 15(d)</w:t>
      </w:r>
    </w:p>
    <w:p>
      <w:pPr>
        <w:spacing w:after="0" w:line="6"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OF THE SECURITIES EXCHANGE ACT OF 1934</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20"/>
                <w:szCs w:val="20"/>
                <w:color w:val="auto"/>
              </w:rPr>
            </w:pPr>
            <w:r>
              <w:rPr>
                <w:rFonts w:ascii="Courier New" w:cs="Courier New" w:eastAsia="Courier New" w:hAnsi="Courier New"/>
                <w:sz w:val="13"/>
                <w:szCs w:val="13"/>
                <w:color w:val="auto"/>
              </w:rPr>
              <w:t>For</w:t>
            </w:r>
          </w:p>
        </w:tc>
        <w:tc>
          <w:tcPr>
            <w:tcW w:w="1080" w:type="dxa"/>
            <w:vAlign w:val="bottom"/>
          </w:tcPr>
          <w:p>
            <w:pPr>
              <w:ind w:left="40"/>
              <w:spacing w:after="0"/>
              <w:rPr>
                <w:sz w:val="20"/>
                <w:szCs w:val="20"/>
                <w:color w:val="auto"/>
              </w:rPr>
            </w:pPr>
            <w:r>
              <w:rPr>
                <w:rFonts w:ascii="Courier New" w:cs="Courier New" w:eastAsia="Courier New" w:hAnsi="Courier New"/>
                <w:sz w:val="13"/>
                <w:szCs w:val="13"/>
                <w:color w:val="auto"/>
              </w:rPr>
              <w:t>the quarterly</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period ended</w:t>
            </w:r>
          </w:p>
        </w:tc>
        <w:tc>
          <w:tcPr>
            <w:tcW w:w="1300" w:type="dxa"/>
            <w:vAlign w:val="bottom"/>
          </w:tcPr>
          <w:p>
            <w:pPr>
              <w:ind w:left="40"/>
              <w:spacing w:after="0"/>
              <w:rPr>
                <w:sz w:val="20"/>
                <w:szCs w:val="20"/>
                <w:color w:val="auto"/>
              </w:rPr>
            </w:pPr>
            <w:r>
              <w:rPr>
                <w:rFonts w:ascii="Courier New" w:cs="Courier New" w:eastAsia="Courier New" w:hAnsi="Courier New"/>
                <w:sz w:val="13"/>
                <w:szCs w:val="13"/>
                <w:color w:val="auto"/>
              </w:rPr>
              <w:t>July 2, 1994</w:t>
            </w:r>
          </w:p>
        </w:tc>
        <w:tc>
          <w:tcPr>
            <w:tcW w:w="1560" w:type="dxa"/>
            <w:vAlign w:val="bottom"/>
          </w:tcPr>
          <w:p>
            <w:pPr>
              <w:spacing w:after="0"/>
              <w:rPr>
                <w:sz w:val="12"/>
                <w:szCs w:val="12"/>
                <w:color w:val="auto"/>
              </w:rPr>
            </w:pPr>
          </w:p>
        </w:tc>
      </w:tr>
      <w:tr>
        <w:trPr>
          <w:trHeight w:val="308"/>
        </w:trPr>
        <w:tc>
          <w:tcPr>
            <w:tcW w:w="280" w:type="dxa"/>
            <w:vAlign w:val="bottom"/>
          </w:tcPr>
          <w:p>
            <w:pPr>
              <w:spacing w:after="0"/>
              <w:rPr>
                <w:sz w:val="20"/>
                <w:szCs w:val="20"/>
                <w:color w:val="auto"/>
              </w:rPr>
            </w:pPr>
            <w:r>
              <w:rPr>
                <w:rFonts w:ascii="Courier New" w:cs="Courier New" w:eastAsia="Courier New" w:hAnsi="Courier New"/>
                <w:sz w:val="13"/>
                <w:szCs w:val="13"/>
                <w:color w:val="auto"/>
              </w:rPr>
              <w:t>OR</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08"/>
        </w:trPr>
        <w:tc>
          <w:tcPr>
            <w:tcW w:w="28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2380" w:type="dxa"/>
            <w:vAlign w:val="bottom"/>
            <w:gridSpan w:val="2"/>
          </w:tcPr>
          <w:p>
            <w:pPr>
              <w:spacing w:after="0"/>
              <w:rPr>
                <w:sz w:val="20"/>
                <w:szCs w:val="20"/>
                <w:color w:val="auto"/>
              </w:rPr>
            </w:pPr>
            <w:r>
              <w:rPr>
                <w:rFonts w:ascii="Courier New" w:cs="Courier New" w:eastAsia="Courier New" w:hAnsi="Courier New"/>
                <w:sz w:val="13"/>
                <w:szCs w:val="13"/>
                <w:color w:val="auto"/>
              </w:rPr>
              <w:t>TRANSITION REPORT PURSUANT TO</w:t>
            </w:r>
          </w:p>
        </w:tc>
        <w:tc>
          <w:tcPr>
            <w:tcW w:w="1560" w:type="dxa"/>
            <w:vAlign w:val="bottom"/>
          </w:tcPr>
          <w:p>
            <w:pPr>
              <w:ind w:left="40"/>
              <w:spacing w:after="0"/>
              <w:rPr>
                <w:sz w:val="20"/>
                <w:szCs w:val="20"/>
                <w:color w:val="auto"/>
              </w:rPr>
            </w:pPr>
            <w:r>
              <w:rPr>
                <w:rFonts w:ascii="Courier New" w:cs="Courier New" w:eastAsia="Courier New" w:hAnsi="Courier New"/>
                <w:sz w:val="13"/>
                <w:szCs w:val="13"/>
                <w:color w:val="auto"/>
              </w:rPr>
              <w:t>SECTION 13 OR 15(d)</w:t>
            </w:r>
          </w:p>
        </w:tc>
      </w:tr>
      <w:tr>
        <w:trPr>
          <w:trHeight w:val="154"/>
        </w:trPr>
        <w:tc>
          <w:tcPr>
            <w:tcW w:w="1360" w:type="dxa"/>
            <w:vAlign w:val="bottom"/>
            <w:gridSpan w:val="2"/>
          </w:tcPr>
          <w:p>
            <w:pPr>
              <w:spacing w:after="0"/>
              <w:rPr>
                <w:sz w:val="20"/>
                <w:szCs w:val="20"/>
                <w:color w:val="auto"/>
              </w:rPr>
            </w:pPr>
            <w:r>
              <w:rPr>
                <w:rFonts w:ascii="Courier New" w:cs="Courier New" w:eastAsia="Courier New" w:hAnsi="Courier New"/>
                <w:sz w:val="13"/>
                <w:szCs w:val="13"/>
                <w:color w:val="auto"/>
              </w:rPr>
              <w:t>OF THE SECURITIES</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EXCHANGE ACT</w:t>
            </w:r>
          </w:p>
        </w:tc>
        <w:tc>
          <w:tcPr>
            <w:tcW w:w="1300" w:type="dxa"/>
            <w:vAlign w:val="bottom"/>
          </w:tcPr>
          <w:p>
            <w:pPr>
              <w:ind w:left="40"/>
              <w:spacing w:after="0"/>
              <w:rPr>
                <w:sz w:val="20"/>
                <w:szCs w:val="20"/>
                <w:color w:val="auto"/>
              </w:rPr>
            </w:pPr>
            <w:r>
              <w:rPr>
                <w:rFonts w:ascii="Courier New" w:cs="Courier New" w:eastAsia="Courier New" w:hAnsi="Courier New"/>
                <w:sz w:val="13"/>
                <w:szCs w:val="13"/>
                <w:color w:val="auto"/>
              </w:rPr>
              <w:t>OF 1934</w:t>
            </w:r>
          </w:p>
        </w:tc>
        <w:tc>
          <w:tcPr>
            <w:tcW w:w="1560" w:type="dxa"/>
            <w:vAlign w:val="bottom"/>
          </w:tcPr>
          <w:p>
            <w:pPr>
              <w:spacing w:after="0"/>
              <w:rPr>
                <w:sz w:val="13"/>
                <w:szCs w:val="13"/>
                <w:color w:val="auto"/>
              </w:rPr>
            </w:pPr>
          </w:p>
        </w:tc>
      </w:tr>
      <w:tr>
        <w:trPr>
          <w:trHeight w:val="308"/>
        </w:trPr>
        <w:tc>
          <w:tcPr>
            <w:tcW w:w="280" w:type="dxa"/>
            <w:vAlign w:val="bottom"/>
          </w:tcPr>
          <w:p>
            <w:pPr>
              <w:spacing w:after="0"/>
              <w:rPr>
                <w:sz w:val="20"/>
                <w:szCs w:val="20"/>
                <w:color w:val="auto"/>
              </w:rPr>
            </w:pPr>
            <w:r>
              <w:rPr>
                <w:rFonts w:ascii="Courier New" w:cs="Courier New" w:eastAsia="Courier New" w:hAnsi="Courier New"/>
                <w:sz w:val="13"/>
                <w:szCs w:val="13"/>
                <w:color w:val="auto"/>
              </w:rPr>
              <w:t>For</w:t>
            </w:r>
          </w:p>
        </w:tc>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the transition period from</w:t>
            </w:r>
          </w:p>
        </w:tc>
        <w:tc>
          <w:tcPr>
            <w:tcW w:w="1300" w:type="dxa"/>
            <w:vAlign w:val="bottom"/>
          </w:tcPr>
          <w:p>
            <w:pPr>
              <w:ind w:left="40"/>
              <w:spacing w:after="0"/>
              <w:rPr>
                <w:sz w:val="20"/>
                <w:szCs w:val="20"/>
                <w:color w:val="auto"/>
              </w:rPr>
            </w:pPr>
            <w:r>
              <w:rPr>
                <w:rFonts w:ascii="Courier New" w:cs="Courier New" w:eastAsia="Courier New" w:hAnsi="Courier New"/>
                <w:sz w:val="13"/>
                <w:szCs w:val="13"/>
                <w:color w:val="auto"/>
              </w:rPr>
              <w:t>____________ to</w:t>
            </w:r>
          </w:p>
        </w:tc>
        <w:tc>
          <w:tcPr>
            <w:tcW w:w="1560" w:type="dxa"/>
            <w:vAlign w:val="bottom"/>
          </w:tcPr>
          <w:p>
            <w:pPr>
              <w:ind w:left="40"/>
              <w:spacing w:after="0"/>
              <w:rPr>
                <w:sz w:val="20"/>
                <w:szCs w:val="20"/>
                <w:color w:val="auto"/>
              </w:rPr>
            </w:pPr>
            <w:r>
              <w:rPr>
                <w:rFonts w:ascii="Courier New" w:cs="Courier New" w:eastAsia="Courier New" w:hAnsi="Courier New"/>
                <w:sz w:val="13"/>
                <w:szCs w:val="13"/>
                <w:color w:val="auto"/>
              </w:rPr>
              <w:t>____________</w:t>
            </w:r>
          </w:p>
        </w:tc>
      </w:tr>
    </w:tbl>
    <w:p>
      <w:pPr>
        <w:spacing w:after="0" w:line="15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Commission file number 0-19768</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THE SCOTTS COMPANY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(Exact name of registrant as specified in its charter)</w:t>
      </w:r>
    </w:p>
    <w:p>
      <w:pPr>
        <w:spacing w:after="0" w:line="161"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3"/>
          <w:szCs w:val="13"/>
          <w:color w:val="auto"/>
        </w:rPr>
        <w:t>Delaware</w:t>
      </w:r>
      <w:r>
        <w:rPr>
          <w:sz w:val="20"/>
          <w:szCs w:val="20"/>
          <w:color w:val="auto"/>
        </w:rPr>
        <w:tab/>
      </w:r>
      <w:r>
        <w:rPr>
          <w:rFonts w:ascii="Courier New" w:cs="Courier New" w:eastAsia="Courier New" w:hAnsi="Courier New"/>
          <w:sz w:val="13"/>
          <w:szCs w:val="13"/>
          <w:color w:val="auto"/>
        </w:rPr>
        <w:t>31-1199481</w:t>
      </w:r>
    </w:p>
    <w:p>
      <w:pPr>
        <w:spacing w:after="0" w:line="7" w:lineRule="exact"/>
        <w:rPr>
          <w:sz w:val="24"/>
          <w:szCs w:val="24"/>
          <w:color w:val="auto"/>
        </w:rPr>
      </w:pPr>
    </w:p>
    <w:p>
      <w:pPr>
        <w:spacing w:after="0"/>
        <w:tabs>
          <w:tab w:leader="none" w:pos="3200" w:val="left"/>
        </w:tabs>
        <w:rPr>
          <w:sz w:val="20"/>
          <w:szCs w:val="20"/>
          <w:color w:val="auto"/>
        </w:rPr>
      </w:pPr>
      <w:r>
        <w:rPr>
          <w:rFonts w:ascii="Courier New" w:cs="Courier New" w:eastAsia="Courier New" w:hAnsi="Courier New"/>
          <w:sz w:val="13"/>
          <w:szCs w:val="13"/>
          <w:color w:val="auto"/>
        </w:rPr>
        <w:t>(State or other jurisdiction of</w:t>
      </w:r>
      <w:r>
        <w:rPr>
          <w:sz w:val="20"/>
          <w:szCs w:val="20"/>
          <w:color w:val="auto"/>
        </w:rPr>
        <w:tab/>
      </w:r>
      <w:r>
        <w:rPr>
          <w:rFonts w:ascii="Courier New" w:cs="Courier New" w:eastAsia="Courier New" w:hAnsi="Courier New"/>
          <w:sz w:val="13"/>
          <w:szCs w:val="13"/>
          <w:color w:val="auto"/>
        </w:rPr>
        <w:t>(I.R.S. Employer Identification No.)</w:t>
      </w:r>
    </w:p>
    <w:p>
      <w:pPr>
        <w:spacing w:after="0" w:line="7" w:lineRule="exact"/>
        <w:rPr>
          <w:sz w:val="24"/>
          <w:szCs w:val="24"/>
          <w:color w:val="auto"/>
        </w:rPr>
      </w:pPr>
    </w:p>
    <w:p>
      <w:pPr>
        <w:ind w:left="1520"/>
        <w:spacing w:after="0"/>
        <w:rPr>
          <w:sz w:val="20"/>
          <w:szCs w:val="20"/>
          <w:color w:val="auto"/>
        </w:rPr>
      </w:pPr>
      <w:r>
        <w:rPr>
          <w:rFonts w:ascii="Courier New" w:cs="Courier New" w:eastAsia="Courier New" w:hAnsi="Courier New"/>
          <w:sz w:val="13"/>
          <w:szCs w:val="13"/>
          <w:color w:val="auto"/>
        </w:rPr>
        <w:t>incorporation or organization)</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14111 Scottslawn Road</w:t>
      </w:r>
    </w:p>
    <w:p>
      <w:pPr>
        <w:spacing w:after="0" w:line="7" w:lineRule="exact"/>
        <w:rPr>
          <w:sz w:val="24"/>
          <w:szCs w:val="24"/>
          <w:color w:val="auto"/>
        </w:rPr>
      </w:pPr>
    </w:p>
    <w:p>
      <w:pPr>
        <w:spacing w:after="0"/>
        <w:tabs>
          <w:tab w:leader="none" w:pos="1420" w:val="left"/>
        </w:tabs>
        <w:rPr>
          <w:sz w:val="20"/>
          <w:szCs w:val="20"/>
          <w:color w:val="auto"/>
        </w:rPr>
      </w:pPr>
      <w:r>
        <w:rPr>
          <w:rFonts w:ascii="Courier New" w:cs="Courier New" w:eastAsia="Courier New" w:hAnsi="Courier New"/>
          <w:sz w:val="13"/>
          <w:szCs w:val="13"/>
          <w:color w:val="auto"/>
        </w:rPr>
        <w:t>Marysville, Ohio</w:t>
        <w:tab/>
        <w:t>43041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(Address of principal executive offices)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161" w:lineRule="exact"/>
        <w:rPr>
          <w:sz w:val="24"/>
          <w:szCs w:val="24"/>
          <w:color w:val="auto"/>
        </w:rPr>
      </w:pPr>
    </w:p>
    <w:p>
      <w:pPr>
        <w:ind w:left="2800" w:hanging="472"/>
        <w:spacing w:after="0"/>
        <w:tabs>
          <w:tab w:leader="none" w:pos="280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644-0011</w:t>
      </w:r>
    </w:p>
    <w:p>
      <w:pPr>
        <w:spacing w:after="0" w:line="6"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(Registrant's telephone number, including area code)</w:t>
      </w:r>
    </w:p>
    <w:p>
      <w:pPr>
        <w:spacing w:after="0" w:line="161" w:lineRule="exact"/>
        <w:rPr>
          <w:sz w:val="24"/>
          <w:szCs w:val="24"/>
          <w:color w:val="auto"/>
        </w:rPr>
      </w:pPr>
    </w:p>
    <w:p>
      <w:pPr>
        <w:ind w:left="2800"/>
        <w:spacing w:after="0"/>
        <w:rPr>
          <w:sz w:val="20"/>
          <w:szCs w:val="20"/>
          <w:color w:val="auto"/>
        </w:rPr>
      </w:pPr>
      <w:r>
        <w:rPr>
          <w:rFonts w:ascii="Courier New" w:cs="Courier New" w:eastAsia="Courier New" w:hAnsi="Courier New"/>
          <w:sz w:val="13"/>
          <w:szCs w:val="13"/>
          <w:color w:val="auto"/>
        </w:rPr>
        <w:t>(No change)</w:t>
      </w:r>
    </w:p>
    <w:p>
      <w:pPr>
        <w:spacing w:after="0" w:line="7" w:lineRule="exact"/>
        <w:rPr>
          <w:sz w:val="24"/>
          <w:szCs w:val="24"/>
          <w:color w:val="auto"/>
        </w:rPr>
      </w:pPr>
    </w:p>
    <w:p>
      <w:pPr>
        <w:ind w:right="5060"/>
        <w:spacing w:after="0" w:line="254" w:lineRule="auto"/>
        <w:rPr>
          <w:sz w:val="20"/>
          <w:szCs w:val="20"/>
          <w:color w:val="auto"/>
        </w:rPr>
      </w:pPr>
      <w:r>
        <w:rPr>
          <w:rFonts w:ascii="Courier New" w:cs="Courier New" w:eastAsia="Courier New" w:hAnsi="Courier New"/>
          <w:sz w:val="13"/>
          <w:szCs w:val="13"/>
          <w:color w:val="auto"/>
        </w:rPr>
        <w:t>(Former name, former address and former fiscal year, if changed since last report.)</w:t>
      </w:r>
    </w:p>
    <w:p>
      <w:pPr>
        <w:spacing w:after="0" w:line="151" w:lineRule="exact"/>
        <w:rPr>
          <w:sz w:val="24"/>
          <w:szCs w:val="24"/>
          <w:color w:val="auto"/>
        </w:rPr>
      </w:pPr>
    </w:p>
    <w:p>
      <w:pPr>
        <w:ind w:right="4900"/>
        <w:spacing w:after="0" w:line="251" w:lineRule="auto"/>
        <w:rPr>
          <w:sz w:val="20"/>
          <w:szCs w:val="20"/>
          <w:color w:val="auto"/>
        </w:rPr>
      </w:pPr>
      <w:r>
        <w:rPr>
          <w:rFonts w:ascii="Courier New" w:cs="Courier New" w:eastAsia="Courier New" w:hAnsi="Courier New"/>
          <w:sz w:val="13"/>
          <w:szCs w:val="13"/>
          <w:color w:val="auto"/>
        </w:rPr>
        <w:t>Indicate by check mark whether registrant (1) has filed all reports required to be filed by Section</w:t>
      </w:r>
    </w:p>
    <w:p>
      <w:pPr>
        <w:ind w:right="5060"/>
        <w:spacing w:after="0" w:line="251" w:lineRule="auto"/>
        <w:rPr>
          <w:sz w:val="20"/>
          <w:szCs w:val="20"/>
          <w:color w:val="auto"/>
        </w:rPr>
      </w:pPr>
      <w:r>
        <w:rPr>
          <w:rFonts w:ascii="Courier New" w:cs="Courier New" w:eastAsia="Courier New" w:hAnsi="Courier New"/>
          <w:sz w:val="13"/>
          <w:szCs w:val="13"/>
          <w:color w:val="auto"/>
        </w:rPr>
        <w:t>13 or 15(d) of the Securities Exchange Act of 1934 during the preceding 12 months (or for such</w:t>
      </w:r>
    </w:p>
    <w:p>
      <w:pPr>
        <w:spacing w:after="0"/>
        <w:rPr>
          <w:sz w:val="20"/>
          <w:szCs w:val="20"/>
          <w:color w:val="auto"/>
        </w:rPr>
      </w:pPr>
      <w:r>
        <w:rPr>
          <w:rFonts w:ascii="Courier New" w:cs="Courier New" w:eastAsia="Courier New" w:hAnsi="Courier New"/>
          <w:sz w:val="13"/>
          <w:szCs w:val="13"/>
          <w:color w:val="auto"/>
        </w:rPr>
        <w:t>shorter period that the registrant was required to file such reports), and (2)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has been subject to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such filing requirements for the past 90 days.</w:t>
      </w:r>
    </w:p>
    <w:p>
      <w:pPr>
        <w:sectPr>
          <w:pgSz w:w="11900" w:h="16838" w:orient="portrait"/>
          <w:cols w:equalWidth="0" w:num="1">
            <w:col w:w="11000"/>
          </w:cols>
          <w:pgMar w:left="220" w:top="995" w:right="679" w:bottom="0" w:gutter="0" w:footer="0" w:header="0"/>
        </w:sectPr>
      </w:pPr>
    </w:p>
    <w:p>
      <w:pPr>
        <w:spacing w:after="0" w:line="161" w:lineRule="exact"/>
        <w:rPr>
          <w:sz w:val="24"/>
          <w:szCs w:val="24"/>
          <w:color w:val="auto"/>
        </w:rPr>
      </w:pPr>
    </w:p>
    <w:p>
      <w:pPr>
        <w:ind w:left="4500"/>
        <w:spacing w:after="0"/>
        <w:rPr>
          <w:sz w:val="20"/>
          <w:szCs w:val="20"/>
          <w:color w:val="auto"/>
        </w:rPr>
      </w:pPr>
      <w:r>
        <w:rPr>
          <w:rFonts w:ascii="Courier New" w:cs="Courier New" w:eastAsia="Courier New" w:hAnsi="Courier New"/>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61" w:lineRule="exact"/>
        <w:rPr>
          <w:sz w:val="24"/>
          <w:szCs w:val="24"/>
          <w:color w:val="auto"/>
        </w:rPr>
      </w:pPr>
    </w:p>
    <w:p>
      <w:pPr>
        <w:sectPr>
          <w:pgSz w:w="11900" w:h="16838" w:orient="portrait"/>
          <w:cols w:equalWidth="0" w:num="3">
            <w:col w:w="4740" w:space="240"/>
            <w:col w:w="80" w:space="720"/>
            <w:col w:w="5220"/>
          </w:cols>
          <w:pgMar w:left="220" w:top="995" w:right="679" w:bottom="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Indicate the number of shares outstanding of each of the issuer's classes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common stock as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the latest practicable date.</w:t>
      </w:r>
    </w:p>
    <w:p>
      <w:pPr>
        <w:sectPr>
          <w:pgSz w:w="11900" w:h="16838" w:orient="portrait"/>
          <w:cols w:equalWidth="0" w:num="1">
            <w:col w:w="11000"/>
          </w:cols>
          <w:pgMar w:left="220" w:top="995" w:right="679" w:bottom="0" w:gutter="0" w:footer="0" w:header="0"/>
          <w:type w:val="continuous"/>
        </w:sectPr>
      </w:pP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Class 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Outstanding at August 12, 1994</w:t>
      </w:r>
    </w:p>
    <w:p>
      <w:pPr>
        <w:spacing w:after="0" w:line="161" w:lineRule="exact"/>
        <w:rPr>
          <w:sz w:val="24"/>
          <w:szCs w:val="24"/>
          <w:color w:val="auto"/>
        </w:rPr>
      </w:pPr>
    </w:p>
    <w:p>
      <w:pPr>
        <w:sectPr>
          <w:pgSz w:w="11900" w:h="16838" w:orient="portrait"/>
          <w:cols w:equalWidth="0" w:num="2">
            <w:col w:w="2580" w:space="720"/>
            <w:col w:w="7700"/>
          </w:cols>
          <w:pgMar w:left="220" w:top="995" w:right="679" w:bottom="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Common Stock, voting,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18,667,064</w:t>
      </w:r>
    </w:p>
    <w:p>
      <w:pPr>
        <w:spacing w:after="0" w:line="200" w:lineRule="exact"/>
        <w:rPr>
          <w:sz w:val="24"/>
          <w:szCs w:val="24"/>
          <w:color w:val="auto"/>
        </w:rPr>
      </w:pPr>
    </w:p>
    <w:p>
      <w:pPr>
        <w:sectPr>
          <w:pgSz w:w="11900" w:h="16838" w:orient="portrait"/>
          <w:cols w:equalWidth="0" w:num="2">
            <w:col w:w="3300" w:space="720"/>
            <w:col w:w="6980"/>
          </w:cols>
          <w:pgMar w:left="220" w:top="995" w:right="679" w:bottom="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Page 1 of 18 pages</w:t>
      </w:r>
    </w:p>
    <w:p>
      <w:pPr>
        <w:sectPr>
          <w:pgSz w:w="11900" w:h="16838" w:orient="portrait"/>
          <w:cols w:equalWidth="0" w:num="1">
            <w:col w:w="11000"/>
          </w:cols>
          <w:pgMar w:left="220" w:top="995" w:right="679" w:bottom="0" w:gutter="0" w:footer="0" w:header="0"/>
          <w:type w:val="continuous"/>
        </w:sectPr>
      </w:pP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Exhibit Index at page 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THE SCOTTS COMPANY AND SUBSIDIARIES</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right"/>
        <w:spacing w:after="0"/>
        <w:rPr>
          <w:sz w:val="20"/>
          <w:szCs w:val="20"/>
          <w:color w:val="auto"/>
        </w:rPr>
      </w:pPr>
      <w:r>
        <w:rPr>
          <w:rFonts w:ascii="Courier New" w:cs="Courier New" w:eastAsia="Courier New" w:hAnsi="Courier New"/>
          <w:sz w:val="13"/>
          <w:szCs w:val="13"/>
          <w:color w:val="auto"/>
        </w:rPr>
        <w:t>Page No.</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420" w:type="dxa"/>
            <w:vAlign w:val="bottom"/>
            <w:gridSpan w:val="2"/>
          </w:tcPr>
          <w:p>
            <w:pPr>
              <w:jc w:val="right"/>
              <w:ind w:right="793"/>
              <w:spacing w:after="0"/>
              <w:rPr>
                <w:sz w:val="20"/>
                <w:szCs w:val="20"/>
                <w:color w:val="auto"/>
              </w:rPr>
            </w:pPr>
            <w:r>
              <w:rPr>
                <w:rFonts w:ascii="Courier New" w:cs="Courier New" w:eastAsia="Courier New" w:hAnsi="Courier New"/>
                <w:sz w:val="13"/>
                <w:szCs w:val="13"/>
                <w:color w:val="auto"/>
              </w:rPr>
              <w:t>Part  I.  Financial Information:</w:t>
            </w:r>
          </w:p>
        </w:tc>
        <w:tc>
          <w:tcPr>
            <w:tcW w:w="368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308"/>
        </w:trPr>
        <w:tc>
          <w:tcPr>
            <w:tcW w:w="3420" w:type="dxa"/>
            <w:vAlign w:val="bottom"/>
            <w:gridSpan w:val="2"/>
          </w:tcPr>
          <w:p>
            <w:pPr>
              <w:jc w:val="right"/>
              <w:ind w:right="393"/>
              <w:spacing w:after="0"/>
              <w:rPr>
                <w:sz w:val="20"/>
                <w:szCs w:val="20"/>
                <w:color w:val="auto"/>
              </w:rPr>
            </w:pPr>
            <w:r>
              <w:rPr>
                <w:rFonts w:ascii="Courier New" w:cs="Courier New" w:eastAsia="Courier New" w:hAnsi="Courier New"/>
                <w:sz w:val="13"/>
                <w:szCs w:val="13"/>
                <w:color w:val="auto"/>
              </w:rPr>
              <w:t>Item 1.  Financial Statements</w:t>
            </w:r>
          </w:p>
        </w:tc>
        <w:tc>
          <w:tcPr>
            <w:tcW w:w="36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54"/>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rPr>
              <w:t>Consolidated</w:t>
            </w:r>
          </w:p>
        </w:tc>
        <w:tc>
          <w:tcPr>
            <w:tcW w:w="482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Balance Sheets -</w:t>
            </w:r>
          </w:p>
        </w:tc>
        <w:tc>
          <w:tcPr>
            <w:tcW w:w="2600" w:type="dxa"/>
            <w:vAlign w:val="bottom"/>
          </w:tcPr>
          <w:p>
            <w:pPr>
              <w:spacing w:after="0"/>
              <w:rPr>
                <w:sz w:val="13"/>
                <w:szCs w:val="13"/>
                <w:color w:val="auto"/>
              </w:rPr>
            </w:pPr>
          </w:p>
        </w:tc>
      </w:tr>
      <w:tr>
        <w:trPr>
          <w:trHeight w:val="154"/>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rPr>
              <w:t>July</w:t>
            </w:r>
          </w:p>
        </w:tc>
        <w:tc>
          <w:tcPr>
            <w:tcW w:w="1140" w:type="dxa"/>
            <w:vAlign w:val="bottom"/>
          </w:tcPr>
          <w:p>
            <w:pPr>
              <w:jc w:val="right"/>
              <w:spacing w:after="0"/>
              <w:rPr>
                <w:sz w:val="20"/>
                <w:szCs w:val="20"/>
                <w:color w:val="auto"/>
              </w:rPr>
            </w:pPr>
            <w:r>
              <w:rPr>
                <w:rFonts w:ascii="Courier New" w:cs="Courier New" w:eastAsia="Courier New" w:hAnsi="Courier New"/>
                <w:sz w:val="13"/>
                <w:szCs w:val="13"/>
                <w:color w:val="auto"/>
              </w:rPr>
              <w:t>3, 1993, July</w:t>
            </w:r>
          </w:p>
        </w:tc>
        <w:tc>
          <w:tcPr>
            <w:tcW w:w="3680" w:type="dxa"/>
            <w:vAlign w:val="bottom"/>
          </w:tcPr>
          <w:p>
            <w:pPr>
              <w:ind w:left="40"/>
              <w:spacing w:after="0"/>
              <w:rPr>
                <w:sz w:val="20"/>
                <w:szCs w:val="20"/>
                <w:color w:val="auto"/>
              </w:rPr>
            </w:pPr>
            <w:r>
              <w:rPr>
                <w:rFonts w:ascii="Courier New" w:cs="Courier New" w:eastAsia="Courier New" w:hAnsi="Courier New"/>
                <w:sz w:val="13"/>
                <w:szCs w:val="13"/>
                <w:color w:val="auto"/>
              </w:rPr>
              <w:t>2, 1994 and September 30, 199</w:t>
            </w:r>
          </w:p>
        </w:tc>
        <w:tc>
          <w:tcPr>
            <w:tcW w:w="2600" w:type="dxa"/>
            <w:vAlign w:val="bottom"/>
          </w:tcPr>
          <w:p>
            <w:pPr>
              <w:jc w:val="right"/>
              <w:ind w:right="1453"/>
              <w:spacing w:after="0"/>
              <w:rPr>
                <w:sz w:val="20"/>
                <w:szCs w:val="20"/>
                <w:color w:val="auto"/>
              </w:rPr>
            </w:pPr>
            <w:r>
              <w:rPr>
                <w:rFonts w:ascii="Courier New" w:cs="Courier New" w:eastAsia="Courier New" w:hAnsi="Courier New"/>
                <w:sz w:val="13"/>
                <w:szCs w:val="13"/>
                <w:color w:val="auto"/>
              </w:rPr>
              <w:t>3-4</w:t>
            </w:r>
          </w:p>
        </w:tc>
      </w:tr>
      <w:tr>
        <w:trPr>
          <w:trHeight w:val="308"/>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rPr>
              <w:t>Consolidated</w:t>
            </w:r>
          </w:p>
        </w:tc>
        <w:tc>
          <w:tcPr>
            <w:tcW w:w="1140" w:type="dxa"/>
            <w:vAlign w:val="bottom"/>
          </w:tcPr>
          <w:p>
            <w:pPr>
              <w:jc w:val="right"/>
              <w:spacing w:after="0"/>
              <w:rPr>
                <w:sz w:val="20"/>
                <w:szCs w:val="20"/>
                <w:color w:val="auto"/>
              </w:rPr>
            </w:pPr>
            <w:r>
              <w:rPr>
                <w:rFonts w:ascii="Courier New" w:cs="Courier New" w:eastAsia="Courier New" w:hAnsi="Courier New"/>
                <w:sz w:val="13"/>
                <w:szCs w:val="13"/>
                <w:color w:val="auto"/>
              </w:rPr>
              <w:t>Statements of</w:t>
            </w:r>
          </w:p>
        </w:tc>
        <w:tc>
          <w:tcPr>
            <w:tcW w:w="3680" w:type="dxa"/>
            <w:vAlign w:val="bottom"/>
          </w:tcPr>
          <w:p>
            <w:pPr>
              <w:ind w:left="40"/>
              <w:spacing w:after="0"/>
              <w:rPr>
                <w:sz w:val="20"/>
                <w:szCs w:val="20"/>
                <w:color w:val="auto"/>
              </w:rPr>
            </w:pPr>
            <w:r>
              <w:rPr>
                <w:rFonts w:ascii="Courier New" w:cs="Courier New" w:eastAsia="Courier New" w:hAnsi="Courier New"/>
                <w:sz w:val="13"/>
                <w:szCs w:val="13"/>
                <w:color w:val="auto"/>
              </w:rPr>
              <w:t>Income - Three month and nine month</w:t>
            </w:r>
          </w:p>
        </w:tc>
        <w:tc>
          <w:tcPr>
            <w:tcW w:w="2600" w:type="dxa"/>
            <w:vAlign w:val="bottom"/>
          </w:tcPr>
          <w:p>
            <w:pPr>
              <w:spacing w:after="0"/>
              <w:rPr>
                <w:sz w:val="24"/>
                <w:szCs w:val="24"/>
                <w:color w:val="auto"/>
              </w:rPr>
            </w:pPr>
          </w:p>
        </w:tc>
      </w:tr>
      <w:tr>
        <w:trPr>
          <w:trHeight w:val="154"/>
        </w:trPr>
        <w:tc>
          <w:tcPr>
            <w:tcW w:w="34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periods ended July</w:t>
            </w:r>
          </w:p>
        </w:tc>
        <w:tc>
          <w:tcPr>
            <w:tcW w:w="3680" w:type="dxa"/>
            <w:vAlign w:val="bottom"/>
          </w:tcPr>
          <w:p>
            <w:pPr>
              <w:ind w:left="40"/>
              <w:spacing w:after="0"/>
              <w:rPr>
                <w:sz w:val="20"/>
                <w:szCs w:val="20"/>
                <w:color w:val="auto"/>
              </w:rPr>
            </w:pPr>
            <w:r>
              <w:rPr>
                <w:rFonts w:ascii="Courier New" w:cs="Courier New" w:eastAsia="Courier New" w:hAnsi="Courier New"/>
                <w:sz w:val="13"/>
                <w:szCs w:val="13"/>
                <w:color w:val="auto"/>
              </w:rPr>
              <w:t>3, 1993 and July 2, 1994</w:t>
            </w:r>
          </w:p>
        </w:tc>
        <w:tc>
          <w:tcPr>
            <w:tcW w:w="260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308"/>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rPr>
              <w:t>Consolidated</w:t>
            </w:r>
          </w:p>
        </w:tc>
        <w:tc>
          <w:tcPr>
            <w:tcW w:w="1140" w:type="dxa"/>
            <w:vAlign w:val="bottom"/>
          </w:tcPr>
          <w:p>
            <w:pPr>
              <w:jc w:val="right"/>
              <w:spacing w:after="0"/>
              <w:rPr>
                <w:sz w:val="20"/>
                <w:szCs w:val="20"/>
                <w:color w:val="auto"/>
              </w:rPr>
            </w:pPr>
            <w:r>
              <w:rPr>
                <w:rFonts w:ascii="Courier New" w:cs="Courier New" w:eastAsia="Courier New" w:hAnsi="Courier New"/>
                <w:sz w:val="13"/>
                <w:szCs w:val="13"/>
                <w:color w:val="auto"/>
              </w:rPr>
              <w:t>Statements of</w:t>
            </w:r>
          </w:p>
        </w:tc>
        <w:tc>
          <w:tcPr>
            <w:tcW w:w="3680" w:type="dxa"/>
            <w:vAlign w:val="bottom"/>
          </w:tcPr>
          <w:p>
            <w:pPr>
              <w:ind w:left="40"/>
              <w:spacing w:after="0"/>
              <w:rPr>
                <w:sz w:val="20"/>
                <w:szCs w:val="20"/>
                <w:color w:val="auto"/>
              </w:rPr>
            </w:pPr>
            <w:r>
              <w:rPr>
                <w:rFonts w:ascii="Courier New" w:cs="Courier New" w:eastAsia="Courier New" w:hAnsi="Courier New"/>
                <w:sz w:val="13"/>
                <w:szCs w:val="13"/>
                <w:color w:val="auto"/>
              </w:rPr>
              <w:t>Cash Flows - Nine month</w:t>
            </w:r>
          </w:p>
        </w:tc>
        <w:tc>
          <w:tcPr>
            <w:tcW w:w="2600" w:type="dxa"/>
            <w:vAlign w:val="bottom"/>
          </w:tcPr>
          <w:p>
            <w:pPr>
              <w:spacing w:after="0"/>
              <w:rPr>
                <w:sz w:val="24"/>
                <w:szCs w:val="24"/>
                <w:color w:val="auto"/>
              </w:rPr>
            </w:pPr>
          </w:p>
        </w:tc>
      </w:tr>
      <w:tr>
        <w:trPr>
          <w:trHeight w:val="154"/>
        </w:trPr>
        <w:tc>
          <w:tcPr>
            <w:tcW w:w="34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periods ended July</w:t>
            </w:r>
          </w:p>
        </w:tc>
        <w:tc>
          <w:tcPr>
            <w:tcW w:w="3680" w:type="dxa"/>
            <w:vAlign w:val="bottom"/>
          </w:tcPr>
          <w:p>
            <w:pPr>
              <w:ind w:left="40"/>
              <w:spacing w:after="0"/>
              <w:rPr>
                <w:sz w:val="20"/>
                <w:szCs w:val="20"/>
                <w:color w:val="auto"/>
              </w:rPr>
            </w:pPr>
            <w:r>
              <w:rPr>
                <w:rFonts w:ascii="Courier New" w:cs="Courier New" w:eastAsia="Courier New" w:hAnsi="Courier New"/>
                <w:sz w:val="13"/>
                <w:szCs w:val="13"/>
                <w:color w:val="auto"/>
              </w:rPr>
              <w:t>3, 1993 and July 2, 1994</w:t>
            </w:r>
          </w:p>
        </w:tc>
        <w:tc>
          <w:tcPr>
            <w:tcW w:w="2600" w:type="dxa"/>
            <w:vAlign w:val="bottom"/>
          </w:tcPr>
          <w:p>
            <w:pPr>
              <w:jc w:val="right"/>
              <w:spacing w:after="0"/>
              <w:rPr>
                <w:sz w:val="20"/>
                <w:szCs w:val="20"/>
                <w:color w:val="auto"/>
              </w:rPr>
            </w:pPr>
            <w:r>
              <w:rPr>
                <w:rFonts w:ascii="Courier New" w:cs="Courier New" w:eastAsia="Courier New" w:hAnsi="Courier New"/>
                <w:sz w:val="13"/>
                <w:szCs w:val="13"/>
                <w:color w:val="auto"/>
              </w:rPr>
              <w:t>6</w:t>
            </w:r>
          </w:p>
        </w:tc>
      </w:tr>
    </w:tbl>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Notes to Consolidated Financial</w:t>
            </w:r>
          </w:p>
        </w:tc>
        <w:tc>
          <w:tcPr>
            <w:tcW w:w="2680" w:type="dxa"/>
            <w:vAlign w:val="bottom"/>
          </w:tcPr>
          <w:p>
            <w:pPr>
              <w:ind w:left="40"/>
              <w:spacing w:after="0"/>
              <w:rPr>
                <w:sz w:val="20"/>
                <w:szCs w:val="20"/>
                <w:color w:val="auto"/>
              </w:rPr>
            </w:pPr>
            <w:r>
              <w:rPr>
                <w:rFonts w:ascii="Courier New" w:cs="Courier New" w:eastAsia="Courier New" w:hAnsi="Courier New"/>
                <w:sz w:val="13"/>
                <w:szCs w:val="13"/>
                <w:color w:val="auto"/>
              </w:rPr>
              <w:t>Statements</w:t>
            </w:r>
          </w:p>
        </w:tc>
        <w:tc>
          <w:tcPr>
            <w:tcW w:w="336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7-10</w:t>
            </w:r>
          </w:p>
        </w:tc>
      </w:tr>
      <w:tr>
        <w:trPr>
          <w:trHeight w:val="308"/>
        </w:trPr>
        <w:tc>
          <w:tcPr>
            <w:tcW w:w="1000" w:type="dxa"/>
            <w:vAlign w:val="bottom"/>
          </w:tcPr>
          <w:p>
            <w:pPr>
              <w:ind w:left="640"/>
              <w:spacing w:after="0"/>
              <w:rPr>
                <w:sz w:val="20"/>
                <w:szCs w:val="20"/>
                <w:color w:val="auto"/>
              </w:rPr>
            </w:pPr>
            <w:r>
              <w:rPr>
                <w:rFonts w:ascii="Courier New" w:cs="Courier New" w:eastAsia="Courier New" w:hAnsi="Courier New"/>
                <w:sz w:val="13"/>
                <w:szCs w:val="13"/>
                <w:color w:val="auto"/>
              </w:rPr>
              <w:t>Item</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2.</w:t>
            </w:r>
          </w:p>
        </w:tc>
        <w:tc>
          <w:tcPr>
            <w:tcW w:w="526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Management's Discussion and Analysis of</w:t>
            </w:r>
          </w:p>
        </w:tc>
        <w:tc>
          <w:tcPr>
            <w:tcW w:w="3360" w:type="dxa"/>
            <w:vAlign w:val="bottom"/>
          </w:tcPr>
          <w:p>
            <w:pPr>
              <w:spacing w:after="0"/>
              <w:rPr>
                <w:sz w:val="24"/>
                <w:szCs w:val="24"/>
                <w:color w:val="auto"/>
              </w:rPr>
            </w:pPr>
          </w:p>
        </w:tc>
      </w:tr>
      <w:tr>
        <w:trPr>
          <w:trHeight w:val="154"/>
        </w:trPr>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Financial Condition and Results</w:t>
            </w:r>
          </w:p>
        </w:tc>
        <w:tc>
          <w:tcPr>
            <w:tcW w:w="2680" w:type="dxa"/>
            <w:vAlign w:val="bottom"/>
          </w:tcPr>
          <w:p>
            <w:pPr>
              <w:ind w:left="40"/>
              <w:spacing w:after="0"/>
              <w:rPr>
                <w:sz w:val="20"/>
                <w:szCs w:val="20"/>
                <w:color w:val="auto"/>
              </w:rPr>
            </w:pPr>
            <w:r>
              <w:rPr>
                <w:rFonts w:ascii="Courier New" w:cs="Courier New" w:eastAsia="Courier New" w:hAnsi="Courier New"/>
                <w:sz w:val="13"/>
                <w:szCs w:val="13"/>
                <w:color w:val="auto"/>
              </w:rPr>
              <w:t>of Operations</w:t>
            </w:r>
          </w:p>
        </w:tc>
        <w:tc>
          <w:tcPr>
            <w:tcW w:w="3360" w:type="dxa"/>
            <w:vAlign w:val="bottom"/>
          </w:tcPr>
          <w:p>
            <w:pPr>
              <w:jc w:val="right"/>
              <w:ind w:right="1293"/>
              <w:spacing w:after="0"/>
              <w:rPr>
                <w:sz w:val="20"/>
                <w:szCs w:val="20"/>
                <w:color w:val="auto"/>
              </w:rPr>
            </w:pPr>
            <w:r>
              <w:rPr>
                <w:rFonts w:ascii="Courier New" w:cs="Courier New" w:eastAsia="Courier New" w:hAnsi="Courier New"/>
                <w:sz w:val="13"/>
                <w:szCs w:val="13"/>
                <w:color w:val="auto"/>
              </w:rPr>
              <w:t>11-14</w:t>
            </w:r>
          </w:p>
        </w:tc>
      </w:tr>
      <w:tr>
        <w:trPr>
          <w:trHeight w:val="463"/>
        </w:trPr>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Part II.  Other</w:t>
            </w: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Information</w:t>
            </w:r>
          </w:p>
        </w:tc>
        <w:tc>
          <w:tcPr>
            <w:tcW w:w="26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08"/>
        </w:trPr>
        <w:tc>
          <w:tcPr>
            <w:tcW w:w="1000" w:type="dxa"/>
            <w:vAlign w:val="bottom"/>
          </w:tcPr>
          <w:p>
            <w:pPr>
              <w:ind w:left="640"/>
              <w:spacing w:after="0"/>
              <w:rPr>
                <w:sz w:val="20"/>
                <w:szCs w:val="20"/>
                <w:color w:val="auto"/>
              </w:rPr>
            </w:pPr>
            <w:r>
              <w:rPr>
                <w:rFonts w:ascii="Courier New" w:cs="Courier New" w:eastAsia="Courier New" w:hAnsi="Courier New"/>
                <w:sz w:val="13"/>
                <w:szCs w:val="13"/>
                <w:color w:val="auto"/>
              </w:rPr>
              <w:t>Item</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1.</w:t>
            </w:r>
          </w:p>
        </w:tc>
        <w:tc>
          <w:tcPr>
            <w:tcW w:w="2580" w:type="dxa"/>
            <w:vAlign w:val="bottom"/>
          </w:tcPr>
          <w:p>
            <w:pPr>
              <w:ind w:left="120"/>
              <w:spacing w:after="0"/>
              <w:rPr>
                <w:sz w:val="20"/>
                <w:szCs w:val="20"/>
                <w:color w:val="auto"/>
              </w:rPr>
            </w:pPr>
            <w:r>
              <w:rPr>
                <w:rFonts w:ascii="Courier New" w:cs="Courier New" w:eastAsia="Courier New" w:hAnsi="Courier New"/>
                <w:sz w:val="13"/>
                <w:szCs w:val="13"/>
                <w:color w:val="auto"/>
              </w:rPr>
              <w:t>Legal Proceedings</w:t>
            </w:r>
          </w:p>
        </w:tc>
        <w:tc>
          <w:tcPr>
            <w:tcW w:w="268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14-15</w:t>
            </w:r>
          </w:p>
        </w:tc>
      </w:tr>
    </w:tbl>
    <w:p>
      <w:pPr>
        <w:sectPr>
          <w:pgSz w:w="11900" w:h="16838" w:orient="portrait"/>
          <w:cols w:equalWidth="0" w:num="1">
            <w:col w:w="11000"/>
          </w:cols>
          <w:pgMar w:left="220" w:top="995" w:right="6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40"/>
              <w:spacing w:after="0"/>
              <w:rPr>
                <w:sz w:val="20"/>
                <w:szCs w:val="20"/>
                <w:color w:val="auto"/>
              </w:rPr>
            </w:pPr>
            <w:r>
              <w:rPr>
                <w:rFonts w:ascii="Courier New" w:cs="Courier New" w:eastAsia="Courier New" w:hAnsi="Courier New"/>
                <w:sz w:val="13"/>
                <w:szCs w:val="13"/>
                <w:color w:val="auto"/>
              </w:rPr>
              <w:t>Item 6.  Exhibits and Reports on Form 8-K</w:t>
            </w:r>
          </w:p>
        </w:tc>
        <w:tc>
          <w:tcPr>
            <w:tcW w:w="4960" w:type="dxa"/>
            <w:vAlign w:val="bottom"/>
          </w:tcPr>
          <w:p>
            <w:pPr>
              <w:jc w:val="right"/>
              <w:ind w:right="2093"/>
              <w:spacing w:after="0"/>
              <w:rPr>
                <w:sz w:val="20"/>
                <w:szCs w:val="20"/>
                <w:color w:val="auto"/>
              </w:rPr>
            </w:pPr>
            <w:r>
              <w:rPr>
                <w:rFonts w:ascii="Courier New" w:cs="Courier New" w:eastAsia="Courier New" w:hAnsi="Courier New"/>
                <w:sz w:val="13"/>
                <w:szCs w:val="13"/>
                <w:color w:val="auto"/>
              </w:rPr>
              <w:t>15</w:t>
            </w:r>
          </w:p>
        </w:tc>
      </w:tr>
      <w:tr>
        <w:trPr>
          <w:trHeight w:val="463"/>
        </w:trPr>
        <w:tc>
          <w:tcPr>
            <w:tcW w:w="6580" w:type="dxa"/>
            <w:vAlign w:val="bottom"/>
          </w:tcPr>
          <w:p>
            <w:pPr>
              <w:spacing w:after="0"/>
              <w:rPr>
                <w:sz w:val="20"/>
                <w:szCs w:val="20"/>
                <w:color w:val="auto"/>
              </w:rPr>
            </w:pPr>
            <w:r>
              <w:rPr>
                <w:rFonts w:ascii="Courier New" w:cs="Courier New" w:eastAsia="Courier New" w:hAnsi="Courier New"/>
                <w:sz w:val="13"/>
                <w:szCs w:val="13"/>
                <w:color w:val="auto"/>
              </w:rPr>
              <w:t>Signatures</w:t>
            </w:r>
          </w:p>
        </w:tc>
        <w:tc>
          <w:tcPr>
            <w:tcW w:w="4960" w:type="dxa"/>
            <w:vAlign w:val="bottom"/>
          </w:tcPr>
          <w:p>
            <w:pPr>
              <w:jc w:val="right"/>
              <w:spacing w:after="0"/>
              <w:rPr>
                <w:sz w:val="20"/>
                <w:szCs w:val="20"/>
                <w:color w:val="auto"/>
              </w:rPr>
            </w:pPr>
            <w:r>
              <w:rPr>
                <w:rFonts w:ascii="Courier New" w:cs="Courier New" w:eastAsia="Courier New" w:hAnsi="Courier New"/>
                <w:sz w:val="13"/>
                <w:szCs w:val="13"/>
                <w:color w:val="auto"/>
              </w:rPr>
              <w:t>16</w:t>
            </w:r>
          </w:p>
        </w:tc>
      </w:tr>
      <w:tr>
        <w:trPr>
          <w:trHeight w:val="463"/>
        </w:trPr>
        <w:tc>
          <w:tcPr>
            <w:tcW w:w="6580" w:type="dxa"/>
            <w:vAlign w:val="bottom"/>
          </w:tcPr>
          <w:p>
            <w:pPr>
              <w:spacing w:after="0"/>
              <w:rPr>
                <w:sz w:val="20"/>
                <w:szCs w:val="20"/>
                <w:color w:val="auto"/>
              </w:rPr>
            </w:pPr>
            <w:r>
              <w:rPr>
                <w:rFonts w:ascii="Courier New" w:cs="Courier New" w:eastAsia="Courier New" w:hAnsi="Courier New"/>
                <w:sz w:val="13"/>
                <w:szCs w:val="13"/>
                <w:color w:val="auto"/>
              </w:rPr>
              <w:t>Exhibit Index</w:t>
            </w:r>
          </w:p>
        </w:tc>
        <w:tc>
          <w:tcPr>
            <w:tcW w:w="496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2</w:t>
      </w:r>
    </w:p>
    <w:p>
      <w:pPr>
        <w:spacing w:after="0" w:line="200" w:lineRule="exact"/>
        <w:rPr>
          <w:sz w:val="20"/>
          <w:szCs w:val="20"/>
          <w:color w:val="auto"/>
        </w:rPr>
      </w:pPr>
    </w:p>
    <w:p>
      <w:pPr>
        <w:spacing w:after="0" w:line="270" w:lineRule="exact"/>
        <w:rPr>
          <w:sz w:val="20"/>
          <w:szCs w:val="20"/>
          <w:color w:val="auto"/>
        </w:rPr>
      </w:pPr>
    </w:p>
    <w:p>
      <w:pPr>
        <w:spacing w:after="0"/>
        <w:tabs>
          <w:tab w:leader="none" w:pos="620" w:val="left"/>
          <w:tab w:leader="none" w:pos="860" w:val="left"/>
        </w:tabs>
        <w:rPr>
          <w:sz w:val="20"/>
          <w:szCs w:val="20"/>
          <w:color w:val="auto"/>
        </w:rPr>
      </w:pPr>
      <w:r>
        <w:rPr>
          <w:rFonts w:ascii="Courier New" w:cs="Courier New" w:eastAsia="Courier New" w:hAnsi="Courier New"/>
          <w:sz w:val="13"/>
          <w:szCs w:val="13"/>
          <w:color w:val="auto"/>
        </w:rPr>
        <w:t>PART I</w:t>
        <w:tab/>
        <w:t>-</w:t>
        <w:tab/>
        <w:t>FINANCIAL INFORMATION</w:t>
      </w:r>
    </w:p>
    <w:p>
      <w:pPr>
        <w:spacing w:after="0" w:line="7" w:lineRule="exact"/>
        <w:rPr>
          <w:sz w:val="20"/>
          <w:szCs w:val="20"/>
          <w:color w:val="auto"/>
        </w:rPr>
      </w:pPr>
    </w:p>
    <w:p>
      <w:pPr>
        <w:ind w:left="160"/>
        <w:spacing w:after="0"/>
        <w:tabs>
          <w:tab w:leader="none" w:pos="860" w:val="left"/>
        </w:tabs>
        <w:rPr>
          <w:sz w:val="20"/>
          <w:szCs w:val="20"/>
          <w:color w:val="auto"/>
        </w:rPr>
      </w:pPr>
      <w:r>
        <w:rPr>
          <w:rFonts w:ascii="Courier New" w:cs="Courier New" w:eastAsia="Courier New" w:hAnsi="Courier New"/>
          <w:sz w:val="13"/>
          <w:szCs w:val="13"/>
          <w:color w:val="auto"/>
        </w:rPr>
        <w:t>ITEM 1.</w:t>
        <w:tab/>
        <w:t>FINANCIAL STATEMENTS</w:t>
      </w:r>
    </w:p>
    <w:p>
      <w:pPr>
        <w:spacing w:after="0" w:line="315" w:lineRule="exact"/>
        <w:rPr>
          <w:sz w:val="20"/>
          <w:szCs w:val="20"/>
          <w:color w:val="auto"/>
        </w:rPr>
      </w:pPr>
    </w:p>
    <w:p>
      <w:pPr>
        <w:ind w:left="1520"/>
        <w:spacing w:after="0"/>
        <w:rPr>
          <w:sz w:val="20"/>
          <w:szCs w:val="20"/>
          <w:color w:val="auto"/>
        </w:rPr>
      </w:pPr>
      <w:r>
        <w:rPr>
          <w:rFonts w:ascii="Courier New" w:cs="Courier New" w:eastAsia="Courier New" w:hAnsi="Courier New"/>
          <w:sz w:val="13"/>
          <w:szCs w:val="13"/>
          <w:color w:val="auto"/>
        </w:rPr>
        <w:t>THE SCOTTS COMPANY AND SUBSIDIARIES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color w:val="auto"/>
        </w:rPr>
        <w:t>CONSOLIDATED BALANCE SHEETS</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(Unaudited)</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ASSETS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308"/>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July 3</w:t>
            </w:r>
          </w:p>
        </w:tc>
        <w:tc>
          <w:tcPr>
            <w:tcW w:w="9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July 2</w:t>
            </w:r>
          </w:p>
        </w:tc>
        <w:tc>
          <w:tcPr>
            <w:tcW w:w="1120" w:type="dxa"/>
            <w:vAlign w:val="bottom"/>
            <w:gridSpan w:val="3"/>
          </w:tcPr>
          <w:p>
            <w:pPr>
              <w:jc w:val="right"/>
              <w:ind w:right="13"/>
              <w:spacing w:after="0"/>
              <w:rPr>
                <w:sz w:val="20"/>
                <w:szCs w:val="20"/>
                <w:color w:val="auto"/>
              </w:rPr>
            </w:pPr>
            <w:r>
              <w:rPr>
                <w:rFonts w:ascii="Courier New" w:cs="Courier New" w:eastAsia="Courier New" w:hAnsi="Courier New"/>
                <w:sz w:val="13"/>
                <w:szCs w:val="13"/>
                <w:color w:val="auto"/>
              </w:rPr>
              <w:t>September 30</w:t>
            </w:r>
          </w:p>
        </w:tc>
        <w:tc>
          <w:tcPr>
            <w:tcW w:w="960" w:type="dxa"/>
            <w:vAlign w:val="bottom"/>
          </w:tcPr>
          <w:p>
            <w:pPr>
              <w:spacing w:after="0"/>
              <w:rPr>
                <w:sz w:val="24"/>
                <w:szCs w:val="24"/>
                <w:color w:val="auto"/>
              </w:rPr>
            </w:pPr>
          </w:p>
        </w:tc>
      </w:tr>
      <w:tr>
        <w:trPr>
          <w:trHeight w:val="154"/>
        </w:trPr>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95"/>
              </w:rPr>
              <w:t>1993</w:t>
            </w:r>
          </w:p>
        </w:tc>
        <w:tc>
          <w:tcPr>
            <w:tcW w:w="9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1994</w:t>
            </w:r>
          </w:p>
        </w:tc>
        <w:tc>
          <w:tcPr>
            <w:tcW w:w="160" w:type="dxa"/>
            <w:vAlign w:val="bottom"/>
          </w:tcPr>
          <w:p>
            <w:pPr>
              <w:spacing w:after="0"/>
              <w:rPr>
                <w:sz w:val="13"/>
                <w:szCs w:val="13"/>
                <w:color w:val="auto"/>
              </w:rPr>
            </w:pPr>
          </w:p>
        </w:tc>
        <w:tc>
          <w:tcPr>
            <w:tcW w:w="96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1993</w:t>
            </w:r>
          </w:p>
        </w:tc>
        <w:tc>
          <w:tcPr>
            <w:tcW w:w="960" w:type="dxa"/>
            <w:vAlign w:val="bottom"/>
          </w:tcPr>
          <w:p>
            <w:pPr>
              <w:spacing w:after="0"/>
              <w:rPr>
                <w:sz w:val="13"/>
                <w:szCs w:val="13"/>
                <w:color w:val="auto"/>
              </w:rPr>
            </w:pPr>
          </w:p>
        </w:tc>
      </w:tr>
      <w:tr>
        <w:trPr>
          <w:trHeight w:val="463"/>
        </w:trPr>
        <w:tc>
          <w:tcPr>
            <w:tcW w:w="1240" w:type="dxa"/>
            <w:vAlign w:val="bottom"/>
          </w:tcPr>
          <w:p>
            <w:pPr>
              <w:spacing w:after="0"/>
              <w:rPr>
                <w:sz w:val="20"/>
                <w:szCs w:val="20"/>
                <w:color w:val="auto"/>
              </w:rPr>
            </w:pPr>
            <w:r>
              <w:rPr>
                <w:rFonts w:ascii="Courier New" w:cs="Courier New" w:eastAsia="Courier New" w:hAnsi="Courier New"/>
                <w:sz w:val="13"/>
                <w:szCs w:val="13"/>
                <w:color w:val="auto"/>
              </w:rPr>
              <w:t>Current Assets: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8"/>
        </w:trPr>
        <w:tc>
          <w:tcPr>
            <w:tcW w:w="31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Cash and cash equivalents $</w:t>
            </w:r>
          </w:p>
        </w:tc>
        <w:tc>
          <w:tcPr>
            <w:tcW w:w="90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1,963 $</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8,812</w:t>
            </w:r>
          </w:p>
        </w:tc>
        <w:tc>
          <w:tcPr>
            <w:tcW w:w="5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ind w:right="493"/>
              <w:spacing w:after="0"/>
              <w:rPr>
                <w:sz w:val="20"/>
                <w:szCs w:val="20"/>
                <w:color w:val="auto"/>
              </w:rPr>
            </w:pPr>
            <w:r>
              <w:rPr>
                <w:rFonts w:ascii="Courier New" w:cs="Courier New" w:eastAsia="Courier New" w:hAnsi="Courier New"/>
                <w:sz w:val="13"/>
                <w:szCs w:val="13"/>
                <w:color w:val="auto"/>
                <w:w w:val="97"/>
              </w:rPr>
              <w:t>2,323</w:t>
            </w:r>
          </w:p>
        </w:tc>
      </w:tr>
      <w:tr>
        <w:trPr>
          <w:trHeight w:val="308"/>
        </w:trPr>
        <w:tc>
          <w:tcPr>
            <w:tcW w:w="31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Accounts receivable, less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4"/>
        </w:trPr>
        <w:tc>
          <w:tcPr>
            <w:tcW w:w="1240" w:type="dxa"/>
            <w:vAlign w:val="bottom"/>
          </w:tcPr>
          <w:p>
            <w:pPr>
              <w:ind w:left="80"/>
              <w:spacing w:after="0"/>
              <w:rPr>
                <w:sz w:val="20"/>
                <w:szCs w:val="20"/>
                <w:color w:val="auto"/>
              </w:rPr>
            </w:pPr>
            <w:r>
              <w:rPr>
                <w:rFonts w:ascii="Courier New" w:cs="Courier New" w:eastAsia="Courier New" w:hAnsi="Courier New"/>
                <w:sz w:val="13"/>
                <w:szCs w:val="13"/>
                <w:color w:val="auto"/>
              </w:rPr>
              <w:t>allowances</w:t>
            </w:r>
          </w:p>
        </w:tc>
        <w:tc>
          <w:tcPr>
            <w:tcW w:w="188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of $3,154, $3,442</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248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and $2,511, respectively</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53,819</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90,468</w:t>
            </w:r>
          </w:p>
        </w:tc>
        <w:tc>
          <w:tcPr>
            <w:tcW w:w="160" w:type="dxa"/>
            <w:vAlign w:val="bottom"/>
          </w:tcPr>
          <w:p>
            <w:pPr>
              <w:spacing w:after="0"/>
              <w:rPr>
                <w:sz w:val="13"/>
                <w:szCs w:val="13"/>
                <w:color w:val="auto"/>
              </w:rPr>
            </w:pPr>
          </w:p>
        </w:tc>
        <w:tc>
          <w:tcPr>
            <w:tcW w:w="9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60,848</w:t>
            </w:r>
          </w:p>
        </w:tc>
        <w:tc>
          <w:tcPr>
            <w:tcW w:w="960" w:type="dxa"/>
            <w:vAlign w:val="bottom"/>
          </w:tcPr>
          <w:p>
            <w:pPr>
              <w:spacing w:after="0"/>
              <w:rPr>
                <w:sz w:val="13"/>
                <w:szCs w:val="13"/>
                <w:color w:val="auto"/>
              </w:rPr>
            </w:pPr>
          </w:p>
        </w:tc>
      </w:tr>
      <w:tr>
        <w:trPr>
          <w:trHeight w:val="308"/>
        </w:trPr>
        <w:tc>
          <w:tcPr>
            <w:tcW w:w="176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Inventories: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4"/>
        </w:trPr>
        <w:tc>
          <w:tcPr>
            <w:tcW w:w="12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Raw materials</w:t>
            </w:r>
          </w:p>
        </w:tc>
        <w:tc>
          <w:tcPr>
            <w:tcW w:w="64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26,567</w:t>
            </w:r>
          </w:p>
        </w:tc>
        <w:tc>
          <w:tcPr>
            <w:tcW w:w="4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35,332</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31,905</w:t>
            </w:r>
          </w:p>
        </w:tc>
      </w:tr>
      <w:tr>
        <w:trPr>
          <w:trHeight w:val="308"/>
        </w:trPr>
        <w:tc>
          <w:tcPr>
            <w:tcW w:w="248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Finished products</w:t>
            </w:r>
          </w:p>
        </w:tc>
        <w:tc>
          <w:tcPr>
            <w:tcW w:w="64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45,157</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71,112</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44,749</w:t>
            </w:r>
          </w:p>
        </w:tc>
      </w:tr>
      <w:tr>
        <w:trPr>
          <w:trHeight w:val="308"/>
        </w:trPr>
        <w:tc>
          <w:tcPr>
            <w:tcW w:w="248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Total inventories</w:t>
            </w:r>
          </w:p>
        </w:tc>
        <w:tc>
          <w:tcPr>
            <w:tcW w:w="64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71,724</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106,444</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76,654</w:t>
            </w:r>
          </w:p>
        </w:tc>
      </w:tr>
      <w:tr>
        <w:trPr>
          <w:trHeight w:val="308"/>
        </w:trPr>
        <w:tc>
          <w:tcPr>
            <w:tcW w:w="248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Other current assets</w:t>
            </w:r>
          </w:p>
        </w:tc>
        <w:tc>
          <w:tcPr>
            <w:tcW w:w="64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4,320</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6,742</w:t>
            </w:r>
          </w:p>
        </w:tc>
        <w:tc>
          <w:tcPr>
            <w:tcW w:w="560" w:type="dxa"/>
            <w:vAlign w:val="bottom"/>
          </w:tcPr>
          <w:p>
            <w:pPr>
              <w:spacing w:after="0"/>
              <w:rPr>
                <w:sz w:val="24"/>
                <w:szCs w:val="24"/>
                <w:color w:val="auto"/>
              </w:rPr>
            </w:pPr>
          </w:p>
        </w:tc>
        <w:tc>
          <w:tcPr>
            <w:tcW w:w="960" w:type="dxa"/>
            <w:vAlign w:val="bottom"/>
          </w:tcPr>
          <w:p>
            <w:pPr>
              <w:jc w:val="right"/>
              <w:ind w:right="493"/>
              <w:spacing w:after="0"/>
              <w:rPr>
                <w:sz w:val="20"/>
                <w:szCs w:val="20"/>
                <w:color w:val="auto"/>
              </w:rPr>
            </w:pPr>
            <w:r>
              <w:rPr>
                <w:rFonts w:ascii="Courier New" w:cs="Courier New" w:eastAsia="Courier New" w:hAnsi="Courier New"/>
                <w:sz w:val="13"/>
                <w:szCs w:val="13"/>
                <w:color w:val="auto"/>
                <w:w w:val="97"/>
              </w:rPr>
              <w:t>3,917</w:t>
            </w:r>
          </w:p>
        </w:tc>
      </w:tr>
      <w:tr>
        <w:trPr>
          <w:trHeight w:val="154"/>
        </w:trPr>
        <w:tc>
          <w:tcPr>
            <w:tcW w:w="1240" w:type="dxa"/>
            <w:vAlign w:val="bottom"/>
          </w:tcPr>
          <w:p>
            <w:pPr>
              <w:spacing w:after="0"/>
              <w:rPr>
                <w:sz w:val="13"/>
                <w:szCs w:val="13"/>
                <w:color w:val="auto"/>
              </w:rPr>
            </w:pPr>
          </w:p>
        </w:tc>
        <w:tc>
          <w:tcPr>
            <w:tcW w:w="188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Total current assets</w:t>
            </w: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131,826</w:t>
            </w:r>
          </w:p>
        </w:tc>
        <w:tc>
          <w:tcPr>
            <w:tcW w:w="4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w w:val="98"/>
              </w:rPr>
              <w:t>212,466</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143,742</w:t>
            </w:r>
          </w:p>
        </w:tc>
      </w:tr>
      <w:tr>
        <w:trPr>
          <w:trHeight w:val="308"/>
        </w:trPr>
        <w:tc>
          <w:tcPr>
            <w:tcW w:w="3120" w:type="dxa"/>
            <w:vAlign w:val="bottom"/>
            <w:gridSpan w:val="4"/>
          </w:tcPr>
          <w:p>
            <w:pPr>
              <w:spacing w:after="0"/>
              <w:rPr>
                <w:sz w:val="20"/>
                <w:szCs w:val="20"/>
                <w:color w:val="auto"/>
              </w:rPr>
            </w:pPr>
            <w:r>
              <w:rPr>
                <w:rFonts w:ascii="Courier New" w:cs="Courier New" w:eastAsia="Courier New" w:hAnsi="Courier New"/>
                <w:sz w:val="13"/>
                <w:szCs w:val="13"/>
                <w:color w:val="auto"/>
              </w:rPr>
              <w:t>Property, plant and equipment, at cost: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4"/>
        </w:trPr>
        <w:tc>
          <w:tcPr>
            <w:tcW w:w="31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Land and land improvements</w:t>
            </w: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19,409</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21,773</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19,817</w:t>
            </w:r>
          </w:p>
        </w:tc>
      </w:tr>
      <w:tr>
        <w:trPr>
          <w:trHeight w:val="308"/>
        </w:trPr>
        <w:tc>
          <w:tcPr>
            <w:tcW w:w="176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Buildings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36,014</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40,925</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36,300</w:t>
            </w:r>
          </w:p>
        </w:tc>
      </w:tr>
      <w:tr>
        <w:trPr>
          <w:trHeight w:val="154"/>
        </w:trPr>
        <w:tc>
          <w:tcPr>
            <w:tcW w:w="248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Machinery and equipment</w:t>
            </w:r>
          </w:p>
        </w:tc>
        <w:tc>
          <w:tcPr>
            <w:tcW w:w="640" w:type="dxa"/>
            <w:vAlign w:val="bottom"/>
          </w:tcPr>
          <w:p>
            <w:pPr>
              <w:spacing w:after="0"/>
              <w:rPr>
                <w:sz w:val="13"/>
                <w:szCs w:val="13"/>
                <w:color w:val="auto"/>
              </w:rPr>
            </w:pP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81,418</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113,372</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87,250</w:t>
            </w:r>
          </w:p>
        </w:tc>
      </w:tr>
      <w:tr>
        <w:trPr>
          <w:trHeight w:val="154"/>
        </w:trPr>
        <w:tc>
          <w:tcPr>
            <w:tcW w:w="248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Furniture and fixtures</w:t>
            </w:r>
          </w:p>
        </w:tc>
        <w:tc>
          <w:tcPr>
            <w:tcW w:w="640" w:type="dxa"/>
            <w:vAlign w:val="bottom"/>
          </w:tcPr>
          <w:p>
            <w:pPr>
              <w:spacing w:after="0"/>
              <w:rPr>
                <w:sz w:val="13"/>
                <w:szCs w:val="13"/>
                <w:color w:val="auto"/>
              </w:rPr>
            </w:pP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6,274</w:t>
            </w: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6,472</w:t>
            </w:r>
          </w:p>
        </w:tc>
        <w:tc>
          <w:tcPr>
            <w:tcW w:w="560" w:type="dxa"/>
            <w:vAlign w:val="bottom"/>
          </w:tcPr>
          <w:p>
            <w:pPr>
              <w:spacing w:after="0"/>
              <w:rPr>
                <w:sz w:val="13"/>
                <w:szCs w:val="13"/>
                <w:color w:val="auto"/>
              </w:rPr>
            </w:pPr>
          </w:p>
        </w:tc>
        <w:tc>
          <w:tcPr>
            <w:tcW w:w="960" w:type="dxa"/>
            <w:vAlign w:val="bottom"/>
          </w:tcPr>
          <w:p>
            <w:pPr>
              <w:jc w:val="right"/>
              <w:ind w:right="493"/>
              <w:spacing w:after="0"/>
              <w:rPr>
                <w:sz w:val="20"/>
                <w:szCs w:val="20"/>
                <w:color w:val="auto"/>
              </w:rPr>
            </w:pPr>
            <w:r>
              <w:rPr>
                <w:rFonts w:ascii="Courier New" w:cs="Courier New" w:eastAsia="Courier New" w:hAnsi="Courier New"/>
                <w:sz w:val="13"/>
                <w:szCs w:val="13"/>
                <w:color w:val="auto"/>
                <w:w w:val="97"/>
              </w:rPr>
              <w:t>5,952</w:t>
            </w:r>
          </w:p>
        </w:tc>
      </w:tr>
      <w:tr>
        <w:trPr>
          <w:trHeight w:val="154"/>
        </w:trPr>
        <w:tc>
          <w:tcPr>
            <w:tcW w:w="31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Construction in progress</w:t>
            </w: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4,691</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15,022</w:t>
            </w:r>
          </w:p>
        </w:tc>
        <w:tc>
          <w:tcPr>
            <w:tcW w:w="560" w:type="dxa"/>
            <w:vAlign w:val="bottom"/>
          </w:tcPr>
          <w:p>
            <w:pPr>
              <w:spacing w:after="0"/>
              <w:rPr>
                <w:sz w:val="13"/>
                <w:szCs w:val="13"/>
                <w:color w:val="auto"/>
              </w:rPr>
            </w:pPr>
          </w:p>
        </w:tc>
        <w:tc>
          <w:tcPr>
            <w:tcW w:w="960" w:type="dxa"/>
            <w:vAlign w:val="bottom"/>
          </w:tcPr>
          <w:p>
            <w:pPr>
              <w:jc w:val="right"/>
              <w:ind w:right="493"/>
              <w:spacing w:after="0"/>
              <w:rPr>
                <w:sz w:val="20"/>
                <w:szCs w:val="20"/>
                <w:color w:val="auto"/>
              </w:rPr>
            </w:pPr>
            <w:r>
              <w:rPr>
                <w:rFonts w:ascii="Courier New" w:cs="Courier New" w:eastAsia="Courier New" w:hAnsi="Courier New"/>
                <w:sz w:val="13"/>
                <w:szCs w:val="13"/>
                <w:color w:val="auto"/>
                <w:w w:val="97"/>
              </w:rPr>
              <w:t>4,687</w:t>
            </w:r>
          </w:p>
        </w:tc>
      </w:tr>
      <w:tr>
        <w:trPr>
          <w:trHeight w:val="308"/>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147,806</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197,564</w:t>
            </w:r>
          </w:p>
        </w:tc>
        <w:tc>
          <w:tcPr>
            <w:tcW w:w="160" w:type="dxa"/>
            <w:vAlign w:val="bottom"/>
          </w:tcPr>
          <w:p>
            <w:pPr>
              <w:spacing w:after="0"/>
              <w:rPr>
                <w:sz w:val="24"/>
                <w:szCs w:val="24"/>
                <w:color w:val="auto"/>
              </w:rPr>
            </w:pPr>
          </w:p>
        </w:tc>
        <w:tc>
          <w:tcPr>
            <w:tcW w:w="9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154,006</w:t>
            </w:r>
          </w:p>
        </w:tc>
        <w:tc>
          <w:tcPr>
            <w:tcW w:w="960" w:type="dxa"/>
            <w:vAlign w:val="bottom"/>
          </w:tcPr>
          <w:p>
            <w:pPr>
              <w:spacing w:after="0"/>
              <w:rPr>
                <w:sz w:val="24"/>
                <w:szCs w:val="24"/>
                <w:color w:val="auto"/>
              </w:rPr>
            </w:pPr>
          </w:p>
        </w:tc>
      </w:tr>
      <w:tr>
        <w:trPr>
          <w:trHeight w:val="308"/>
        </w:trPr>
        <w:tc>
          <w:tcPr>
            <w:tcW w:w="31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Less accumulated depreciation</w:t>
            </w: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52,978</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65,752</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55,215</w:t>
            </w:r>
          </w:p>
        </w:tc>
      </w:tr>
      <w:tr>
        <w:trPr>
          <w:trHeight w:val="154"/>
        </w:trPr>
        <w:tc>
          <w:tcPr>
            <w:tcW w:w="248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Net property, plant and</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1240" w:type="dxa"/>
            <w:vAlign w:val="bottom"/>
          </w:tcPr>
          <w:p>
            <w:pPr>
              <w:ind w:left="160"/>
              <w:spacing w:after="0"/>
              <w:rPr>
                <w:sz w:val="20"/>
                <w:szCs w:val="20"/>
                <w:color w:val="auto"/>
              </w:rPr>
            </w:pPr>
            <w:r>
              <w:rPr>
                <w:rFonts w:ascii="Courier New" w:cs="Courier New" w:eastAsia="Courier New" w:hAnsi="Courier New"/>
                <w:sz w:val="13"/>
                <w:szCs w:val="13"/>
                <w:color w:val="auto"/>
              </w:rPr>
              <w:t>equipment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94,828</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131,812</w:t>
            </w:r>
          </w:p>
        </w:tc>
        <w:tc>
          <w:tcPr>
            <w:tcW w:w="160" w:type="dxa"/>
            <w:vAlign w:val="bottom"/>
          </w:tcPr>
          <w:p>
            <w:pPr>
              <w:spacing w:after="0"/>
              <w:rPr>
                <w:sz w:val="13"/>
                <w:szCs w:val="13"/>
                <w:color w:val="auto"/>
              </w:rPr>
            </w:pPr>
          </w:p>
        </w:tc>
        <w:tc>
          <w:tcPr>
            <w:tcW w:w="9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98,791</w:t>
            </w:r>
          </w:p>
        </w:tc>
        <w:tc>
          <w:tcPr>
            <w:tcW w:w="960" w:type="dxa"/>
            <w:vAlign w:val="bottom"/>
          </w:tcPr>
          <w:p>
            <w:pPr>
              <w:spacing w:after="0"/>
              <w:rPr>
                <w:sz w:val="13"/>
                <w:szCs w:val="13"/>
                <w:color w:val="auto"/>
              </w:rPr>
            </w:pPr>
          </w:p>
        </w:tc>
      </w:tr>
      <w:tr>
        <w:trPr>
          <w:trHeight w:val="308"/>
        </w:trPr>
        <w:tc>
          <w:tcPr>
            <w:tcW w:w="3120" w:type="dxa"/>
            <w:vAlign w:val="bottom"/>
            <w:gridSpan w:val="4"/>
          </w:tcPr>
          <w:p>
            <w:pPr>
              <w:spacing w:after="0"/>
              <w:rPr>
                <w:sz w:val="20"/>
                <w:szCs w:val="20"/>
                <w:color w:val="auto"/>
              </w:rPr>
            </w:pPr>
            <w:r>
              <w:rPr>
                <w:rFonts w:ascii="Courier New" w:cs="Courier New" w:eastAsia="Courier New" w:hAnsi="Courier New"/>
                <w:sz w:val="13"/>
                <w:szCs w:val="13"/>
                <w:color w:val="auto"/>
              </w:rPr>
              <w:t>Intangible assets, net of accumulated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4"/>
        </w:trPr>
        <w:tc>
          <w:tcPr>
            <w:tcW w:w="1240" w:type="dxa"/>
            <w:vAlign w:val="bottom"/>
          </w:tcPr>
          <w:p>
            <w:pPr>
              <w:ind w:left="80"/>
              <w:spacing w:after="0"/>
              <w:rPr>
                <w:sz w:val="20"/>
                <w:szCs w:val="20"/>
                <w:color w:val="auto"/>
              </w:rPr>
            </w:pPr>
            <w:r>
              <w:rPr>
                <w:rFonts w:ascii="Courier New" w:cs="Courier New" w:eastAsia="Courier New" w:hAnsi="Courier New"/>
                <w:sz w:val="13"/>
                <w:szCs w:val="13"/>
                <w:color w:val="auto"/>
              </w:rPr>
              <w:t>amortization</w:t>
            </w:r>
          </w:p>
        </w:tc>
        <w:tc>
          <w:tcPr>
            <w:tcW w:w="188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of $20,572, $24,137,</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248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and $21,053, respectively</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20,881</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23,938</w:t>
            </w:r>
          </w:p>
        </w:tc>
        <w:tc>
          <w:tcPr>
            <w:tcW w:w="160" w:type="dxa"/>
            <w:vAlign w:val="bottom"/>
          </w:tcPr>
          <w:p>
            <w:pPr>
              <w:spacing w:after="0"/>
              <w:rPr>
                <w:sz w:val="13"/>
                <w:szCs w:val="13"/>
                <w:color w:val="auto"/>
              </w:rPr>
            </w:pPr>
          </w:p>
        </w:tc>
        <w:tc>
          <w:tcPr>
            <w:tcW w:w="9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19,972</w:t>
            </w:r>
          </w:p>
        </w:tc>
        <w:tc>
          <w:tcPr>
            <w:tcW w:w="960" w:type="dxa"/>
            <w:vAlign w:val="bottom"/>
          </w:tcPr>
          <w:p>
            <w:pPr>
              <w:spacing w:after="0"/>
              <w:rPr>
                <w:sz w:val="13"/>
                <w:szCs w:val="13"/>
                <w:color w:val="auto"/>
              </w:rPr>
            </w:pPr>
          </w:p>
        </w:tc>
      </w:tr>
      <w:tr>
        <w:trPr>
          <w:trHeight w:val="308"/>
        </w:trPr>
        <w:tc>
          <w:tcPr>
            <w:tcW w:w="3120" w:type="dxa"/>
            <w:vAlign w:val="bottom"/>
            <w:gridSpan w:val="4"/>
          </w:tcPr>
          <w:p>
            <w:pPr>
              <w:spacing w:after="0"/>
              <w:rPr>
                <w:sz w:val="20"/>
                <w:szCs w:val="20"/>
                <w:color w:val="auto"/>
              </w:rPr>
            </w:pPr>
            <w:r>
              <w:rPr>
                <w:rFonts w:ascii="Courier New" w:cs="Courier New" w:eastAsia="Courier New" w:hAnsi="Courier New"/>
                <w:sz w:val="13"/>
                <w:szCs w:val="13"/>
                <w:color w:val="auto"/>
              </w:rPr>
              <w:t>Deferred costs and other assets, net of</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54"/>
        </w:trPr>
        <w:tc>
          <w:tcPr>
            <w:tcW w:w="1240" w:type="dxa"/>
            <w:vAlign w:val="bottom"/>
          </w:tcPr>
          <w:p>
            <w:pPr>
              <w:ind w:left="80"/>
              <w:spacing w:after="0"/>
              <w:rPr>
                <w:sz w:val="20"/>
                <w:szCs w:val="20"/>
                <w:color w:val="auto"/>
              </w:rPr>
            </w:pPr>
            <w:r>
              <w:rPr>
                <w:rFonts w:ascii="Courier New" w:cs="Courier New" w:eastAsia="Courier New" w:hAnsi="Courier New"/>
                <w:sz w:val="13"/>
                <w:szCs w:val="13"/>
                <w:color w:val="auto"/>
              </w:rPr>
              <w:t>accumulated</w:t>
            </w: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amortization of</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248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$7,553, $8,829, and $7,770,</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176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respectively</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19,596</w:t>
            </w: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21,743</w:t>
            </w:r>
          </w:p>
        </w:tc>
        <w:tc>
          <w:tcPr>
            <w:tcW w:w="152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17,745</w:t>
            </w:r>
          </w:p>
        </w:tc>
      </w:tr>
      <w:tr>
        <w:trPr>
          <w:trHeight w:val="154"/>
        </w:trPr>
        <w:tc>
          <w:tcPr>
            <w:tcW w:w="2480" w:type="dxa"/>
            <w:vAlign w:val="bottom"/>
            <w:gridSpan w:val="3"/>
          </w:tcPr>
          <w:p>
            <w:pPr>
              <w:spacing w:after="0"/>
              <w:rPr>
                <w:sz w:val="20"/>
                <w:szCs w:val="20"/>
                <w:color w:val="auto"/>
              </w:rPr>
            </w:pPr>
            <w:r>
              <w:rPr>
                <w:rFonts w:ascii="Courier New" w:cs="Courier New" w:eastAsia="Courier New" w:hAnsi="Courier New"/>
                <w:sz w:val="13"/>
                <w:szCs w:val="13"/>
                <w:color w:val="auto"/>
              </w:rPr>
              <w:t>Excess of costs over underlying</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176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value of net assets</w:t>
            </w:r>
          </w:p>
        </w:tc>
        <w:tc>
          <w:tcPr>
            <w:tcW w:w="136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acquired</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248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(goodwill), net of accumulated</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1240" w:type="dxa"/>
            <w:vAlign w:val="bottom"/>
          </w:tcPr>
          <w:p>
            <w:pPr>
              <w:ind w:left="80"/>
              <w:spacing w:after="0"/>
              <w:rPr>
                <w:sz w:val="20"/>
                <w:szCs w:val="20"/>
                <w:color w:val="auto"/>
              </w:rPr>
            </w:pPr>
            <w:r>
              <w:rPr>
                <w:rFonts w:ascii="Courier New" w:cs="Courier New" w:eastAsia="Courier New" w:hAnsi="Courier New"/>
                <w:sz w:val="13"/>
                <w:szCs w:val="13"/>
                <w:color w:val="auto"/>
              </w:rPr>
              <w:t>amortization</w:t>
            </w:r>
          </w:p>
        </w:tc>
        <w:tc>
          <w:tcPr>
            <w:tcW w:w="188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of $4,957, $6,843,</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4"/>
        </w:trPr>
        <w:tc>
          <w:tcPr>
            <w:tcW w:w="248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and $5,123, respectively</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41,019</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106,453</w:t>
            </w:r>
          </w:p>
        </w:tc>
        <w:tc>
          <w:tcPr>
            <w:tcW w:w="160" w:type="dxa"/>
            <w:vAlign w:val="bottom"/>
          </w:tcPr>
          <w:p>
            <w:pPr>
              <w:spacing w:after="0"/>
              <w:rPr>
                <w:sz w:val="13"/>
                <w:szCs w:val="13"/>
                <w:color w:val="auto"/>
              </w:rPr>
            </w:pPr>
          </w:p>
        </w:tc>
        <w:tc>
          <w:tcPr>
            <w:tcW w:w="96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41,340</w:t>
            </w:r>
          </w:p>
        </w:tc>
        <w:tc>
          <w:tcPr>
            <w:tcW w:w="960" w:type="dxa"/>
            <w:vAlign w:val="bottom"/>
          </w:tcPr>
          <w:p>
            <w:pPr>
              <w:spacing w:after="0"/>
              <w:rPr>
                <w:sz w:val="13"/>
                <w:szCs w:val="13"/>
                <w:color w:val="auto"/>
              </w:rPr>
            </w:pPr>
          </w:p>
        </w:tc>
      </w:tr>
      <w:tr>
        <w:trPr>
          <w:trHeight w:val="308"/>
        </w:trPr>
        <w:tc>
          <w:tcPr>
            <w:tcW w:w="12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Total Assets</w:t>
            </w:r>
          </w:p>
        </w:tc>
        <w:tc>
          <w:tcPr>
            <w:tcW w:w="6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$ 308,150</w:t>
            </w: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$ 496,412</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$ 321,590</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accompanying notes to consolidated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0"/>
        <w:spacing w:after="0"/>
        <w:rPr>
          <w:sz w:val="20"/>
          <w:szCs w:val="20"/>
          <w:color w:val="auto"/>
        </w:rPr>
      </w:pPr>
      <w:r>
        <w:rPr>
          <w:rFonts w:ascii="Courier New" w:cs="Courier New" w:eastAsia="Courier New" w:hAnsi="Courier New"/>
          <w:sz w:val="13"/>
          <w:szCs w:val="13"/>
          <w:color w:val="auto"/>
        </w:rPr>
        <w:t>THE SCOTTS COMPANY AND SUBSIDIARIES</w:t>
      </w:r>
    </w:p>
    <w:p>
      <w:pPr>
        <w:spacing w:after="0" w:line="7" w:lineRule="exact"/>
        <w:rPr>
          <w:sz w:val="20"/>
          <w:szCs w:val="20"/>
          <w:color w:val="auto"/>
        </w:rPr>
      </w:pPr>
    </w:p>
    <w:p>
      <w:pPr>
        <w:ind w:left="1840"/>
        <w:spacing w:after="0"/>
        <w:rPr>
          <w:sz w:val="20"/>
          <w:szCs w:val="20"/>
          <w:color w:val="auto"/>
        </w:rPr>
      </w:pPr>
      <w:r>
        <w:rPr>
          <w:rFonts w:ascii="Courier New" w:cs="Courier New" w:eastAsia="Courier New" w:hAnsi="Courier New"/>
          <w:sz w:val="13"/>
          <w:szCs w:val="13"/>
          <w:color w:val="auto"/>
        </w:rPr>
        <w:t>CONSOLIDATED BALANCE SHEETS</w:t>
      </w:r>
    </w:p>
    <w:p>
      <w:pPr>
        <w:spacing w:after="0" w:line="7" w:lineRule="exact"/>
        <w:rPr>
          <w:sz w:val="20"/>
          <w:szCs w:val="20"/>
          <w:color w:val="auto"/>
        </w:rPr>
      </w:pPr>
    </w:p>
    <w:p>
      <w:pPr>
        <w:jc w:val="center"/>
        <w:ind w:right="5680"/>
        <w:spacing w:after="0"/>
        <w:rPr>
          <w:sz w:val="20"/>
          <w:szCs w:val="20"/>
          <w:color w:val="auto"/>
        </w:rPr>
      </w:pPr>
      <w:r>
        <w:rPr>
          <w:rFonts w:ascii="Courier New" w:cs="Courier New" w:eastAsia="Courier New" w:hAnsi="Courier New"/>
          <w:sz w:val="13"/>
          <w:szCs w:val="13"/>
          <w:color w:val="auto"/>
        </w:rPr>
        <w:t>(Unaudited)</w:t>
      </w:r>
    </w:p>
    <w:p>
      <w:pPr>
        <w:spacing w:after="0" w:line="7" w:lineRule="exact"/>
        <w:rPr>
          <w:sz w:val="20"/>
          <w:szCs w:val="20"/>
          <w:color w:val="auto"/>
        </w:rPr>
      </w:pPr>
    </w:p>
    <w:p>
      <w:pPr>
        <w:jc w:val="center"/>
        <w:ind w:right="5600"/>
        <w:spacing w:after="0"/>
        <w:rPr>
          <w:sz w:val="20"/>
          <w:szCs w:val="20"/>
          <w:color w:val="auto"/>
        </w:rPr>
      </w:pPr>
      <w:r>
        <w:rPr>
          <w:rFonts w:ascii="Courier New" w:cs="Courier New" w:eastAsia="Courier New" w:hAnsi="Courier New"/>
          <w:sz w:val="13"/>
          <w:szCs w:val="13"/>
          <w:color w:val="auto"/>
        </w:rPr>
        <w:t>(in thousands except share data)</w:t>
      </w:r>
    </w:p>
    <w:p>
      <w:pPr>
        <w:sectPr>
          <w:pgSz w:w="11900" w:h="16838" w:orient="portrait"/>
          <w:cols w:equalWidth="0" w:num="1">
            <w:col w:w="11540"/>
          </w:cols>
          <w:pgMar w:left="220" w:top="141" w:right="1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3160" w:type="dxa"/>
            <w:vAlign w:val="bottom"/>
            <w:gridSpan w:val="2"/>
          </w:tcPr>
          <w:p>
            <w:pPr>
              <w:spacing w:after="0"/>
              <w:rPr>
                <w:sz w:val="20"/>
                <w:szCs w:val="20"/>
                <w:color w:val="auto"/>
              </w:rPr>
            </w:pPr>
            <w:r>
              <w:rPr>
                <w:rFonts w:ascii="Courier New" w:cs="Courier New" w:eastAsia="Courier New" w:hAnsi="Courier New"/>
                <w:sz w:val="13"/>
                <w:szCs w:val="13"/>
                <w:color w:val="auto"/>
              </w:rPr>
              <w:t>LIABILITIES AND SHAREHOLDERS' EQUITY</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463"/>
        </w:trPr>
        <w:tc>
          <w:tcPr>
            <w:tcW w:w="2320" w:type="dxa"/>
            <w:vAlign w:val="bottom"/>
          </w:tcPr>
          <w:p>
            <w:pPr>
              <w:spacing w:after="0"/>
              <w:rPr>
                <w:sz w:val="24"/>
                <w:szCs w:val="24"/>
                <w:color w:val="auto"/>
              </w:rPr>
            </w:pPr>
          </w:p>
        </w:tc>
        <w:tc>
          <w:tcPr>
            <w:tcW w:w="840" w:type="dxa"/>
            <w:vAlign w:val="bottom"/>
          </w:tcPr>
          <w:p>
            <w:pPr>
              <w:jc w:val="center"/>
              <w:ind w:left="213"/>
              <w:spacing w:after="0"/>
              <w:rPr>
                <w:sz w:val="20"/>
                <w:szCs w:val="20"/>
                <w:color w:val="auto"/>
              </w:rPr>
            </w:pPr>
            <w:r>
              <w:rPr>
                <w:rFonts w:ascii="Courier New" w:cs="Courier New" w:eastAsia="Courier New" w:hAnsi="Courier New"/>
                <w:sz w:val="13"/>
                <w:szCs w:val="13"/>
                <w:color w:val="auto"/>
              </w:rPr>
              <w:t>July 3</w:t>
            </w:r>
          </w:p>
        </w:tc>
        <w:tc>
          <w:tcPr>
            <w:tcW w:w="102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July 2</w:t>
            </w:r>
          </w:p>
        </w:tc>
        <w:tc>
          <w:tcPr>
            <w:tcW w:w="128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September 30</w:t>
            </w:r>
          </w:p>
        </w:tc>
        <w:tc>
          <w:tcPr>
            <w:tcW w:w="640" w:type="dxa"/>
            <w:vAlign w:val="bottom"/>
          </w:tcPr>
          <w:p>
            <w:pPr>
              <w:spacing w:after="0"/>
              <w:rPr>
                <w:sz w:val="24"/>
                <w:szCs w:val="24"/>
                <w:color w:val="auto"/>
              </w:rPr>
            </w:pPr>
          </w:p>
        </w:tc>
      </w:tr>
      <w:tr>
        <w:trPr>
          <w:trHeight w:val="154"/>
        </w:trPr>
        <w:tc>
          <w:tcPr>
            <w:tcW w:w="2320" w:type="dxa"/>
            <w:vAlign w:val="bottom"/>
          </w:tcPr>
          <w:p>
            <w:pPr>
              <w:spacing w:after="0"/>
              <w:rPr>
                <w:sz w:val="13"/>
                <w:szCs w:val="13"/>
                <w:color w:val="auto"/>
              </w:rPr>
            </w:pPr>
          </w:p>
        </w:tc>
        <w:tc>
          <w:tcPr>
            <w:tcW w:w="84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1993</w:t>
            </w:r>
          </w:p>
        </w:tc>
        <w:tc>
          <w:tcPr>
            <w:tcW w:w="102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1994</w:t>
            </w:r>
          </w:p>
        </w:tc>
        <w:tc>
          <w:tcPr>
            <w:tcW w:w="320" w:type="dxa"/>
            <w:vAlign w:val="bottom"/>
          </w:tcPr>
          <w:p>
            <w:pPr>
              <w:spacing w:after="0"/>
              <w:rPr>
                <w:sz w:val="13"/>
                <w:szCs w:val="13"/>
                <w:color w:val="auto"/>
              </w:rPr>
            </w:pPr>
          </w:p>
        </w:tc>
        <w:tc>
          <w:tcPr>
            <w:tcW w:w="960" w:type="dxa"/>
            <w:vAlign w:val="bottom"/>
          </w:tcPr>
          <w:p>
            <w:pPr>
              <w:jc w:val="center"/>
              <w:ind w:right="413"/>
              <w:spacing w:after="0"/>
              <w:rPr>
                <w:sz w:val="20"/>
                <w:szCs w:val="20"/>
                <w:color w:val="auto"/>
              </w:rPr>
            </w:pPr>
            <w:r>
              <w:rPr>
                <w:rFonts w:ascii="Courier New" w:cs="Courier New" w:eastAsia="Courier New" w:hAnsi="Courier New"/>
                <w:sz w:val="13"/>
                <w:szCs w:val="13"/>
                <w:color w:val="auto"/>
              </w:rPr>
              <w:t>1993</w:t>
            </w:r>
          </w:p>
        </w:tc>
        <w:tc>
          <w:tcPr>
            <w:tcW w:w="640" w:type="dxa"/>
            <w:vAlign w:val="bottom"/>
          </w:tcPr>
          <w:p>
            <w:pPr>
              <w:spacing w:after="0"/>
              <w:rPr>
                <w:sz w:val="13"/>
                <w:szCs w:val="13"/>
                <w:color w:val="auto"/>
              </w:rPr>
            </w:pPr>
          </w:p>
        </w:tc>
      </w:tr>
      <w:tr>
        <w:trPr>
          <w:trHeight w:val="463"/>
        </w:trPr>
        <w:tc>
          <w:tcPr>
            <w:tcW w:w="2320" w:type="dxa"/>
            <w:vAlign w:val="bottom"/>
          </w:tcPr>
          <w:p>
            <w:pPr>
              <w:spacing w:after="0"/>
              <w:rPr>
                <w:sz w:val="20"/>
                <w:szCs w:val="20"/>
                <w:color w:val="auto"/>
              </w:rPr>
            </w:pPr>
            <w:r>
              <w:rPr>
                <w:rFonts w:ascii="Courier New" w:cs="Courier New" w:eastAsia="Courier New" w:hAnsi="Courier New"/>
                <w:sz w:val="13"/>
                <w:szCs w:val="13"/>
                <w:color w:val="auto"/>
              </w:rPr>
              <w:t>Current Liabilities: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8"/>
        </w:trPr>
        <w:tc>
          <w:tcPr>
            <w:tcW w:w="316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Revolving credit and bank</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4"/>
        </w:trPr>
        <w:tc>
          <w:tcPr>
            <w:tcW w:w="2320" w:type="dxa"/>
            <w:vAlign w:val="bottom"/>
          </w:tcPr>
          <w:p>
            <w:pPr>
              <w:ind w:left="80"/>
              <w:spacing w:after="0"/>
              <w:rPr>
                <w:sz w:val="20"/>
                <w:szCs w:val="20"/>
                <w:color w:val="auto"/>
              </w:rPr>
            </w:pPr>
            <w:r>
              <w:rPr>
                <w:rFonts w:ascii="Courier New" w:cs="Courier New" w:eastAsia="Courier New" w:hAnsi="Courier New"/>
                <w:sz w:val="13"/>
                <w:szCs w:val="13"/>
                <w:color w:val="auto"/>
              </w:rPr>
              <w:t>line of credit</w:t>
            </w:r>
          </w:p>
        </w:tc>
        <w:tc>
          <w:tcPr>
            <w:tcW w:w="84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   -</w:t>
            </w:r>
          </w:p>
        </w:tc>
        <w:tc>
          <w:tcPr>
            <w:tcW w:w="540" w:type="dxa"/>
            <w:vAlign w:val="bottom"/>
          </w:tcPr>
          <w:p>
            <w:pPr>
              <w:ind w:left="60"/>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3"/>
              </w:rPr>
              <w:t>913</w:t>
            </w:r>
          </w:p>
        </w:tc>
        <w:tc>
          <w:tcPr>
            <w:tcW w:w="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705</w:t>
            </w:r>
          </w:p>
        </w:tc>
        <w:tc>
          <w:tcPr>
            <w:tcW w:w="640" w:type="dxa"/>
            <w:vAlign w:val="bottom"/>
          </w:tcPr>
          <w:p>
            <w:pPr>
              <w:spacing w:after="0"/>
              <w:rPr>
                <w:sz w:val="13"/>
                <w:szCs w:val="13"/>
                <w:color w:val="auto"/>
              </w:rPr>
            </w:pPr>
          </w:p>
        </w:tc>
      </w:tr>
      <w:tr>
        <w:trPr>
          <w:trHeight w:val="308"/>
        </w:trPr>
        <w:tc>
          <w:tcPr>
            <w:tcW w:w="316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Current portion of term debt</w:t>
            </w:r>
          </w:p>
        </w:tc>
        <w:tc>
          <w:tcPr>
            <w:tcW w:w="540" w:type="dxa"/>
            <w:vAlign w:val="bottom"/>
          </w:tcPr>
          <w:p>
            <w:pPr>
              <w:ind w:left="60"/>
              <w:spacing w:after="0"/>
              <w:rPr>
                <w:sz w:val="20"/>
                <w:szCs w:val="20"/>
                <w:color w:val="auto"/>
              </w:rPr>
            </w:pPr>
            <w:r>
              <w:rPr>
                <w:rFonts w:ascii="Courier New" w:cs="Courier New" w:eastAsia="Courier New" w:hAnsi="Courier New"/>
                <w:sz w:val="13"/>
                <w:szCs w:val="13"/>
                <w:color w:val="auto"/>
              </w:rPr>
              <w:t>5,581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center"/>
              <w:ind w:right="413"/>
              <w:spacing w:after="0"/>
              <w:rPr>
                <w:sz w:val="20"/>
                <w:szCs w:val="20"/>
                <w:color w:val="auto"/>
              </w:rPr>
            </w:pPr>
            <w:r>
              <w:rPr>
                <w:rFonts w:ascii="Courier New" w:cs="Courier New" w:eastAsia="Courier New" w:hAnsi="Courier New"/>
                <w:sz w:val="13"/>
                <w:szCs w:val="13"/>
                <w:color w:val="auto"/>
              </w:rPr>
              <w:t>20,403</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5,444</w:t>
            </w:r>
          </w:p>
        </w:tc>
      </w:tr>
      <w:tr>
        <w:trPr>
          <w:trHeight w:val="154"/>
        </w:trPr>
        <w:tc>
          <w:tcPr>
            <w:tcW w:w="2320" w:type="dxa"/>
            <w:vAlign w:val="bottom"/>
          </w:tcPr>
          <w:p>
            <w:pPr>
              <w:ind w:left="640"/>
              <w:spacing w:after="0"/>
              <w:rPr>
                <w:sz w:val="20"/>
                <w:szCs w:val="20"/>
                <w:color w:val="auto"/>
              </w:rPr>
            </w:pPr>
            <w:r>
              <w:rPr>
                <w:rFonts w:ascii="Courier New" w:cs="Courier New" w:eastAsia="Courier New" w:hAnsi="Courier New"/>
                <w:sz w:val="13"/>
                <w:szCs w:val="13"/>
                <w:color w:val="auto"/>
              </w:rPr>
              <w:t>Accounts payable</w:t>
            </w:r>
          </w:p>
        </w:tc>
        <w:tc>
          <w:tcPr>
            <w:tcW w:w="84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Courier New" w:cs="Courier New" w:eastAsia="Courier New" w:hAnsi="Courier New"/>
                <w:sz w:val="13"/>
                <w:szCs w:val="13"/>
                <w:color w:val="auto"/>
                <w:w w:val="98"/>
              </w:rPr>
              <w:t>24,856</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center"/>
              <w:ind w:right="413"/>
              <w:spacing w:after="0"/>
              <w:rPr>
                <w:sz w:val="20"/>
                <w:szCs w:val="20"/>
                <w:color w:val="auto"/>
              </w:rPr>
            </w:pPr>
            <w:r>
              <w:rPr>
                <w:rFonts w:ascii="Courier New" w:cs="Courier New" w:eastAsia="Courier New" w:hAnsi="Courier New"/>
                <w:sz w:val="13"/>
                <w:szCs w:val="13"/>
                <w:color w:val="auto"/>
              </w:rPr>
              <w:t>34,543</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28,279</w:t>
            </w:r>
          </w:p>
        </w:tc>
      </w:tr>
      <w:tr>
        <w:trPr>
          <w:trHeight w:val="154"/>
        </w:trPr>
        <w:tc>
          <w:tcPr>
            <w:tcW w:w="2320" w:type="dxa"/>
            <w:vAlign w:val="bottom"/>
          </w:tcPr>
          <w:p>
            <w:pPr>
              <w:ind w:left="640"/>
              <w:spacing w:after="0"/>
              <w:rPr>
                <w:sz w:val="20"/>
                <w:szCs w:val="20"/>
                <w:color w:val="auto"/>
              </w:rPr>
            </w:pPr>
            <w:r>
              <w:rPr>
                <w:rFonts w:ascii="Courier New" w:cs="Courier New" w:eastAsia="Courier New" w:hAnsi="Courier New"/>
                <w:sz w:val="13"/>
                <w:szCs w:val="13"/>
                <w:color w:val="auto"/>
              </w:rPr>
              <w:t>Accrued liabilities</w:t>
            </w:r>
          </w:p>
        </w:tc>
        <w:tc>
          <w:tcPr>
            <w:tcW w:w="84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Courier New" w:cs="Courier New" w:eastAsia="Courier New" w:hAnsi="Courier New"/>
                <w:sz w:val="13"/>
                <w:szCs w:val="13"/>
                <w:color w:val="auto"/>
                <w:w w:val="98"/>
              </w:rPr>
              <w:t>16,158</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center"/>
              <w:ind w:right="413"/>
              <w:spacing w:after="0"/>
              <w:rPr>
                <w:sz w:val="20"/>
                <w:szCs w:val="20"/>
                <w:color w:val="auto"/>
              </w:rPr>
            </w:pPr>
            <w:r>
              <w:rPr>
                <w:rFonts w:ascii="Courier New" w:cs="Courier New" w:eastAsia="Courier New" w:hAnsi="Courier New"/>
                <w:sz w:val="13"/>
                <w:szCs w:val="13"/>
                <w:color w:val="auto"/>
              </w:rPr>
              <w:t>21,932</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9,135</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Accrued payroll and fringe</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4"/>
        </w:trPr>
        <w:tc>
          <w:tcPr>
            <w:tcW w:w="1280" w:type="dxa"/>
            <w:vAlign w:val="bottom"/>
          </w:tcPr>
          <w:p>
            <w:pPr>
              <w:ind w:left="80"/>
              <w:spacing w:after="0"/>
              <w:rPr>
                <w:sz w:val="20"/>
                <w:szCs w:val="20"/>
                <w:color w:val="auto"/>
              </w:rPr>
            </w:pPr>
            <w:r>
              <w:rPr>
                <w:rFonts w:ascii="Courier New" w:cs="Courier New" w:eastAsia="Courier New" w:hAnsi="Courier New"/>
                <w:sz w:val="13"/>
                <w:szCs w:val="13"/>
                <w:color w:val="auto"/>
              </w:rPr>
              <w:t>benefits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Courier New" w:cs="Courier New" w:eastAsia="Courier New" w:hAnsi="Courier New"/>
                <w:sz w:val="13"/>
                <w:szCs w:val="13"/>
                <w:color w:val="auto"/>
              </w:rPr>
              <w:t>11,123</w:t>
            </w:r>
          </w:p>
        </w:tc>
        <w:tc>
          <w:tcPr>
            <w:tcW w:w="6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Courier New" w:cs="Courier New" w:eastAsia="Courier New" w:hAnsi="Courier New"/>
                <w:sz w:val="13"/>
                <w:szCs w:val="13"/>
                <w:color w:val="auto"/>
              </w:rPr>
              <w:t>13,471</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12,035</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92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Accrued taxes</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11,806</w:t>
            </w:r>
          </w:p>
        </w:tc>
        <w:tc>
          <w:tcPr>
            <w:tcW w:w="8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8,687</w:t>
            </w:r>
          </w:p>
        </w:tc>
        <w:tc>
          <w:tcPr>
            <w:tcW w:w="120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9,253</w:t>
            </w:r>
          </w:p>
        </w:tc>
      </w:tr>
      <w:tr>
        <w:trPr>
          <w:trHeight w:val="308"/>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Total current liabilities</w:t>
            </w:r>
          </w:p>
        </w:tc>
        <w:tc>
          <w:tcPr>
            <w:tcW w:w="640" w:type="dxa"/>
            <w:vAlign w:val="bottom"/>
          </w:tcPr>
          <w:p>
            <w:pPr>
              <w:ind w:left="160"/>
              <w:spacing w:after="0"/>
              <w:rPr>
                <w:sz w:val="20"/>
                <w:szCs w:val="20"/>
                <w:color w:val="auto"/>
              </w:rPr>
            </w:pPr>
            <w:r>
              <w:rPr>
                <w:rFonts w:ascii="Courier New" w:cs="Courier New" w:eastAsia="Courier New" w:hAnsi="Courier New"/>
                <w:sz w:val="13"/>
                <w:szCs w:val="13"/>
                <w:color w:val="auto"/>
                <w:w w:val="98"/>
              </w:rPr>
              <w:t>69,524</w:t>
            </w:r>
          </w:p>
        </w:tc>
        <w:tc>
          <w:tcPr>
            <w:tcW w:w="76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99,949</w:t>
            </w:r>
          </w:p>
        </w:tc>
        <w:tc>
          <w:tcPr>
            <w:tcW w:w="120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64,851</w:t>
            </w:r>
          </w:p>
        </w:tc>
      </w:tr>
      <w:tr>
        <w:trPr>
          <w:trHeight w:val="308"/>
        </w:trPr>
        <w:tc>
          <w:tcPr>
            <w:tcW w:w="2520" w:type="dxa"/>
            <w:vAlign w:val="bottom"/>
            <w:gridSpan w:val="3"/>
          </w:tcPr>
          <w:p>
            <w:pPr>
              <w:spacing w:after="0"/>
              <w:rPr>
                <w:sz w:val="20"/>
                <w:szCs w:val="20"/>
                <w:color w:val="auto"/>
              </w:rPr>
            </w:pPr>
            <w:r>
              <w:rPr>
                <w:rFonts w:ascii="Courier New" w:cs="Courier New" w:eastAsia="Courier New" w:hAnsi="Courier New"/>
                <w:sz w:val="13"/>
                <w:szCs w:val="13"/>
                <w:color w:val="auto"/>
              </w:rPr>
              <w:t>Long-term debt, less current</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1280" w:type="dxa"/>
            <w:vAlign w:val="bottom"/>
          </w:tcPr>
          <w:p>
            <w:pPr>
              <w:ind w:left="80"/>
              <w:spacing w:after="0"/>
              <w:rPr>
                <w:sz w:val="20"/>
                <w:szCs w:val="20"/>
                <w:color w:val="auto"/>
              </w:rPr>
            </w:pPr>
            <w:r>
              <w:rPr>
                <w:rFonts w:ascii="Courier New" w:cs="Courier New" w:eastAsia="Courier New" w:hAnsi="Courier New"/>
                <w:sz w:val="13"/>
                <w:szCs w:val="13"/>
                <w:color w:val="auto"/>
              </w:rPr>
              <w:t>portion</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Courier New" w:cs="Courier New" w:eastAsia="Courier New" w:hAnsi="Courier New"/>
                <w:sz w:val="13"/>
                <w:szCs w:val="13"/>
                <w:color w:val="auto"/>
              </w:rPr>
              <w:t>72,482</w:t>
            </w:r>
          </w:p>
        </w:tc>
        <w:tc>
          <w:tcPr>
            <w:tcW w:w="6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Courier New" w:cs="Courier New" w:eastAsia="Courier New" w:hAnsi="Courier New"/>
                <w:sz w:val="13"/>
                <w:szCs w:val="13"/>
                <w:color w:val="auto"/>
              </w:rPr>
              <w:t>203,979</w:t>
            </w:r>
          </w:p>
        </w:tc>
        <w:tc>
          <w:tcPr>
            <w:tcW w:w="1440" w:type="dxa"/>
            <w:vAlign w:val="bottom"/>
            <w:gridSpan w:val="2"/>
          </w:tcPr>
          <w:p>
            <w:pPr>
              <w:jc w:val="right"/>
              <w:ind w:right="453"/>
              <w:spacing w:after="0"/>
              <w:rPr>
                <w:sz w:val="20"/>
                <w:szCs w:val="20"/>
                <w:color w:val="auto"/>
              </w:rPr>
            </w:pPr>
            <w:r>
              <w:rPr>
                <w:rFonts w:ascii="Courier New" w:cs="Courier New" w:eastAsia="Courier New" w:hAnsi="Courier New"/>
                <w:sz w:val="13"/>
                <w:szCs w:val="13"/>
                <w:color w:val="auto"/>
              </w:rPr>
              <w:t>87,080</w:t>
            </w:r>
          </w:p>
        </w:tc>
        <w:tc>
          <w:tcPr>
            <w:tcW w:w="600" w:type="dxa"/>
            <w:vAlign w:val="bottom"/>
          </w:tcPr>
          <w:p>
            <w:pPr>
              <w:spacing w:after="0"/>
              <w:rPr>
                <w:sz w:val="13"/>
                <w:szCs w:val="13"/>
                <w:color w:val="auto"/>
              </w:rPr>
            </w:pPr>
          </w:p>
        </w:tc>
      </w:tr>
      <w:tr>
        <w:trPr>
          <w:trHeight w:val="308"/>
        </w:trPr>
        <w:tc>
          <w:tcPr>
            <w:tcW w:w="1920" w:type="dxa"/>
            <w:vAlign w:val="bottom"/>
            <w:gridSpan w:val="2"/>
          </w:tcPr>
          <w:p>
            <w:pPr>
              <w:spacing w:after="0"/>
              <w:rPr>
                <w:sz w:val="20"/>
                <w:szCs w:val="20"/>
                <w:color w:val="auto"/>
              </w:rPr>
            </w:pPr>
            <w:r>
              <w:rPr>
                <w:rFonts w:ascii="Courier New" w:cs="Courier New" w:eastAsia="Courier New" w:hAnsi="Courier New"/>
                <w:sz w:val="13"/>
                <w:szCs w:val="13"/>
                <w:color w:val="auto"/>
              </w:rPr>
              <w:t>Postretirement benefits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19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other than pensions</w:t>
            </w:r>
          </w:p>
        </w:tc>
        <w:tc>
          <w:tcPr>
            <w:tcW w:w="6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Courier New" w:cs="Courier New" w:eastAsia="Courier New" w:hAnsi="Courier New"/>
                <w:sz w:val="13"/>
                <w:szCs w:val="13"/>
                <w:color w:val="auto"/>
              </w:rPr>
              <w:t>26,111</w:t>
            </w:r>
          </w:p>
        </w:tc>
        <w:tc>
          <w:tcPr>
            <w:tcW w:w="640" w:type="dxa"/>
            <w:vAlign w:val="bottom"/>
          </w:tcPr>
          <w:p>
            <w:pPr>
              <w:spacing w:after="0"/>
              <w:rPr>
                <w:sz w:val="13"/>
                <w:szCs w:val="13"/>
                <w:color w:val="auto"/>
              </w:rPr>
            </w:pPr>
          </w:p>
        </w:tc>
        <w:tc>
          <w:tcPr>
            <w:tcW w:w="760" w:type="dxa"/>
            <w:vAlign w:val="bottom"/>
          </w:tcPr>
          <w:p>
            <w:pPr>
              <w:jc w:val="right"/>
              <w:ind w:right="53"/>
              <w:spacing w:after="0"/>
              <w:rPr>
                <w:sz w:val="20"/>
                <w:szCs w:val="20"/>
                <w:color w:val="auto"/>
              </w:rPr>
            </w:pPr>
            <w:r>
              <w:rPr>
                <w:rFonts w:ascii="Courier New" w:cs="Courier New" w:eastAsia="Courier New" w:hAnsi="Courier New"/>
                <w:sz w:val="13"/>
                <w:szCs w:val="13"/>
                <w:color w:val="auto"/>
              </w:rPr>
              <w:t>26,742</w:t>
            </w:r>
          </w:p>
        </w:tc>
        <w:tc>
          <w:tcPr>
            <w:tcW w:w="1440" w:type="dxa"/>
            <w:vAlign w:val="bottom"/>
            <w:gridSpan w:val="2"/>
          </w:tcPr>
          <w:p>
            <w:pPr>
              <w:ind w:left="520"/>
              <w:spacing w:after="0"/>
              <w:rPr>
                <w:sz w:val="20"/>
                <w:szCs w:val="20"/>
                <w:color w:val="auto"/>
              </w:rPr>
            </w:pPr>
            <w:r>
              <w:rPr>
                <w:rFonts w:ascii="Courier New" w:cs="Courier New" w:eastAsia="Courier New" w:hAnsi="Courier New"/>
                <w:sz w:val="13"/>
                <w:szCs w:val="13"/>
                <w:color w:val="auto"/>
              </w:rPr>
              <w:t>26,646</w:t>
            </w:r>
          </w:p>
        </w:tc>
        <w:tc>
          <w:tcPr>
            <w:tcW w:w="600" w:type="dxa"/>
            <w:vAlign w:val="bottom"/>
          </w:tcPr>
          <w:p>
            <w:pPr>
              <w:spacing w:after="0"/>
              <w:rPr>
                <w:sz w:val="13"/>
                <w:szCs w:val="13"/>
                <w:color w:val="auto"/>
              </w:rPr>
            </w:pPr>
          </w:p>
        </w:tc>
      </w:tr>
      <w:tr>
        <w:trPr>
          <w:trHeight w:val="308"/>
        </w:trPr>
        <w:tc>
          <w:tcPr>
            <w:tcW w:w="252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Total Liabilities</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Courier New" w:cs="Courier New" w:eastAsia="Courier New" w:hAnsi="Courier New"/>
                <w:sz w:val="13"/>
                <w:szCs w:val="13"/>
                <w:color w:val="auto"/>
              </w:rPr>
              <w:t>168,117</w:t>
            </w:r>
          </w:p>
        </w:tc>
        <w:tc>
          <w:tcPr>
            <w:tcW w:w="160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330,670</w:t>
            </w:r>
          </w:p>
        </w:tc>
        <w:tc>
          <w:tcPr>
            <w:tcW w:w="120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178,577</w:t>
            </w:r>
          </w:p>
        </w:tc>
      </w:tr>
      <w:tr>
        <w:trPr>
          <w:trHeight w:val="463"/>
        </w:trPr>
        <w:tc>
          <w:tcPr>
            <w:tcW w:w="1920" w:type="dxa"/>
            <w:vAlign w:val="bottom"/>
            <w:gridSpan w:val="2"/>
          </w:tcPr>
          <w:p>
            <w:pPr>
              <w:spacing w:after="0"/>
              <w:rPr>
                <w:sz w:val="20"/>
                <w:szCs w:val="20"/>
                <w:color w:val="auto"/>
              </w:rPr>
            </w:pPr>
            <w:r>
              <w:rPr>
                <w:rFonts w:ascii="Courier New" w:cs="Courier New" w:eastAsia="Courier New" w:hAnsi="Courier New"/>
                <w:sz w:val="13"/>
                <w:szCs w:val="13"/>
                <w:color w:val="auto"/>
              </w:rPr>
              <w:t>Shareholders' Equity:</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63"/>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Preferred Stock, $.01 par value,</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1280" w:type="dxa"/>
            <w:vAlign w:val="bottom"/>
          </w:tcPr>
          <w:p>
            <w:pPr>
              <w:ind w:left="80"/>
              <w:spacing w:after="0"/>
              <w:rPr>
                <w:sz w:val="20"/>
                <w:szCs w:val="20"/>
                <w:color w:val="auto"/>
              </w:rPr>
            </w:pPr>
            <w:r>
              <w:rPr>
                <w:rFonts w:ascii="Courier New" w:cs="Courier New" w:eastAsia="Courier New" w:hAnsi="Courier New"/>
                <w:sz w:val="13"/>
                <w:szCs w:val="13"/>
                <w:color w:val="auto"/>
              </w:rPr>
              <w:t>authorized</w:t>
            </w:r>
          </w:p>
        </w:tc>
        <w:tc>
          <w:tcPr>
            <w:tcW w:w="1240" w:type="dxa"/>
            <w:vAlign w:val="bottom"/>
            <w:gridSpan w:val="2"/>
          </w:tcPr>
          <w:p>
            <w:pPr>
              <w:spacing w:after="0"/>
              <w:rPr>
                <w:sz w:val="20"/>
                <w:szCs w:val="20"/>
                <w:color w:val="auto"/>
              </w:rPr>
            </w:pPr>
            <w:r>
              <w:rPr>
                <w:rFonts w:ascii="Courier New" w:cs="Courier New" w:eastAsia="Courier New" w:hAnsi="Courier New"/>
                <w:sz w:val="13"/>
                <w:szCs w:val="13"/>
                <w:color w:val="auto"/>
              </w:rPr>
              <w:t>10,000 shares;</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280" w:type="dxa"/>
            <w:vAlign w:val="bottom"/>
          </w:tcPr>
          <w:p>
            <w:pPr>
              <w:ind w:left="80"/>
              <w:spacing w:after="0"/>
              <w:rPr>
                <w:sz w:val="20"/>
                <w:szCs w:val="20"/>
                <w:color w:val="auto"/>
              </w:rPr>
            </w:pPr>
            <w:r>
              <w:rPr>
                <w:rFonts w:ascii="Courier New" w:cs="Courier New" w:eastAsia="Courier New" w:hAnsi="Courier New"/>
                <w:sz w:val="13"/>
                <w:szCs w:val="13"/>
                <w:color w:val="auto"/>
              </w:rPr>
              <w:t>none issued</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ind w:left="280"/>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08"/>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Class A Common Stock, voting,</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1280" w:type="dxa"/>
            <w:vAlign w:val="bottom"/>
          </w:tcPr>
          <w:p>
            <w:pPr>
              <w:ind w:left="160"/>
              <w:spacing w:after="0"/>
              <w:rPr>
                <w:sz w:val="20"/>
                <w:szCs w:val="20"/>
                <w:color w:val="auto"/>
              </w:rPr>
            </w:pPr>
            <w:r>
              <w:rPr>
                <w:rFonts w:ascii="Courier New" w:cs="Courier New" w:eastAsia="Courier New" w:hAnsi="Courier New"/>
                <w:sz w:val="13"/>
                <w:szCs w:val="13"/>
                <w:color w:val="auto"/>
              </w:rPr>
              <w:t>par value</w:t>
            </w:r>
          </w:p>
        </w:tc>
        <w:tc>
          <w:tcPr>
            <w:tcW w:w="2580" w:type="dxa"/>
            <w:vAlign w:val="bottom"/>
            <w:gridSpan w:val="4"/>
          </w:tcPr>
          <w:p>
            <w:pPr>
              <w:spacing w:after="0"/>
              <w:rPr>
                <w:sz w:val="20"/>
                <w:szCs w:val="20"/>
                <w:color w:val="auto"/>
              </w:rPr>
            </w:pPr>
            <w:r>
              <w:rPr>
                <w:rFonts w:ascii="Courier New" w:cs="Courier New" w:eastAsia="Courier New" w:hAnsi="Courier New"/>
                <w:sz w:val="13"/>
                <w:szCs w:val="13"/>
                <w:color w:val="auto"/>
              </w:rPr>
              <w:t>$.01 per share; authorized</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92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35,000,000 shares;</w:t>
            </w:r>
          </w:p>
        </w:tc>
        <w:tc>
          <w:tcPr>
            <w:tcW w:w="1940" w:type="dxa"/>
            <w:vAlign w:val="bottom"/>
            <w:gridSpan w:val="3"/>
          </w:tcPr>
          <w:p>
            <w:pPr>
              <w:spacing w:after="0"/>
              <w:rPr>
                <w:sz w:val="20"/>
                <w:szCs w:val="20"/>
                <w:color w:val="auto"/>
              </w:rPr>
            </w:pPr>
            <w:r>
              <w:rPr>
                <w:rFonts w:ascii="Courier New" w:cs="Courier New" w:eastAsia="Courier New" w:hAnsi="Courier New"/>
                <w:sz w:val="13"/>
                <w:szCs w:val="13"/>
                <w:color w:val="auto"/>
              </w:rPr>
              <w:t>issued 21,073,430,</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2520" w:type="dxa"/>
            <w:vAlign w:val="bottom"/>
            <w:gridSpan w:val="3"/>
          </w:tcPr>
          <w:p>
            <w:pPr>
              <w:ind w:left="160"/>
              <w:spacing w:after="0"/>
              <w:rPr>
                <w:sz w:val="20"/>
                <w:szCs w:val="20"/>
                <w:color w:val="auto"/>
              </w:rPr>
            </w:pPr>
            <w:r>
              <w:rPr>
                <w:rFonts w:ascii="Courier New" w:cs="Courier New" w:eastAsia="Courier New" w:hAnsi="Courier New"/>
                <w:sz w:val="13"/>
                <w:szCs w:val="13"/>
                <w:color w:val="auto"/>
              </w:rPr>
              <w:t>21,081,959, and 21,073,430</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92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shares, respectively</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Courier New" w:cs="Courier New" w:eastAsia="Courier New" w:hAnsi="Courier New"/>
                <w:sz w:val="13"/>
                <w:szCs w:val="13"/>
                <w:color w:val="auto"/>
              </w:rPr>
              <w:t>211</w:t>
            </w:r>
          </w:p>
        </w:tc>
        <w:tc>
          <w:tcPr>
            <w:tcW w:w="760" w:type="dxa"/>
            <w:vAlign w:val="bottom"/>
          </w:tcPr>
          <w:p>
            <w:pPr>
              <w:ind w:left="240"/>
              <w:spacing w:after="0"/>
              <w:rPr>
                <w:sz w:val="20"/>
                <w:szCs w:val="20"/>
                <w:color w:val="auto"/>
              </w:rPr>
            </w:pPr>
            <w:r>
              <w:rPr>
                <w:rFonts w:ascii="Courier New" w:cs="Courier New" w:eastAsia="Courier New" w:hAnsi="Courier New"/>
                <w:sz w:val="13"/>
                <w:szCs w:val="13"/>
                <w:color w:val="auto"/>
              </w:rPr>
              <w:t>211</w:t>
            </w:r>
          </w:p>
        </w:tc>
        <w:tc>
          <w:tcPr>
            <w:tcW w:w="8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211</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3860" w:type="dxa"/>
            <w:vAlign w:val="bottom"/>
            <w:gridSpan w:val="5"/>
          </w:tcPr>
          <w:p>
            <w:pPr>
              <w:ind w:left="640"/>
              <w:spacing w:after="0"/>
              <w:rPr>
                <w:sz w:val="20"/>
                <w:szCs w:val="20"/>
                <w:color w:val="auto"/>
              </w:rPr>
            </w:pPr>
            <w:r>
              <w:rPr>
                <w:rFonts w:ascii="Courier New" w:cs="Courier New" w:eastAsia="Courier New" w:hAnsi="Courier New"/>
                <w:sz w:val="13"/>
                <w:szCs w:val="13"/>
                <w:color w:val="auto"/>
              </w:rPr>
              <w:t>Class B Common Stock, non-voting,</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2520" w:type="dxa"/>
            <w:vAlign w:val="bottom"/>
            <w:gridSpan w:val="3"/>
          </w:tcPr>
          <w:p>
            <w:pPr>
              <w:ind w:left="160"/>
              <w:spacing w:after="0"/>
              <w:rPr>
                <w:sz w:val="20"/>
                <w:szCs w:val="20"/>
                <w:color w:val="auto"/>
              </w:rPr>
            </w:pPr>
            <w:r>
              <w:rPr>
                <w:rFonts w:ascii="Courier New" w:cs="Courier New" w:eastAsia="Courier New" w:hAnsi="Courier New"/>
                <w:sz w:val="13"/>
                <w:szCs w:val="13"/>
                <w:color w:val="auto"/>
              </w:rPr>
              <w:t>par value $.01 per share;</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2520" w:type="dxa"/>
            <w:vAlign w:val="bottom"/>
            <w:gridSpan w:val="3"/>
          </w:tcPr>
          <w:p>
            <w:pPr>
              <w:ind w:left="160"/>
              <w:spacing w:after="0"/>
              <w:rPr>
                <w:sz w:val="20"/>
                <w:szCs w:val="20"/>
                <w:color w:val="auto"/>
              </w:rPr>
            </w:pPr>
            <w:r>
              <w:rPr>
                <w:rFonts w:ascii="Courier New" w:cs="Courier New" w:eastAsia="Courier New" w:hAnsi="Courier New"/>
                <w:sz w:val="13"/>
                <w:szCs w:val="13"/>
                <w:color w:val="auto"/>
              </w:rPr>
              <w:t>authorized 35,000,000 shares;</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28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3"/>
                <w:szCs w:val="13"/>
                <w:color w:val="auto"/>
              </w:rPr>
              <w:t>none issued</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ind w:left="640"/>
              <w:spacing w:after="0"/>
              <w:rPr>
                <w:sz w:val="20"/>
                <w:szCs w:val="20"/>
                <w:color w:val="auto"/>
              </w:rPr>
            </w:pPr>
            <w:r>
              <w:rPr>
                <w:rFonts w:ascii="Courier New" w:cs="Courier New" w:eastAsia="Courier New" w:hAnsi="Courier New"/>
                <w:sz w:val="13"/>
                <w:szCs w:val="13"/>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6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r>
      <w:tr>
        <w:trPr>
          <w:trHeight w:val="154"/>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Capital in excess of par value</w:t>
            </w:r>
          </w:p>
        </w:tc>
        <w:tc>
          <w:tcPr>
            <w:tcW w:w="640" w:type="dxa"/>
            <w:vAlign w:val="bottom"/>
          </w:tcPr>
          <w:p>
            <w:pPr>
              <w:spacing w:after="0"/>
              <w:rPr>
                <w:sz w:val="20"/>
                <w:szCs w:val="20"/>
                <w:color w:val="auto"/>
              </w:rPr>
            </w:pPr>
            <w:r>
              <w:rPr>
                <w:rFonts w:ascii="Courier New" w:cs="Courier New" w:eastAsia="Courier New" w:hAnsi="Courier New"/>
                <w:sz w:val="13"/>
                <w:szCs w:val="13"/>
                <w:color w:val="auto"/>
              </w:rPr>
              <w:t>192,982</w:t>
            </w:r>
          </w:p>
        </w:tc>
        <w:tc>
          <w:tcPr>
            <w:tcW w:w="160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193,724</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w w:val="98"/>
              </w:rPr>
              <w:t>193,263</w:t>
            </w:r>
          </w:p>
        </w:tc>
        <w:tc>
          <w:tcPr>
            <w:tcW w:w="600" w:type="dxa"/>
            <w:vAlign w:val="bottom"/>
          </w:tcPr>
          <w:p>
            <w:pPr>
              <w:spacing w:after="0"/>
              <w:rPr>
                <w:sz w:val="13"/>
                <w:szCs w:val="13"/>
                <w:color w:val="auto"/>
              </w:rPr>
            </w:pPr>
          </w:p>
        </w:tc>
      </w:tr>
      <w:tr>
        <w:trPr>
          <w:trHeight w:val="154"/>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Retained earnings (deficit)</w:t>
            </w:r>
          </w:p>
        </w:tc>
        <w:tc>
          <w:tcPr>
            <w:tcW w:w="640" w:type="dxa"/>
            <w:vAlign w:val="bottom"/>
          </w:tcPr>
          <w:p>
            <w:pPr>
              <w:spacing w:after="0"/>
              <w:rPr>
                <w:sz w:val="20"/>
                <w:szCs w:val="20"/>
                <w:color w:val="auto"/>
              </w:rPr>
            </w:pPr>
            <w:r>
              <w:rPr>
                <w:rFonts w:ascii="Courier New" w:cs="Courier New" w:eastAsia="Courier New" w:hAnsi="Courier New"/>
                <w:sz w:val="13"/>
                <w:szCs w:val="13"/>
                <w:color w:val="auto"/>
                <w:w w:val="99"/>
              </w:rPr>
              <w:t>(11,693)</w:t>
            </w:r>
          </w:p>
        </w:tc>
        <w:tc>
          <w:tcPr>
            <w:tcW w:w="160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11,853</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w w:val="98"/>
              </w:rPr>
              <w:t>(9,008)</w:t>
            </w:r>
          </w:p>
        </w:tc>
        <w:tc>
          <w:tcPr>
            <w:tcW w:w="600" w:type="dxa"/>
            <w:vAlign w:val="bottom"/>
          </w:tcPr>
          <w:p>
            <w:pPr>
              <w:spacing w:after="0"/>
              <w:rPr>
                <w:sz w:val="13"/>
                <w:szCs w:val="13"/>
                <w:color w:val="auto"/>
              </w:rPr>
            </w:pPr>
          </w:p>
        </w:tc>
      </w:tr>
      <w:tr>
        <w:trPr>
          <w:trHeight w:val="154"/>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Cumulative foreign currency</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92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translation adjustment</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Courier New" w:cs="Courier New" w:eastAsia="Courier New" w:hAnsi="Courier New"/>
                <w:sz w:val="13"/>
                <w:szCs w:val="13"/>
                <w:color w:val="auto"/>
              </w:rPr>
              <w:t>(26)</w:t>
            </w:r>
          </w:p>
        </w:tc>
        <w:tc>
          <w:tcPr>
            <w:tcW w:w="160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1,395</w:t>
            </w:r>
          </w:p>
        </w:tc>
        <w:tc>
          <w:tcPr>
            <w:tcW w:w="600" w:type="dxa"/>
            <w:vAlign w:val="bottom"/>
          </w:tcPr>
          <w:p>
            <w:pPr>
              <w:ind w:left="160"/>
              <w:spacing w:after="0"/>
              <w:rPr>
                <w:sz w:val="20"/>
                <w:szCs w:val="20"/>
                <w:color w:val="auto"/>
              </w:rPr>
            </w:pPr>
            <w:r>
              <w:rPr>
                <w:rFonts w:ascii="Courier New" w:cs="Courier New" w:eastAsia="Courier New" w:hAnsi="Courier New"/>
                <w:sz w:val="13"/>
                <w:szCs w:val="13"/>
                <w:color w:val="auto"/>
              </w:rPr>
              <w:t>(12)</w:t>
            </w:r>
          </w:p>
        </w:tc>
        <w:tc>
          <w:tcPr>
            <w:tcW w:w="600" w:type="dxa"/>
            <w:vAlign w:val="bottom"/>
          </w:tcPr>
          <w:p>
            <w:pPr>
              <w:spacing w:after="0"/>
              <w:rPr>
                <w:sz w:val="13"/>
                <w:szCs w:val="13"/>
                <w:color w:val="auto"/>
              </w:rPr>
            </w:pPr>
          </w:p>
        </w:tc>
      </w:tr>
      <w:tr>
        <w:trPr>
          <w:trHeight w:val="154"/>
        </w:trPr>
        <w:tc>
          <w:tcPr>
            <w:tcW w:w="322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Treasury stock, 2,414,895</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280" w:type="dxa"/>
            <w:vAlign w:val="bottom"/>
          </w:tcPr>
          <w:p>
            <w:pPr>
              <w:ind w:left="160"/>
              <w:spacing w:after="0"/>
              <w:rPr>
                <w:sz w:val="20"/>
                <w:szCs w:val="20"/>
                <w:color w:val="auto"/>
              </w:rPr>
            </w:pPr>
            <w:r>
              <w:rPr>
                <w:rFonts w:ascii="Courier New" w:cs="Courier New" w:eastAsia="Courier New" w:hAnsi="Courier New"/>
                <w:sz w:val="13"/>
                <w:szCs w:val="13"/>
                <w:color w:val="auto"/>
              </w:rPr>
              <w:t>shares at cost</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Courier New" w:cs="Courier New" w:eastAsia="Courier New" w:hAnsi="Courier New"/>
                <w:sz w:val="13"/>
                <w:szCs w:val="13"/>
                <w:color w:val="auto"/>
              </w:rPr>
              <w:t>(41,441)</w:t>
            </w:r>
          </w:p>
        </w:tc>
        <w:tc>
          <w:tcPr>
            <w:tcW w:w="6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(41,441)</w:t>
            </w:r>
          </w:p>
        </w:tc>
        <w:tc>
          <w:tcPr>
            <w:tcW w:w="1440" w:type="dxa"/>
            <w:vAlign w:val="bottom"/>
            <w:gridSpan w:val="2"/>
          </w:tcPr>
          <w:p>
            <w:pPr>
              <w:jc w:val="right"/>
              <w:ind w:right="453"/>
              <w:spacing w:after="0"/>
              <w:rPr>
                <w:sz w:val="20"/>
                <w:szCs w:val="20"/>
                <w:color w:val="auto"/>
              </w:rPr>
            </w:pPr>
            <w:r>
              <w:rPr>
                <w:rFonts w:ascii="Courier New" w:cs="Courier New" w:eastAsia="Courier New" w:hAnsi="Courier New"/>
                <w:sz w:val="13"/>
                <w:szCs w:val="13"/>
                <w:color w:val="auto"/>
              </w:rPr>
              <w:t>(41,441)</w:t>
            </w:r>
          </w:p>
        </w:tc>
        <w:tc>
          <w:tcPr>
            <w:tcW w:w="600" w:type="dxa"/>
            <w:vAlign w:val="bottom"/>
          </w:tcPr>
          <w:p>
            <w:pPr>
              <w:spacing w:after="0"/>
              <w:rPr>
                <w:sz w:val="13"/>
                <w:szCs w:val="13"/>
                <w:color w:val="auto"/>
              </w:rPr>
            </w:pPr>
          </w:p>
        </w:tc>
      </w:tr>
      <w:tr>
        <w:trPr>
          <w:trHeight w:val="308"/>
        </w:trPr>
        <w:tc>
          <w:tcPr>
            <w:tcW w:w="128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Courier New" w:cs="Courier New" w:eastAsia="Courier New" w:hAnsi="Courier New"/>
                <w:sz w:val="13"/>
                <w:szCs w:val="13"/>
                <w:color w:val="auto"/>
              </w:rPr>
              <w:t>Total Shareholders' Equity</w:t>
            </w:r>
          </w:p>
        </w:tc>
        <w:tc>
          <w:tcPr>
            <w:tcW w:w="760" w:type="dxa"/>
            <w:vAlign w:val="bottom"/>
          </w:tcPr>
          <w:p>
            <w:pPr>
              <w:spacing w:after="0"/>
              <w:rPr>
                <w:sz w:val="20"/>
                <w:szCs w:val="20"/>
                <w:color w:val="auto"/>
              </w:rPr>
            </w:pPr>
            <w:r>
              <w:rPr>
                <w:rFonts w:ascii="Courier New" w:cs="Courier New" w:eastAsia="Courier New" w:hAnsi="Courier New"/>
                <w:sz w:val="13"/>
                <w:szCs w:val="13"/>
                <w:color w:val="auto"/>
              </w:rPr>
              <w:t>140,033</w:t>
            </w:r>
          </w:p>
        </w:tc>
        <w:tc>
          <w:tcPr>
            <w:tcW w:w="1440" w:type="dxa"/>
            <w:vAlign w:val="bottom"/>
            <w:gridSpan w:val="2"/>
          </w:tcPr>
          <w:p>
            <w:pPr>
              <w:ind w:left="520"/>
              <w:spacing w:after="0"/>
              <w:rPr>
                <w:sz w:val="20"/>
                <w:szCs w:val="20"/>
                <w:color w:val="auto"/>
              </w:rPr>
            </w:pPr>
            <w:r>
              <w:rPr>
                <w:rFonts w:ascii="Courier New" w:cs="Courier New" w:eastAsia="Courier New" w:hAnsi="Courier New"/>
                <w:sz w:val="13"/>
                <w:szCs w:val="13"/>
                <w:color w:val="auto"/>
              </w:rPr>
              <w:t>165,742</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143,013</w:t>
            </w:r>
          </w:p>
        </w:tc>
      </w:tr>
      <w:tr>
        <w:trPr>
          <w:trHeight w:val="308"/>
        </w:trPr>
        <w:tc>
          <w:tcPr>
            <w:tcW w:w="128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Courier New" w:cs="Courier New" w:eastAsia="Courier New" w:hAnsi="Courier New"/>
                <w:sz w:val="13"/>
                <w:szCs w:val="13"/>
                <w:color w:val="auto"/>
              </w:rPr>
              <w:t>Total Liabilities and</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1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Shareholders' Equity</w:t>
            </w:r>
          </w:p>
        </w:tc>
        <w:tc>
          <w:tcPr>
            <w:tcW w:w="6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Courier New" w:cs="Courier New" w:eastAsia="Courier New" w:hAnsi="Courier New"/>
                <w:sz w:val="13"/>
                <w:szCs w:val="13"/>
                <w:color w:val="auto"/>
              </w:rPr>
              <w:t>308,150</w:t>
            </w:r>
          </w:p>
        </w:tc>
        <w:tc>
          <w:tcPr>
            <w:tcW w:w="6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Courier New" w:cs="Courier New" w:eastAsia="Courier New" w:hAnsi="Courier New"/>
                <w:sz w:val="13"/>
                <w:szCs w:val="13"/>
                <w:color w:val="auto"/>
              </w:rPr>
              <w:t>$ 496,412</w:t>
            </w:r>
          </w:p>
        </w:tc>
        <w:tc>
          <w:tcPr>
            <w:tcW w:w="1440" w:type="dxa"/>
            <w:vAlign w:val="bottom"/>
            <w:gridSpan w:val="2"/>
          </w:tcPr>
          <w:p>
            <w:pPr>
              <w:jc w:val="right"/>
              <w:ind w:right="453"/>
              <w:spacing w:after="0"/>
              <w:rPr>
                <w:sz w:val="20"/>
                <w:szCs w:val="20"/>
                <w:color w:val="auto"/>
              </w:rPr>
            </w:pPr>
            <w:r>
              <w:rPr>
                <w:rFonts w:ascii="Courier New" w:cs="Courier New" w:eastAsia="Courier New" w:hAnsi="Courier New"/>
                <w:sz w:val="13"/>
                <w:szCs w:val="13"/>
                <w:color w:val="auto"/>
              </w:rPr>
              <w:t>$ 321,590</w:t>
            </w:r>
          </w:p>
        </w:tc>
        <w:tc>
          <w:tcPr>
            <w:tcW w:w="600" w:type="dxa"/>
            <w:vAlign w:val="bottom"/>
          </w:tcPr>
          <w:p>
            <w:pPr>
              <w:spacing w:after="0"/>
              <w:rPr>
                <w:sz w:val="13"/>
                <w:szCs w:val="13"/>
                <w:color w:val="auto"/>
              </w:rPr>
            </w:pPr>
          </w:p>
        </w:tc>
      </w:tr>
    </w:tbl>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accompanying notes to consolidated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4</w:t>
      </w:r>
    </w:p>
    <w:p>
      <w:pPr>
        <w:spacing w:after="0" w:line="315"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3"/>
          <w:szCs w:val="13"/>
          <w:color w:val="auto"/>
        </w:rPr>
        <w:t>THE SCOTTS COMPANY AND SUBSIDIARIES</w:t>
      </w:r>
    </w:p>
    <w:p>
      <w:pPr>
        <w:spacing w:after="0" w:line="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3"/>
          <w:szCs w:val="13"/>
          <w:color w:val="auto"/>
        </w:rPr>
        <w:t>CONSOLIDATED STATEMENTS OF INCOME</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(Unaudited)</w:t>
      </w:r>
    </w:p>
    <w:p>
      <w:pPr>
        <w:spacing w:after="0" w:line="7" w:lineRule="exact"/>
        <w:rPr>
          <w:sz w:val="20"/>
          <w:szCs w:val="20"/>
          <w:color w:val="auto"/>
        </w:rPr>
      </w:pPr>
    </w:p>
    <w:p>
      <w:pPr>
        <w:ind w:left="1680"/>
        <w:spacing w:after="0"/>
        <w:rPr>
          <w:sz w:val="20"/>
          <w:szCs w:val="20"/>
          <w:color w:val="auto"/>
        </w:rPr>
      </w:pPr>
      <w:r>
        <w:rPr>
          <w:rFonts w:ascii="Courier New" w:cs="Courier New" w:eastAsia="Courier New" w:hAnsi="Courier New"/>
          <w:sz w:val="13"/>
          <w:szCs w:val="13"/>
          <w:color w:val="auto"/>
        </w:rPr>
        <w:t>(in thousands except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Three</w:t>
            </w:r>
          </w:p>
        </w:tc>
        <w:tc>
          <w:tcPr>
            <w:tcW w:w="1220" w:type="dxa"/>
            <w:vAlign w:val="bottom"/>
          </w:tcPr>
          <w:p>
            <w:pPr>
              <w:ind w:left="40"/>
              <w:spacing w:after="0"/>
              <w:rPr>
                <w:sz w:val="20"/>
                <w:szCs w:val="20"/>
                <w:color w:val="auto"/>
              </w:rPr>
            </w:pPr>
            <w:r>
              <w:rPr>
                <w:rFonts w:ascii="Courier New" w:cs="Courier New" w:eastAsia="Courier New" w:hAnsi="Courier New"/>
                <w:sz w:val="13"/>
                <w:szCs w:val="13"/>
                <w:color w:val="auto"/>
              </w:rPr>
              <w:t>Months Ended</w:t>
            </w:r>
          </w:p>
        </w:tc>
        <w:tc>
          <w:tcPr>
            <w:tcW w:w="800" w:type="dxa"/>
            <w:vAlign w:val="bottom"/>
          </w:tcPr>
          <w:p>
            <w:pPr>
              <w:spacing w:after="0"/>
              <w:rPr>
                <w:sz w:val="12"/>
                <w:szCs w:val="12"/>
                <w:color w:val="auto"/>
              </w:rPr>
            </w:pPr>
          </w:p>
        </w:tc>
        <w:tc>
          <w:tcPr>
            <w:tcW w:w="184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Nine Months Ended</w:t>
            </w:r>
          </w:p>
        </w:tc>
        <w:tc>
          <w:tcPr>
            <w:tcW w:w="520" w:type="dxa"/>
            <w:vAlign w:val="bottom"/>
          </w:tcPr>
          <w:p>
            <w:pPr>
              <w:spacing w:after="0"/>
              <w:rPr>
                <w:sz w:val="12"/>
                <w:szCs w:val="12"/>
                <w:color w:val="auto"/>
              </w:rPr>
            </w:pPr>
          </w:p>
        </w:tc>
      </w:tr>
      <w:tr>
        <w:trPr>
          <w:trHeight w:val="154"/>
        </w:trPr>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Courier New" w:cs="Courier New" w:eastAsia="Courier New" w:hAnsi="Courier New"/>
                <w:sz w:val="13"/>
                <w:szCs w:val="13"/>
                <w:color w:val="auto"/>
              </w:rPr>
              <w:t>July 3</w:t>
            </w:r>
          </w:p>
        </w:tc>
        <w:tc>
          <w:tcPr>
            <w:tcW w:w="12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July 2</w:t>
            </w:r>
          </w:p>
        </w:tc>
        <w:tc>
          <w:tcPr>
            <w:tcW w:w="800" w:type="dxa"/>
            <w:vAlign w:val="bottom"/>
          </w:tcPr>
          <w:p>
            <w:pPr>
              <w:spacing w:after="0"/>
              <w:rPr>
                <w:sz w:val="13"/>
                <w:szCs w:val="13"/>
                <w:color w:val="auto"/>
              </w:rPr>
            </w:pPr>
          </w:p>
        </w:tc>
        <w:tc>
          <w:tcPr>
            <w:tcW w:w="96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July 3</w:t>
            </w:r>
          </w:p>
        </w:tc>
        <w:tc>
          <w:tcPr>
            <w:tcW w:w="8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July 2</w:t>
            </w:r>
          </w:p>
        </w:tc>
        <w:tc>
          <w:tcPr>
            <w:tcW w:w="520" w:type="dxa"/>
            <w:vAlign w:val="bottom"/>
          </w:tcPr>
          <w:p>
            <w:pPr>
              <w:spacing w:after="0"/>
              <w:rPr>
                <w:sz w:val="13"/>
                <w:szCs w:val="13"/>
                <w:color w:val="auto"/>
              </w:rPr>
            </w:pPr>
          </w:p>
        </w:tc>
      </w:tr>
      <w:tr>
        <w:trPr>
          <w:trHeight w:val="154"/>
        </w:trPr>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Courier New" w:cs="Courier New" w:eastAsia="Courier New" w:hAnsi="Courier New"/>
                <w:sz w:val="13"/>
                <w:szCs w:val="13"/>
                <w:color w:val="auto"/>
              </w:rPr>
              <w:t>1993</w:t>
            </w:r>
          </w:p>
        </w:tc>
        <w:tc>
          <w:tcPr>
            <w:tcW w:w="1220" w:type="dxa"/>
            <w:vAlign w:val="bottom"/>
          </w:tcPr>
          <w:p>
            <w:pPr>
              <w:jc w:val="right"/>
              <w:ind w:right="233"/>
              <w:spacing w:after="0"/>
              <w:rPr>
                <w:sz w:val="20"/>
                <w:szCs w:val="20"/>
                <w:color w:val="auto"/>
              </w:rPr>
            </w:pPr>
            <w:r>
              <w:rPr>
                <w:rFonts w:ascii="Courier New" w:cs="Courier New" w:eastAsia="Courier New" w:hAnsi="Courier New"/>
                <w:sz w:val="13"/>
                <w:szCs w:val="13"/>
                <w:color w:val="auto"/>
              </w:rPr>
              <w:t>1994</w:t>
            </w:r>
          </w:p>
        </w:tc>
        <w:tc>
          <w:tcPr>
            <w:tcW w:w="800" w:type="dxa"/>
            <w:vAlign w:val="bottom"/>
          </w:tcPr>
          <w:p>
            <w:pPr>
              <w:spacing w:after="0"/>
              <w:rPr>
                <w:sz w:val="13"/>
                <w:szCs w:val="13"/>
                <w:color w:val="auto"/>
              </w:rPr>
            </w:pPr>
          </w:p>
        </w:tc>
        <w:tc>
          <w:tcPr>
            <w:tcW w:w="9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1993</w:t>
            </w:r>
          </w:p>
        </w:tc>
        <w:tc>
          <w:tcPr>
            <w:tcW w:w="88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1994</w:t>
            </w:r>
          </w:p>
        </w:tc>
        <w:tc>
          <w:tcPr>
            <w:tcW w:w="520" w:type="dxa"/>
            <w:vAlign w:val="bottom"/>
          </w:tcPr>
          <w:p>
            <w:pPr>
              <w:spacing w:after="0"/>
              <w:rPr>
                <w:sz w:val="13"/>
                <w:szCs w:val="13"/>
                <w:color w:val="auto"/>
              </w:rPr>
            </w:pPr>
          </w:p>
        </w:tc>
      </w:tr>
      <w:tr>
        <w:trPr>
          <w:trHeight w:val="463"/>
        </w:trPr>
        <w:tc>
          <w:tcPr>
            <w:tcW w:w="128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$156,327</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$200,915</w:t>
            </w:r>
          </w:p>
        </w:tc>
        <w:tc>
          <w:tcPr>
            <w:tcW w:w="8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$385,186</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$476,665</w:t>
            </w:r>
          </w:p>
        </w:tc>
        <w:tc>
          <w:tcPr>
            <w:tcW w:w="520" w:type="dxa"/>
            <w:vAlign w:val="bottom"/>
          </w:tcPr>
          <w:p>
            <w:pPr>
              <w:spacing w:after="0"/>
              <w:rPr>
                <w:sz w:val="24"/>
                <w:szCs w:val="24"/>
                <w:color w:val="auto"/>
              </w:rPr>
            </w:pPr>
          </w:p>
        </w:tc>
      </w:tr>
      <w:tr>
        <w:trPr>
          <w:trHeight w:val="154"/>
        </w:trPr>
        <w:tc>
          <w:tcPr>
            <w:tcW w:w="1280" w:type="dxa"/>
            <w:vAlign w:val="bottom"/>
          </w:tcPr>
          <w:p>
            <w:pPr>
              <w:spacing w:after="0"/>
              <w:rPr>
                <w:sz w:val="20"/>
                <w:szCs w:val="20"/>
                <w:color w:val="auto"/>
              </w:rPr>
            </w:pPr>
            <w:r>
              <w:rPr>
                <w:rFonts w:ascii="Courier New" w:cs="Courier New" w:eastAsia="Courier New" w:hAnsi="Courier New"/>
                <w:sz w:val="13"/>
                <w:szCs w:val="13"/>
                <w:color w:val="auto"/>
              </w:rPr>
              <w:t>Cost of sales</w:t>
            </w: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98"/>
              </w:rPr>
              <w:t>81,513</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104,539</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201,048</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251,003</w:t>
            </w:r>
          </w:p>
        </w:tc>
        <w:tc>
          <w:tcPr>
            <w:tcW w:w="520" w:type="dxa"/>
            <w:vAlign w:val="bottom"/>
          </w:tcPr>
          <w:p>
            <w:pPr>
              <w:spacing w:after="0"/>
              <w:rPr>
                <w:sz w:val="13"/>
                <w:szCs w:val="13"/>
                <w:color w:val="auto"/>
              </w:rPr>
            </w:pPr>
          </w:p>
        </w:tc>
      </w:tr>
      <w:tr>
        <w:trPr>
          <w:trHeight w:val="154"/>
        </w:trPr>
        <w:tc>
          <w:tcPr>
            <w:tcW w:w="1280" w:type="dxa"/>
            <w:vAlign w:val="bottom"/>
          </w:tcPr>
          <w:p>
            <w:pPr>
              <w:spacing w:after="0"/>
              <w:rPr>
                <w:sz w:val="20"/>
                <w:szCs w:val="20"/>
                <w:color w:val="auto"/>
              </w:rPr>
            </w:pPr>
            <w:r>
              <w:rPr>
                <w:rFonts w:ascii="Courier New" w:cs="Courier New" w:eastAsia="Courier New" w:hAnsi="Courier New"/>
                <w:sz w:val="13"/>
                <w:szCs w:val="13"/>
                <w:color w:val="auto"/>
              </w:rPr>
              <w:t>Gross profit</w:t>
            </w: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98"/>
              </w:rPr>
              <w:t>78,814</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96,376</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184,138</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225,662</w:t>
            </w:r>
          </w:p>
        </w:tc>
        <w:tc>
          <w:tcPr>
            <w:tcW w:w="520" w:type="dxa"/>
            <w:vAlign w:val="bottom"/>
          </w:tcPr>
          <w:p>
            <w:pPr>
              <w:spacing w:after="0"/>
              <w:rPr>
                <w:sz w:val="13"/>
                <w:szCs w:val="13"/>
                <w:color w:val="auto"/>
              </w:rPr>
            </w:pPr>
          </w:p>
        </w:tc>
      </w:tr>
      <w:tr>
        <w:trPr>
          <w:trHeight w:val="308"/>
        </w:trPr>
        <w:tc>
          <w:tcPr>
            <w:tcW w:w="1680" w:type="dxa"/>
            <w:vAlign w:val="bottom"/>
            <w:gridSpan w:val="2"/>
          </w:tcPr>
          <w:p>
            <w:pPr>
              <w:spacing w:after="0"/>
              <w:rPr>
                <w:sz w:val="20"/>
                <w:szCs w:val="20"/>
                <w:color w:val="auto"/>
              </w:rPr>
            </w:pPr>
            <w:r>
              <w:rPr>
                <w:rFonts w:ascii="Courier New" w:cs="Courier New" w:eastAsia="Courier New" w:hAnsi="Courier New"/>
                <w:sz w:val="13"/>
                <w:szCs w:val="13"/>
                <w:color w:val="auto"/>
              </w:rPr>
              <w:t>Operating expenses:</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4"/>
        </w:trPr>
        <w:tc>
          <w:tcPr>
            <w:tcW w:w="168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Marketing</w:t>
            </w:r>
          </w:p>
        </w:tc>
        <w:tc>
          <w:tcPr>
            <w:tcW w:w="520" w:type="dxa"/>
            <w:vAlign w:val="bottom"/>
          </w:tcPr>
          <w:p>
            <w:pPr>
              <w:spacing w:after="0"/>
              <w:rPr>
                <w:sz w:val="13"/>
                <w:szCs w:val="13"/>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3"/>
                <w:szCs w:val="13"/>
                <w:color w:val="auto"/>
              </w:rPr>
              <w:t>24,882</w:t>
            </w:r>
          </w:p>
        </w:tc>
        <w:tc>
          <w:tcPr>
            <w:tcW w:w="8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32,765</w:t>
            </w:r>
          </w:p>
        </w:tc>
        <w:tc>
          <w:tcPr>
            <w:tcW w:w="960" w:type="dxa"/>
            <w:vAlign w:val="bottom"/>
          </w:tcPr>
          <w:p>
            <w:pPr>
              <w:spacing w:after="0"/>
              <w:rPr>
                <w:sz w:val="13"/>
                <w:szCs w:val="13"/>
                <w:color w:val="auto"/>
              </w:rPr>
            </w:pPr>
          </w:p>
        </w:tc>
        <w:tc>
          <w:tcPr>
            <w:tcW w:w="8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62,228</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78,676</w:t>
            </w:r>
          </w:p>
        </w:tc>
      </w:tr>
      <w:tr>
        <w:trPr>
          <w:trHeight w:val="154"/>
        </w:trPr>
        <w:tc>
          <w:tcPr>
            <w:tcW w:w="168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Distribution</w:t>
            </w:r>
          </w:p>
        </w:tc>
        <w:tc>
          <w:tcPr>
            <w:tcW w:w="520" w:type="dxa"/>
            <w:vAlign w:val="bottom"/>
          </w:tcPr>
          <w:p>
            <w:pPr>
              <w:spacing w:after="0"/>
              <w:rPr>
                <w:sz w:val="13"/>
                <w:szCs w:val="13"/>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3"/>
                <w:szCs w:val="13"/>
                <w:color w:val="auto"/>
              </w:rPr>
              <w:t>24,411</w:t>
            </w:r>
          </w:p>
        </w:tc>
        <w:tc>
          <w:tcPr>
            <w:tcW w:w="80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30,730</w:t>
            </w:r>
          </w:p>
        </w:tc>
        <w:tc>
          <w:tcPr>
            <w:tcW w:w="960" w:type="dxa"/>
            <w:vAlign w:val="bottom"/>
          </w:tcPr>
          <w:p>
            <w:pPr>
              <w:spacing w:after="0"/>
              <w:rPr>
                <w:sz w:val="13"/>
                <w:szCs w:val="13"/>
                <w:color w:val="auto"/>
              </w:rPr>
            </w:pPr>
          </w:p>
        </w:tc>
        <w:tc>
          <w:tcPr>
            <w:tcW w:w="88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55,491</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66,594</w:t>
            </w:r>
          </w:p>
        </w:tc>
      </w:tr>
      <w:tr>
        <w:trPr>
          <w:trHeight w:val="154"/>
        </w:trPr>
        <w:tc>
          <w:tcPr>
            <w:tcW w:w="168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General and</w:t>
            </w: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280" w:type="dxa"/>
            <w:vAlign w:val="bottom"/>
          </w:tcPr>
          <w:p>
            <w:pPr>
              <w:ind w:left="160"/>
              <w:spacing w:after="0"/>
              <w:rPr>
                <w:sz w:val="20"/>
                <w:szCs w:val="20"/>
                <w:color w:val="auto"/>
              </w:rPr>
            </w:pPr>
            <w:r>
              <w:rPr>
                <w:rFonts w:ascii="Courier New" w:cs="Courier New" w:eastAsia="Courier New" w:hAnsi="Courier New"/>
                <w:sz w:val="13"/>
                <w:szCs w:val="13"/>
                <w:color w:val="auto"/>
              </w:rPr>
              <w:t>administrative</w:t>
            </w: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7,498</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7,781</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21,991</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22,122</w:t>
            </w:r>
          </w:p>
        </w:tc>
        <w:tc>
          <w:tcPr>
            <w:tcW w:w="520" w:type="dxa"/>
            <w:vAlign w:val="bottom"/>
          </w:tcPr>
          <w:p>
            <w:pPr>
              <w:spacing w:after="0"/>
              <w:rPr>
                <w:sz w:val="13"/>
                <w:szCs w:val="13"/>
                <w:color w:val="auto"/>
              </w:rPr>
            </w:pPr>
          </w:p>
        </w:tc>
      </w:tr>
      <w:tr>
        <w:trPr>
          <w:trHeight w:val="154"/>
        </w:trPr>
        <w:tc>
          <w:tcPr>
            <w:tcW w:w="168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Research and</w:t>
            </w: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280" w:type="dxa"/>
            <w:vAlign w:val="bottom"/>
          </w:tcPr>
          <w:p>
            <w:pPr>
              <w:ind w:left="160"/>
              <w:spacing w:after="0"/>
              <w:rPr>
                <w:sz w:val="20"/>
                <w:szCs w:val="20"/>
                <w:color w:val="auto"/>
              </w:rPr>
            </w:pPr>
            <w:r>
              <w:rPr>
                <w:rFonts w:ascii="Courier New" w:cs="Courier New" w:eastAsia="Courier New" w:hAnsi="Courier New"/>
                <w:sz w:val="13"/>
                <w:szCs w:val="13"/>
                <w:color w:val="auto"/>
              </w:rPr>
              <w:t>development</w:t>
            </w: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1,691</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2,814</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5,295</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7,752</w:t>
            </w:r>
          </w:p>
        </w:tc>
        <w:tc>
          <w:tcPr>
            <w:tcW w:w="520" w:type="dxa"/>
            <w:vAlign w:val="bottom"/>
          </w:tcPr>
          <w:p>
            <w:pPr>
              <w:spacing w:after="0"/>
              <w:rPr>
                <w:sz w:val="13"/>
                <w:szCs w:val="13"/>
                <w:color w:val="auto"/>
              </w:rPr>
            </w:pPr>
          </w:p>
        </w:tc>
      </w:tr>
      <w:tr>
        <w:trPr>
          <w:trHeight w:val="308"/>
        </w:trPr>
        <w:tc>
          <w:tcPr>
            <w:tcW w:w="1280" w:type="dxa"/>
            <w:vAlign w:val="bottom"/>
          </w:tcPr>
          <w:p>
            <w:pPr>
              <w:spacing w:after="0"/>
              <w:rPr>
                <w:sz w:val="24"/>
                <w:szCs w:val="24"/>
                <w:color w:val="auto"/>
              </w:rPr>
            </w:pPr>
          </w:p>
        </w:tc>
        <w:tc>
          <w:tcPr>
            <w:tcW w:w="2140" w:type="dxa"/>
            <w:vAlign w:val="bottom"/>
            <w:gridSpan w:val="3"/>
          </w:tcPr>
          <w:p>
            <w:pPr>
              <w:spacing w:after="0"/>
              <w:rPr>
                <w:sz w:val="20"/>
                <w:szCs w:val="20"/>
                <w:color w:val="auto"/>
              </w:rPr>
            </w:pPr>
            <w:r>
              <w:rPr>
                <w:rFonts w:ascii="Courier New" w:cs="Courier New" w:eastAsia="Courier New" w:hAnsi="Courier New"/>
                <w:sz w:val="13"/>
                <w:szCs w:val="13"/>
                <w:color w:val="auto"/>
              </w:rPr>
              <w:t>Total operating</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4"/>
        </w:trPr>
        <w:tc>
          <w:tcPr>
            <w:tcW w:w="1280" w:type="dxa"/>
            <w:vAlign w:val="bottom"/>
          </w:tcPr>
          <w:p>
            <w:pPr>
              <w:ind w:left="240"/>
              <w:spacing w:after="0"/>
              <w:rPr>
                <w:sz w:val="20"/>
                <w:szCs w:val="20"/>
                <w:color w:val="auto"/>
              </w:rPr>
            </w:pPr>
            <w:r>
              <w:rPr>
                <w:rFonts w:ascii="Courier New" w:cs="Courier New" w:eastAsia="Courier New" w:hAnsi="Courier New"/>
                <w:sz w:val="13"/>
                <w:szCs w:val="13"/>
                <w:color w:val="auto"/>
              </w:rPr>
              <w:t>expenses</w:t>
            </w: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98"/>
              </w:rPr>
              <w:t>58,482</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74,090</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145,005</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175,144</w:t>
            </w:r>
          </w:p>
        </w:tc>
        <w:tc>
          <w:tcPr>
            <w:tcW w:w="520" w:type="dxa"/>
            <w:vAlign w:val="bottom"/>
          </w:tcPr>
          <w:p>
            <w:pPr>
              <w:spacing w:after="0"/>
              <w:rPr>
                <w:sz w:val="13"/>
                <w:szCs w:val="13"/>
                <w:color w:val="auto"/>
              </w:rPr>
            </w:pPr>
          </w:p>
        </w:tc>
      </w:tr>
      <w:tr>
        <w:trPr>
          <w:trHeight w:val="308"/>
        </w:trPr>
        <w:tc>
          <w:tcPr>
            <w:tcW w:w="1280" w:type="dxa"/>
            <w:vAlign w:val="bottom"/>
          </w:tcPr>
          <w:p>
            <w:pPr>
              <w:spacing w:after="0"/>
              <w:rPr>
                <w:sz w:val="20"/>
                <w:szCs w:val="20"/>
                <w:color w:val="auto"/>
              </w:rPr>
            </w:pPr>
            <w:r>
              <w:rPr>
                <w:rFonts w:ascii="Courier New" w:cs="Courier New" w:eastAsia="Courier New" w:hAnsi="Courier New"/>
                <w:sz w:val="13"/>
                <w:szCs w:val="13"/>
                <w:color w:val="auto"/>
              </w:rPr>
              <w:t>Income from</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4"/>
        </w:trPr>
        <w:tc>
          <w:tcPr>
            <w:tcW w:w="1280" w:type="dxa"/>
            <w:vAlign w:val="bottom"/>
          </w:tcPr>
          <w:p>
            <w:pPr>
              <w:ind w:left="80"/>
              <w:spacing w:after="0"/>
              <w:rPr>
                <w:sz w:val="20"/>
                <w:szCs w:val="20"/>
                <w:color w:val="auto"/>
              </w:rPr>
            </w:pPr>
            <w:r>
              <w:rPr>
                <w:rFonts w:ascii="Courier New" w:cs="Courier New" w:eastAsia="Courier New" w:hAnsi="Courier New"/>
                <w:sz w:val="13"/>
                <w:szCs w:val="13"/>
                <w:color w:val="auto"/>
              </w:rPr>
              <w:t>operations</w:t>
            </w: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98"/>
              </w:rPr>
              <w:t>16,332</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22,286</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39,133</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50,518</w:t>
            </w:r>
          </w:p>
        </w:tc>
        <w:tc>
          <w:tcPr>
            <w:tcW w:w="520" w:type="dxa"/>
            <w:vAlign w:val="bottom"/>
          </w:tcPr>
          <w:p>
            <w:pPr>
              <w:spacing w:after="0"/>
              <w:rPr>
                <w:sz w:val="13"/>
                <w:szCs w:val="13"/>
                <w:color w:val="auto"/>
              </w:rPr>
            </w:pPr>
          </w:p>
        </w:tc>
      </w:tr>
      <w:tr>
        <w:trPr>
          <w:trHeight w:val="308"/>
        </w:trPr>
        <w:tc>
          <w:tcPr>
            <w:tcW w:w="1280" w:type="dxa"/>
            <w:vAlign w:val="bottom"/>
          </w:tcPr>
          <w:p>
            <w:pPr>
              <w:spacing w:after="0"/>
              <w:rPr>
                <w:sz w:val="20"/>
                <w:szCs w:val="20"/>
                <w:color w:val="auto"/>
              </w:rPr>
            </w:pPr>
            <w:r>
              <w:rPr>
                <w:rFonts w:ascii="Courier New" w:cs="Courier New" w:eastAsia="Courier New" w:hAnsi="Courier New"/>
                <w:sz w:val="13"/>
                <w:szCs w:val="13"/>
                <w:color w:val="auto"/>
              </w:rPr>
              <w:t>Interest expense</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2,365</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4,749</w:t>
            </w:r>
          </w:p>
        </w:tc>
        <w:tc>
          <w:tcPr>
            <w:tcW w:w="8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6,808</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12,306</w:t>
            </w:r>
          </w:p>
        </w:tc>
        <w:tc>
          <w:tcPr>
            <w:tcW w:w="520" w:type="dxa"/>
            <w:vAlign w:val="bottom"/>
          </w:tcPr>
          <w:p>
            <w:pPr>
              <w:spacing w:after="0"/>
              <w:rPr>
                <w:sz w:val="24"/>
                <w:szCs w:val="24"/>
                <w:color w:val="auto"/>
              </w:rPr>
            </w:pPr>
          </w:p>
        </w:tc>
      </w:tr>
      <w:tr>
        <w:trPr>
          <w:trHeight w:val="154"/>
        </w:trPr>
        <w:tc>
          <w:tcPr>
            <w:tcW w:w="1680" w:type="dxa"/>
            <w:vAlign w:val="bottom"/>
            <w:gridSpan w:val="2"/>
          </w:tcPr>
          <w:p>
            <w:pPr>
              <w:spacing w:after="0"/>
              <w:rPr>
                <w:sz w:val="20"/>
                <w:szCs w:val="20"/>
                <w:color w:val="auto"/>
              </w:rPr>
            </w:pPr>
            <w:r>
              <w:rPr>
                <w:rFonts w:ascii="Courier New" w:cs="Courier New" w:eastAsia="Courier New" w:hAnsi="Courier New"/>
                <w:sz w:val="13"/>
                <w:szCs w:val="13"/>
                <w:color w:val="auto"/>
              </w:rPr>
              <w:t>Other expenses, net</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rPr>
              <w:t>220</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950</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690</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1,754</w:t>
            </w:r>
          </w:p>
        </w:tc>
        <w:tc>
          <w:tcPr>
            <w:tcW w:w="520" w:type="dxa"/>
            <w:vAlign w:val="bottom"/>
          </w:tcPr>
          <w:p>
            <w:pPr>
              <w:spacing w:after="0"/>
              <w:rPr>
                <w:sz w:val="13"/>
                <w:szCs w:val="13"/>
                <w:color w:val="auto"/>
              </w:rPr>
            </w:pPr>
          </w:p>
        </w:tc>
      </w:tr>
      <w:tr>
        <w:trPr>
          <w:trHeight w:val="308"/>
        </w:trPr>
        <w:tc>
          <w:tcPr>
            <w:tcW w:w="1680" w:type="dxa"/>
            <w:vAlign w:val="bottom"/>
            <w:gridSpan w:val="2"/>
          </w:tcPr>
          <w:p>
            <w:pPr>
              <w:spacing w:after="0"/>
              <w:rPr>
                <w:sz w:val="20"/>
                <w:szCs w:val="20"/>
                <w:color w:val="auto"/>
              </w:rPr>
            </w:pPr>
            <w:r>
              <w:rPr>
                <w:rFonts w:ascii="Courier New" w:cs="Courier New" w:eastAsia="Courier New" w:hAnsi="Courier New"/>
                <w:sz w:val="13"/>
                <w:szCs w:val="13"/>
                <w:color w:val="auto"/>
              </w:rPr>
              <w:t>Income before income</w:t>
            </w:r>
          </w:p>
        </w:tc>
        <w:tc>
          <w:tcPr>
            <w:tcW w:w="520" w:type="dxa"/>
            <w:vAlign w:val="bottom"/>
          </w:tcPr>
          <w:p>
            <w:pPr>
              <w:spacing w:after="0"/>
              <w:rPr>
                <w:sz w:val="20"/>
                <w:szCs w:val="20"/>
                <w:color w:val="auto"/>
              </w:rPr>
            </w:pPr>
            <w:r>
              <w:rPr>
                <w:rFonts w:ascii="Courier New" w:cs="Courier New" w:eastAsia="Courier New" w:hAnsi="Courier New"/>
                <w:sz w:val="13"/>
                <w:szCs w:val="13"/>
                <w:color w:val="auto"/>
              </w:rPr>
              <w:t>tax</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4"/>
        </w:trPr>
        <w:tc>
          <w:tcPr>
            <w:tcW w:w="1280" w:type="dxa"/>
            <w:vAlign w:val="bottom"/>
          </w:tcPr>
          <w:p>
            <w:pPr>
              <w:ind w:left="80"/>
              <w:spacing w:after="0"/>
              <w:rPr>
                <w:sz w:val="20"/>
                <w:szCs w:val="20"/>
                <w:color w:val="auto"/>
              </w:rPr>
            </w:pPr>
            <w:r>
              <w:rPr>
                <w:rFonts w:ascii="Courier New" w:cs="Courier New" w:eastAsia="Courier New" w:hAnsi="Courier New"/>
                <w:sz w:val="13"/>
                <w:szCs w:val="13"/>
                <w:color w:val="auto"/>
              </w:rPr>
              <w:t>provision and</w:t>
            </w:r>
          </w:p>
        </w:tc>
        <w:tc>
          <w:tcPr>
            <w:tcW w:w="920" w:type="dxa"/>
            <w:vAlign w:val="bottom"/>
            <w:gridSpan w:val="2"/>
          </w:tcPr>
          <w:p>
            <w:pPr>
              <w:spacing w:after="0"/>
              <w:rPr>
                <w:sz w:val="20"/>
                <w:szCs w:val="20"/>
                <w:color w:val="auto"/>
              </w:rPr>
            </w:pPr>
            <w:r>
              <w:rPr>
                <w:rFonts w:ascii="Courier New" w:cs="Courier New" w:eastAsia="Courier New" w:hAnsi="Courier New"/>
                <w:sz w:val="13"/>
                <w:szCs w:val="13"/>
                <w:color w:val="auto"/>
              </w:rPr>
              <w:t>cumulative</w:t>
            </w: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6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effect of accounting</w:t>
            </w: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280" w:type="dxa"/>
            <w:vAlign w:val="bottom"/>
          </w:tcPr>
          <w:p>
            <w:pPr>
              <w:ind w:left="80"/>
              <w:spacing w:after="0"/>
              <w:rPr>
                <w:sz w:val="20"/>
                <w:szCs w:val="20"/>
                <w:color w:val="auto"/>
              </w:rPr>
            </w:pPr>
            <w:r>
              <w:rPr>
                <w:rFonts w:ascii="Courier New" w:cs="Courier New" w:eastAsia="Courier New" w:hAnsi="Courier New"/>
                <w:sz w:val="13"/>
                <w:szCs w:val="13"/>
                <w:color w:val="auto"/>
              </w:rPr>
              <w:t>changes</w:t>
            </w: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98"/>
              </w:rPr>
              <w:t>13,747</w:t>
            </w:r>
          </w:p>
        </w:tc>
        <w:tc>
          <w:tcPr>
            <w:tcW w:w="1220" w:type="dxa"/>
            <w:vAlign w:val="bottom"/>
          </w:tcPr>
          <w:p>
            <w:pPr>
              <w:jc w:val="right"/>
              <w:spacing w:after="0"/>
              <w:rPr>
                <w:sz w:val="20"/>
                <w:szCs w:val="20"/>
                <w:color w:val="auto"/>
              </w:rPr>
            </w:pPr>
            <w:r>
              <w:rPr>
                <w:rFonts w:ascii="Courier New" w:cs="Courier New" w:eastAsia="Courier New" w:hAnsi="Courier New"/>
                <w:sz w:val="13"/>
                <w:szCs w:val="13"/>
                <w:color w:val="auto"/>
              </w:rPr>
              <w:t>16,587</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31,635</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36,458</w:t>
            </w:r>
          </w:p>
        </w:tc>
        <w:tc>
          <w:tcPr>
            <w:tcW w:w="520" w:type="dxa"/>
            <w:vAlign w:val="bottom"/>
          </w:tcPr>
          <w:p>
            <w:pPr>
              <w:spacing w:after="0"/>
              <w:rPr>
                <w:sz w:val="13"/>
                <w:szCs w:val="13"/>
                <w:color w:val="auto"/>
              </w:rPr>
            </w:pPr>
          </w:p>
        </w:tc>
      </w:tr>
    </w:tbl>
    <w:p>
      <w:pPr>
        <w:sectPr>
          <w:pgSz w:w="11900" w:h="16838" w:orient="portrait"/>
          <w:cols w:equalWidth="0" w:num="1">
            <w:col w:w="10239"/>
          </w:cols>
          <w:pgMar w:left="220" w:top="604"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gridSpan w:val="2"/>
          </w:tcPr>
          <w:p>
            <w:pPr>
              <w:spacing w:after="0"/>
              <w:rPr>
                <w:sz w:val="20"/>
                <w:szCs w:val="20"/>
                <w:color w:val="auto"/>
              </w:rPr>
            </w:pPr>
            <w:r>
              <w:rPr>
                <w:rFonts w:ascii="Courier New" w:cs="Courier New" w:eastAsia="Courier New" w:hAnsi="Courier New"/>
                <w:sz w:val="13"/>
                <w:szCs w:val="13"/>
                <w:color w:val="auto"/>
              </w:rPr>
              <w:t>Income tax provision</w:t>
            </w:r>
          </w:p>
        </w:tc>
        <w:tc>
          <w:tcPr>
            <w:tcW w:w="92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5,761</w:t>
            </w:r>
          </w:p>
        </w:tc>
        <w:tc>
          <w:tcPr>
            <w:tcW w:w="440" w:type="dxa"/>
            <w:vAlign w:val="bottom"/>
          </w:tcPr>
          <w:p>
            <w:pPr>
              <w:spacing w:after="0"/>
              <w:rPr>
                <w:sz w:val="12"/>
                <w:szCs w:val="12"/>
                <w:color w:val="auto"/>
              </w:rPr>
            </w:pPr>
          </w:p>
        </w:tc>
        <w:tc>
          <w:tcPr>
            <w:tcW w:w="7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7,182</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13,273</w:t>
            </w:r>
          </w:p>
        </w:tc>
        <w:tc>
          <w:tcPr>
            <w:tcW w:w="32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Courier New" w:cs="Courier New" w:eastAsia="Courier New" w:hAnsi="Courier New"/>
                <w:sz w:val="13"/>
                <w:szCs w:val="13"/>
                <w:color w:val="auto"/>
                <w:w w:val="98"/>
              </w:rPr>
              <w:t>15,597</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308"/>
        </w:trPr>
        <w:tc>
          <w:tcPr>
            <w:tcW w:w="2520" w:type="dxa"/>
            <w:vAlign w:val="bottom"/>
            <w:gridSpan w:val="3"/>
          </w:tcPr>
          <w:p>
            <w:pPr>
              <w:spacing w:after="0"/>
              <w:rPr>
                <w:sz w:val="20"/>
                <w:szCs w:val="20"/>
                <w:color w:val="auto"/>
              </w:rPr>
            </w:pPr>
            <w:r>
              <w:rPr>
                <w:rFonts w:ascii="Courier New" w:cs="Courier New" w:eastAsia="Courier New" w:hAnsi="Courier New"/>
                <w:sz w:val="13"/>
                <w:szCs w:val="13"/>
                <w:color w:val="auto"/>
              </w:rPr>
              <w:t>Income before cumulative</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252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effect of accounting</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ind w:left="80"/>
              <w:spacing w:after="0"/>
              <w:rPr>
                <w:sz w:val="20"/>
                <w:szCs w:val="20"/>
                <w:color w:val="auto"/>
              </w:rPr>
            </w:pPr>
            <w:r>
              <w:rPr>
                <w:rFonts w:ascii="Courier New" w:cs="Courier New" w:eastAsia="Courier New" w:hAnsi="Courier New"/>
                <w:sz w:val="13"/>
                <w:szCs w:val="13"/>
                <w:color w:val="auto"/>
              </w:rPr>
              <w:t>changes (1)</w:t>
            </w:r>
          </w:p>
        </w:tc>
        <w:tc>
          <w:tcPr>
            <w:tcW w:w="400" w:type="dxa"/>
            <w:vAlign w:val="bottom"/>
          </w:tcPr>
          <w:p>
            <w:pPr>
              <w:spacing w:after="0"/>
              <w:rPr>
                <w:sz w:val="13"/>
                <w:szCs w:val="13"/>
                <w:color w:val="auto"/>
              </w:rPr>
            </w:pPr>
          </w:p>
        </w:tc>
        <w:tc>
          <w:tcPr>
            <w:tcW w:w="92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7,986</w:t>
            </w:r>
          </w:p>
        </w:tc>
        <w:tc>
          <w:tcPr>
            <w:tcW w:w="440" w:type="dxa"/>
            <w:vAlign w:val="bottom"/>
          </w:tcPr>
          <w:p>
            <w:pPr>
              <w:spacing w:after="0"/>
              <w:rPr>
                <w:sz w:val="13"/>
                <w:szCs w:val="13"/>
                <w:color w:val="auto"/>
              </w:rPr>
            </w:pPr>
          </w:p>
        </w:tc>
        <w:tc>
          <w:tcPr>
            <w:tcW w:w="7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9,405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3"/>
                <w:szCs w:val="13"/>
                <w:color w:val="auto"/>
              </w:rPr>
              <w:t>18,362</w:t>
            </w:r>
          </w:p>
        </w:tc>
        <w:tc>
          <w:tcPr>
            <w:tcW w:w="960" w:type="dxa"/>
            <w:vAlign w:val="bottom"/>
            <w:gridSpan w:val="2"/>
          </w:tcPr>
          <w:p>
            <w:pPr>
              <w:jc w:val="right"/>
              <w:ind w:right="413"/>
              <w:spacing w:after="0"/>
              <w:rPr>
                <w:sz w:val="20"/>
                <w:szCs w:val="20"/>
                <w:color w:val="auto"/>
              </w:rPr>
            </w:pPr>
            <w:r>
              <w:rPr>
                <w:rFonts w:ascii="Courier New" w:cs="Courier New" w:eastAsia="Courier New" w:hAnsi="Courier New"/>
                <w:sz w:val="13"/>
                <w:szCs w:val="13"/>
                <w:color w:val="auto"/>
                <w:w w:val="98"/>
              </w:rPr>
              <w:t>20,861</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8"/>
        </w:trPr>
        <w:tc>
          <w:tcPr>
            <w:tcW w:w="2520" w:type="dxa"/>
            <w:vAlign w:val="bottom"/>
            <w:gridSpan w:val="3"/>
          </w:tcPr>
          <w:p>
            <w:pPr>
              <w:spacing w:after="0"/>
              <w:rPr>
                <w:sz w:val="20"/>
                <w:szCs w:val="20"/>
                <w:color w:val="auto"/>
              </w:rPr>
            </w:pPr>
            <w:r>
              <w:rPr>
                <w:rFonts w:ascii="Courier New" w:cs="Courier New" w:eastAsia="Courier New" w:hAnsi="Courier New"/>
                <w:sz w:val="13"/>
                <w:szCs w:val="13"/>
                <w:color w:val="auto"/>
              </w:rPr>
              <w:t>Cumulative effect of changes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2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in accounting for postretirement</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benefits, net of tax and</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income taxes (2)</w:t>
            </w:r>
          </w:p>
        </w:tc>
        <w:tc>
          <w:tcPr>
            <w:tcW w:w="44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spacing w:after="0"/>
              <w:rPr>
                <w:sz w:val="13"/>
                <w:szCs w:val="13"/>
                <w:color w:val="auto"/>
              </w:rPr>
            </w:pPr>
          </w:p>
        </w:tc>
        <w:tc>
          <w:tcPr>
            <w:tcW w:w="760" w:type="dxa"/>
            <w:vAlign w:val="bottom"/>
          </w:tcPr>
          <w:p>
            <w:pPr>
              <w:jc w:val="right"/>
              <w:ind w:right="613"/>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spacing w:after="0"/>
              <w:rPr>
                <w:sz w:val="13"/>
                <w:szCs w:val="13"/>
                <w:color w:val="auto"/>
              </w:rPr>
            </w:pPr>
          </w:p>
        </w:tc>
        <w:tc>
          <w:tcPr>
            <w:tcW w:w="88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w w:val="99"/>
              </w:rPr>
              <w:t>(13,157)</w:t>
            </w:r>
          </w:p>
        </w:tc>
        <w:tc>
          <w:tcPr>
            <w:tcW w:w="320" w:type="dxa"/>
            <w:vAlign w:val="bottom"/>
          </w:tcPr>
          <w:p>
            <w:pPr>
              <w:spacing w:after="0"/>
              <w:rPr>
                <w:sz w:val="13"/>
                <w:szCs w:val="13"/>
                <w:color w:val="auto"/>
              </w:rPr>
            </w:pPr>
          </w:p>
        </w:tc>
        <w:tc>
          <w:tcPr>
            <w:tcW w:w="640" w:type="dxa"/>
            <w:vAlign w:val="bottom"/>
          </w:tcPr>
          <w:p>
            <w:pPr>
              <w:jc w:val="right"/>
              <w:ind w:right="493"/>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8"/>
        </w:trPr>
        <w:tc>
          <w:tcPr>
            <w:tcW w:w="120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400" w:type="dxa"/>
            <w:vAlign w:val="bottom"/>
          </w:tcPr>
          <w:p>
            <w:pPr>
              <w:ind w:left="160"/>
              <w:spacing w:after="0"/>
              <w:rPr>
                <w:sz w:val="20"/>
                <w:szCs w:val="20"/>
                <w:color w:val="auto"/>
              </w:rPr>
            </w:pPr>
            <w:r>
              <w:rPr>
                <w:rFonts w:ascii="Courier New" w:cs="Courier New" w:eastAsia="Courier New" w:hAnsi="Courier New"/>
                <w:sz w:val="13"/>
                <w:szCs w:val="13"/>
                <w:color w:val="auto"/>
              </w:rPr>
              <w:t>$</w:t>
            </w:r>
          </w:p>
        </w:tc>
        <w:tc>
          <w:tcPr>
            <w:tcW w:w="92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7,986</w:t>
            </w:r>
          </w:p>
        </w:tc>
        <w:tc>
          <w:tcPr>
            <w:tcW w:w="44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9,405</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5,205</w:t>
            </w:r>
          </w:p>
        </w:tc>
        <w:tc>
          <w:tcPr>
            <w:tcW w:w="320" w:type="dxa"/>
            <w:vAlign w:val="bottom"/>
          </w:tcPr>
          <w:p>
            <w:pPr>
              <w:jc w:val="center"/>
              <w:ind w:left="1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ind w:left="80"/>
              <w:spacing w:after="0"/>
              <w:rPr>
                <w:sz w:val="20"/>
                <w:szCs w:val="20"/>
                <w:color w:val="auto"/>
              </w:rPr>
            </w:pPr>
            <w:r>
              <w:rPr>
                <w:rFonts w:ascii="Courier New" w:cs="Courier New" w:eastAsia="Courier New" w:hAnsi="Courier New"/>
                <w:sz w:val="13"/>
                <w:szCs w:val="13"/>
                <w:color w:val="auto"/>
                <w:w w:val="98"/>
              </w:rPr>
              <w:t>20,861</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3"/>
        </w:trPr>
        <w:tc>
          <w:tcPr>
            <w:tcW w:w="1600" w:type="dxa"/>
            <w:vAlign w:val="bottom"/>
            <w:gridSpan w:val="2"/>
          </w:tcPr>
          <w:p>
            <w:pPr>
              <w:spacing w:after="0"/>
              <w:rPr>
                <w:sz w:val="20"/>
                <w:szCs w:val="20"/>
                <w:color w:val="auto"/>
              </w:rPr>
            </w:pPr>
            <w:r>
              <w:rPr>
                <w:rFonts w:ascii="Courier New" w:cs="Courier New" w:eastAsia="Courier New" w:hAnsi="Courier New"/>
                <w:sz w:val="13"/>
                <w:szCs w:val="13"/>
                <w:color w:val="auto"/>
              </w:rPr>
              <w:t>Net income (loss)</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252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per common share (1) (2):</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ncome before cumulative</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ind w:left="160"/>
              <w:spacing w:after="0"/>
              <w:rPr>
                <w:sz w:val="20"/>
                <w:szCs w:val="20"/>
                <w:color w:val="auto"/>
              </w:rPr>
            </w:pPr>
            <w:r>
              <w:rPr>
                <w:rFonts w:ascii="Courier New" w:cs="Courier New" w:eastAsia="Courier New" w:hAnsi="Courier New"/>
                <w:sz w:val="13"/>
                <w:szCs w:val="13"/>
                <w:color w:val="auto"/>
              </w:rPr>
              <w:t>effect of</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ind w:left="160"/>
              <w:spacing w:after="0"/>
              <w:rPr>
                <w:sz w:val="20"/>
                <w:szCs w:val="20"/>
                <w:color w:val="auto"/>
              </w:rPr>
            </w:pPr>
            <w:r>
              <w:rPr>
                <w:rFonts w:ascii="Courier New" w:cs="Courier New" w:eastAsia="Courier New" w:hAnsi="Courier New"/>
                <w:sz w:val="13"/>
                <w:szCs w:val="13"/>
                <w:color w:val="auto"/>
              </w:rPr>
              <w:t>accounting</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ind w:left="160"/>
              <w:spacing w:after="0"/>
              <w:rPr>
                <w:sz w:val="20"/>
                <w:szCs w:val="20"/>
                <w:color w:val="auto"/>
              </w:rPr>
            </w:pPr>
            <w:r>
              <w:rPr>
                <w:rFonts w:ascii="Courier New" w:cs="Courier New" w:eastAsia="Courier New" w:hAnsi="Courier New"/>
                <w:sz w:val="13"/>
                <w:szCs w:val="13"/>
                <w:color w:val="auto"/>
              </w:rPr>
              <w:t>changes</w:t>
            </w:r>
          </w:p>
        </w:tc>
        <w:tc>
          <w:tcPr>
            <w:tcW w:w="400" w:type="dxa"/>
            <w:vAlign w:val="bottom"/>
          </w:tcPr>
          <w:p>
            <w:pPr>
              <w:ind w:left="160"/>
              <w:spacing w:after="0"/>
              <w:rPr>
                <w:sz w:val="20"/>
                <w:szCs w:val="20"/>
                <w:color w:val="auto"/>
              </w:rPr>
            </w:pPr>
            <w:r>
              <w:rPr>
                <w:rFonts w:ascii="Courier New" w:cs="Courier New" w:eastAsia="Courier New" w:hAnsi="Courier New"/>
                <w:sz w:val="13"/>
                <w:szCs w:val="13"/>
                <w:color w:val="auto"/>
              </w:rPr>
              <w:t>$</w:t>
            </w:r>
          </w:p>
        </w:tc>
        <w:tc>
          <w:tcPr>
            <w:tcW w:w="92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.43</w:t>
            </w:r>
          </w:p>
        </w:tc>
        <w:tc>
          <w:tcPr>
            <w:tcW w:w="44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.50</w:t>
            </w:r>
          </w:p>
        </w:tc>
        <w:tc>
          <w:tcPr>
            <w:tcW w:w="760" w:type="dxa"/>
            <w:vAlign w:val="bottom"/>
          </w:tcPr>
          <w:p>
            <w:pPr>
              <w:spacing w:after="0"/>
              <w:rPr>
                <w:sz w:val="13"/>
                <w:szCs w:val="13"/>
                <w:color w:val="auto"/>
              </w:rPr>
            </w:pPr>
          </w:p>
        </w:tc>
        <w:tc>
          <w:tcPr>
            <w:tcW w:w="68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jc w:val="center"/>
              <w:ind w:left="13"/>
              <w:spacing w:after="0"/>
              <w:rPr>
                <w:sz w:val="20"/>
                <w:szCs w:val="20"/>
                <w:color w:val="auto"/>
              </w:rPr>
            </w:pPr>
            <w:r>
              <w:rPr>
                <w:rFonts w:ascii="Courier New" w:cs="Courier New" w:eastAsia="Courier New" w:hAnsi="Courier New"/>
                <w:sz w:val="13"/>
                <w:szCs w:val="13"/>
                <w:color w:val="auto"/>
              </w:rPr>
              <w:t>.92</w:t>
            </w:r>
          </w:p>
        </w:tc>
        <w:tc>
          <w:tcPr>
            <w:tcW w:w="56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3"/>
                <w:szCs w:val="13"/>
                <w:color w:val="auto"/>
                <w:w w:val="95"/>
              </w:rPr>
              <w:t>1.11</w:t>
            </w: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Cumulative effect</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of changes in accounting</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for postretirement benefits,</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ind w:left="80"/>
              <w:spacing w:after="0"/>
              <w:rPr>
                <w:sz w:val="20"/>
                <w:szCs w:val="20"/>
                <w:color w:val="auto"/>
              </w:rPr>
            </w:pPr>
            <w:r>
              <w:rPr>
                <w:rFonts w:ascii="Courier New" w:cs="Courier New" w:eastAsia="Courier New" w:hAnsi="Courier New"/>
                <w:sz w:val="13"/>
                <w:szCs w:val="13"/>
                <w:color w:val="auto"/>
              </w:rPr>
              <w:t>net of tax and</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income taxes</w:t>
            </w:r>
          </w:p>
        </w:tc>
        <w:tc>
          <w:tcPr>
            <w:tcW w:w="440" w:type="dxa"/>
            <w:vAlign w:val="bottom"/>
          </w:tcPr>
          <w:p>
            <w:pPr>
              <w:ind w:left="360"/>
              <w:spacing w:after="0"/>
              <w:rPr>
                <w:sz w:val="20"/>
                <w:szCs w:val="20"/>
                <w:color w:val="auto"/>
              </w:rPr>
            </w:pPr>
            <w:r>
              <w:rPr>
                <w:rFonts w:ascii="Courier New" w:cs="Courier New" w:eastAsia="Courier New" w:hAnsi="Courier New"/>
                <w:sz w:val="13"/>
                <w:szCs w:val="13"/>
                <w:color w:val="auto"/>
                <w:w w:val="76"/>
              </w:rPr>
              <w:t>-</w:t>
            </w:r>
          </w:p>
        </w:tc>
        <w:tc>
          <w:tcPr>
            <w:tcW w:w="740" w:type="dxa"/>
            <w:vAlign w:val="bottom"/>
          </w:tcPr>
          <w:p>
            <w:pPr>
              <w:spacing w:after="0"/>
              <w:rPr>
                <w:sz w:val="13"/>
                <w:szCs w:val="13"/>
                <w:color w:val="auto"/>
              </w:rPr>
            </w:pPr>
          </w:p>
        </w:tc>
        <w:tc>
          <w:tcPr>
            <w:tcW w:w="76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(.66)</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8"/>
        </w:trPr>
        <w:tc>
          <w:tcPr>
            <w:tcW w:w="1200" w:type="dxa"/>
            <w:vAlign w:val="bottom"/>
          </w:tcPr>
          <w:p>
            <w:pPr>
              <w:ind w:left="80"/>
              <w:spacing w:after="0"/>
              <w:rPr>
                <w:sz w:val="20"/>
                <w:szCs w:val="20"/>
                <w:color w:val="auto"/>
              </w:rPr>
            </w:pPr>
            <w:r>
              <w:rPr>
                <w:rFonts w:ascii="Courier New" w:cs="Courier New" w:eastAsia="Courier New" w:hAnsi="Courier New"/>
                <w:sz w:val="13"/>
                <w:szCs w:val="13"/>
                <w:color w:val="auto"/>
              </w:rPr>
              <w:t>Net income</w:t>
            </w:r>
          </w:p>
        </w:tc>
        <w:tc>
          <w:tcPr>
            <w:tcW w:w="400" w:type="dxa"/>
            <w:vAlign w:val="bottom"/>
          </w:tcPr>
          <w:p>
            <w:pPr>
              <w:ind w:left="80"/>
              <w:spacing w:after="0"/>
              <w:rPr>
                <w:sz w:val="20"/>
                <w:szCs w:val="20"/>
                <w:color w:val="auto"/>
              </w:rPr>
            </w:pPr>
            <w:r>
              <w:rPr>
                <w:rFonts w:ascii="Courier New" w:cs="Courier New" w:eastAsia="Courier New" w:hAnsi="Courier New"/>
                <w:sz w:val="13"/>
                <w:szCs w:val="13"/>
                <w:color w:val="auto"/>
              </w:rPr>
              <w:t>$</w:t>
            </w:r>
          </w:p>
        </w:tc>
        <w:tc>
          <w:tcPr>
            <w:tcW w:w="920" w:type="dxa"/>
            <w:vAlign w:val="bottom"/>
          </w:tcPr>
          <w:p>
            <w:pPr>
              <w:jc w:val="right"/>
              <w:ind w:right="453"/>
              <w:spacing w:after="0"/>
              <w:rPr>
                <w:sz w:val="20"/>
                <w:szCs w:val="20"/>
                <w:color w:val="auto"/>
              </w:rPr>
            </w:pPr>
            <w:r>
              <w:rPr>
                <w:rFonts w:ascii="Courier New" w:cs="Courier New" w:eastAsia="Courier New" w:hAnsi="Courier New"/>
                <w:sz w:val="13"/>
                <w:szCs w:val="13"/>
                <w:color w:val="auto"/>
              </w:rPr>
              <w:t>.43</w:t>
            </w:r>
          </w:p>
        </w:tc>
        <w:tc>
          <w:tcPr>
            <w:tcW w:w="44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.50</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c>
          <w:tcPr>
            <w:tcW w:w="320" w:type="dxa"/>
            <w:vAlign w:val="bottom"/>
          </w:tcPr>
          <w:p>
            <w:pPr>
              <w:jc w:val="center"/>
              <w:ind w:left="13"/>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ind w:left="240"/>
              <w:spacing w:after="0"/>
              <w:rPr>
                <w:sz w:val="20"/>
                <w:szCs w:val="20"/>
                <w:color w:val="auto"/>
              </w:rPr>
            </w:pPr>
            <w:r>
              <w:rPr>
                <w:rFonts w:ascii="Courier New" w:cs="Courier New" w:eastAsia="Courier New" w:hAnsi="Courier New"/>
                <w:sz w:val="13"/>
                <w:szCs w:val="13"/>
                <w:color w:val="auto"/>
                <w:w w:val="95"/>
              </w:rPr>
              <w:t>1.11</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1600" w:type="dxa"/>
            <w:vAlign w:val="bottom"/>
            <w:gridSpan w:val="2"/>
          </w:tcPr>
          <w:p>
            <w:pPr>
              <w:spacing w:after="0"/>
              <w:rPr>
                <w:sz w:val="20"/>
                <w:szCs w:val="20"/>
                <w:color w:val="auto"/>
              </w:rPr>
            </w:pPr>
            <w:r>
              <w:rPr>
                <w:rFonts w:ascii="Courier New" w:cs="Courier New" w:eastAsia="Courier New" w:hAnsi="Courier New"/>
                <w:sz w:val="13"/>
                <w:szCs w:val="13"/>
                <w:color w:val="auto"/>
              </w:rPr>
              <w:t>Weighted average</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160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number of common</w:t>
            </w: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ind w:left="640"/>
              <w:spacing w:after="0"/>
              <w:rPr>
                <w:sz w:val="20"/>
                <w:szCs w:val="20"/>
                <w:color w:val="auto"/>
              </w:rPr>
            </w:pPr>
            <w:r>
              <w:rPr>
                <w:rFonts w:ascii="Courier New" w:cs="Courier New" w:eastAsia="Courier New" w:hAnsi="Courier New"/>
                <w:sz w:val="13"/>
                <w:szCs w:val="13"/>
                <w:color w:val="auto"/>
              </w:rPr>
              <w:t>shares</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ind w:left="80"/>
              <w:spacing w:after="0"/>
              <w:rPr>
                <w:sz w:val="20"/>
                <w:szCs w:val="20"/>
                <w:color w:val="auto"/>
              </w:rPr>
            </w:pPr>
            <w:r>
              <w:rPr>
                <w:rFonts w:ascii="Courier New" w:cs="Courier New" w:eastAsia="Courier New" w:hAnsi="Courier New"/>
                <w:sz w:val="13"/>
                <w:szCs w:val="13"/>
                <w:color w:val="auto"/>
              </w:rPr>
              <w:t>outstanding</w:t>
            </w:r>
          </w:p>
        </w:tc>
        <w:tc>
          <w:tcPr>
            <w:tcW w:w="1320" w:type="dxa"/>
            <w:vAlign w:val="bottom"/>
            <w:gridSpan w:val="2"/>
          </w:tcPr>
          <w:p>
            <w:pPr>
              <w:jc w:val="right"/>
              <w:ind w:right="453"/>
              <w:spacing w:after="0"/>
              <w:rPr>
                <w:sz w:val="20"/>
                <w:szCs w:val="20"/>
                <w:color w:val="auto"/>
              </w:rPr>
            </w:pPr>
            <w:r>
              <w:rPr>
                <w:rFonts w:ascii="Courier New" w:cs="Courier New" w:eastAsia="Courier New" w:hAnsi="Courier New"/>
                <w:sz w:val="13"/>
                <w:szCs w:val="13"/>
                <w:color w:val="auto"/>
                <w:w w:val="99"/>
              </w:rPr>
              <w:t>18,743,752</w:t>
            </w:r>
          </w:p>
        </w:tc>
        <w:tc>
          <w:tcPr>
            <w:tcW w:w="118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18,810,783</w:t>
            </w: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20,029,917</w:t>
            </w:r>
          </w:p>
        </w:tc>
        <w:tc>
          <w:tcPr>
            <w:tcW w:w="120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18,840,229</w:t>
            </w: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617"/>
        </w:trPr>
        <w:tc>
          <w:tcPr>
            <w:tcW w:w="6340" w:type="dxa"/>
            <w:vAlign w:val="bottom"/>
            <w:gridSpan w:val="10"/>
          </w:tcPr>
          <w:p>
            <w:pPr>
              <w:spacing w:after="0"/>
              <w:rPr>
                <w:sz w:val="20"/>
                <w:szCs w:val="20"/>
                <w:color w:val="auto"/>
              </w:rPr>
            </w:pPr>
            <w:r>
              <w:rPr>
                <w:rFonts w:ascii="Courier New" w:cs="Courier New" w:eastAsia="Courier New" w:hAnsi="Courier New"/>
                <w:sz w:val="13"/>
                <w:szCs w:val="13"/>
                <w:color w:val="auto"/>
              </w:rPr>
              <w:t>Income before cumulative effect of accounting changes for the three and nine</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3700" w:type="dxa"/>
            <w:vAlign w:val="bottom"/>
            <w:gridSpan w:val="5"/>
          </w:tcPr>
          <w:p>
            <w:pPr>
              <w:spacing w:after="0"/>
              <w:rPr>
                <w:sz w:val="20"/>
                <w:szCs w:val="20"/>
                <w:color w:val="auto"/>
              </w:rPr>
            </w:pPr>
            <w:r>
              <w:rPr>
                <w:rFonts w:ascii="Courier New" w:cs="Courier New" w:eastAsia="Courier New" w:hAnsi="Courier New"/>
                <w:sz w:val="13"/>
                <w:szCs w:val="13"/>
                <w:color w:val="auto"/>
              </w:rPr>
              <w:t>month periods ended July 3, 1993 has been</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6020" w:type="dxa"/>
            <w:vAlign w:val="bottom"/>
            <w:gridSpan w:val="9"/>
          </w:tcPr>
          <w:p>
            <w:pPr>
              <w:spacing w:after="0"/>
              <w:rPr>
                <w:sz w:val="20"/>
                <w:szCs w:val="20"/>
                <w:color w:val="auto"/>
              </w:rPr>
            </w:pPr>
            <w:r>
              <w:rPr>
                <w:rFonts w:ascii="Courier New" w:cs="Courier New" w:eastAsia="Courier New" w:hAnsi="Courier New"/>
                <w:sz w:val="13"/>
                <w:szCs w:val="13"/>
                <w:color w:val="auto"/>
              </w:rPr>
              <w:t>restated to reflect an ongoing net of tax charge of $325 or $.02 per share</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3700" w:type="dxa"/>
            <w:vAlign w:val="bottom"/>
            <w:gridSpan w:val="5"/>
          </w:tcPr>
          <w:p>
            <w:pPr>
              <w:ind w:left="80"/>
              <w:spacing w:after="0"/>
              <w:rPr>
                <w:sz w:val="20"/>
                <w:szCs w:val="20"/>
                <w:color w:val="auto"/>
              </w:rPr>
            </w:pPr>
            <w:r>
              <w:rPr>
                <w:rFonts w:ascii="Courier New" w:cs="Courier New" w:eastAsia="Courier New" w:hAnsi="Courier New"/>
                <w:sz w:val="13"/>
                <w:szCs w:val="13"/>
                <w:color w:val="auto"/>
              </w:rPr>
              <w:t>and $1,112 or $.06 per share, respectively,</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6020" w:type="dxa"/>
            <w:vAlign w:val="bottom"/>
            <w:gridSpan w:val="9"/>
          </w:tcPr>
          <w:p>
            <w:pPr>
              <w:spacing w:after="0"/>
              <w:rPr>
                <w:sz w:val="20"/>
                <w:szCs w:val="20"/>
                <w:color w:val="auto"/>
              </w:rPr>
            </w:pPr>
            <w:r>
              <w:rPr>
                <w:rFonts w:ascii="Courier New" w:cs="Courier New" w:eastAsia="Courier New" w:hAnsi="Courier New"/>
                <w:sz w:val="13"/>
                <w:szCs w:val="13"/>
                <w:color w:val="auto"/>
              </w:rPr>
              <w:t>resulting from the adoption of SFAS No. 106 effective October 1, 1992.</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463"/>
        </w:trPr>
        <w:tc>
          <w:tcPr>
            <w:tcW w:w="6340" w:type="dxa"/>
            <w:vAlign w:val="bottom"/>
            <w:gridSpan w:val="10"/>
          </w:tcPr>
          <w:p>
            <w:pPr>
              <w:spacing w:after="0"/>
              <w:rPr>
                <w:sz w:val="20"/>
                <w:szCs w:val="20"/>
                <w:color w:val="auto"/>
              </w:rPr>
            </w:pPr>
            <w:r>
              <w:rPr>
                <w:rFonts w:ascii="Courier New" w:cs="Courier New" w:eastAsia="Courier New" w:hAnsi="Courier New"/>
                <w:sz w:val="13"/>
                <w:szCs w:val="13"/>
                <w:color w:val="auto"/>
              </w:rPr>
              <w:t>The net income for the nine month period ended July 3, 1993 has been restated</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3700" w:type="dxa"/>
            <w:vAlign w:val="bottom"/>
            <w:gridSpan w:val="5"/>
          </w:tcPr>
          <w:p>
            <w:pPr>
              <w:ind w:left="80"/>
              <w:spacing w:after="0"/>
              <w:rPr>
                <w:sz w:val="20"/>
                <w:szCs w:val="20"/>
                <w:color w:val="auto"/>
              </w:rPr>
            </w:pPr>
            <w:r>
              <w:rPr>
                <w:rFonts w:ascii="Courier New" w:cs="Courier New" w:eastAsia="Courier New" w:hAnsi="Courier New"/>
                <w:sz w:val="13"/>
                <w:szCs w:val="13"/>
                <w:color w:val="auto"/>
              </w:rPr>
              <w:t>to reflect the cumulative effect of changes</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6020" w:type="dxa"/>
            <w:vAlign w:val="bottom"/>
            <w:gridSpan w:val="9"/>
          </w:tcPr>
          <w:p>
            <w:pPr>
              <w:spacing w:after="0"/>
              <w:rPr>
                <w:sz w:val="20"/>
                <w:szCs w:val="20"/>
                <w:color w:val="auto"/>
              </w:rPr>
            </w:pPr>
            <w:r>
              <w:rPr>
                <w:rFonts w:ascii="Courier New" w:cs="Courier New" w:eastAsia="Courier New" w:hAnsi="Courier New"/>
                <w:sz w:val="13"/>
                <w:szCs w:val="13"/>
                <w:color w:val="auto"/>
              </w:rPr>
              <w:t>in accounting for postretirement benefits (a net of tax change of $14,932</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4460" w:type="dxa"/>
            <w:vAlign w:val="bottom"/>
            <w:gridSpan w:val="6"/>
          </w:tcPr>
          <w:p>
            <w:pPr>
              <w:ind w:left="80"/>
              <w:spacing w:after="0"/>
              <w:rPr>
                <w:sz w:val="20"/>
                <w:szCs w:val="20"/>
                <w:color w:val="auto"/>
              </w:rPr>
            </w:pPr>
            <w:r>
              <w:rPr>
                <w:rFonts w:ascii="Courier New" w:cs="Courier New" w:eastAsia="Courier New" w:hAnsi="Courier New"/>
                <w:sz w:val="13"/>
                <w:szCs w:val="13"/>
                <w:color w:val="auto"/>
              </w:rPr>
              <w:t>or $.71 per share) and income taxes (a benefit of</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spacing w:after="0"/>
              <w:rPr>
                <w:sz w:val="20"/>
                <w:szCs w:val="20"/>
                <w:color w:val="auto"/>
              </w:rPr>
            </w:pPr>
            <w:r>
              <w:rPr>
                <w:rFonts w:ascii="Courier New" w:cs="Courier New" w:eastAsia="Courier New" w:hAnsi="Courier New"/>
                <w:sz w:val="13"/>
                <w:szCs w:val="13"/>
                <w:color w:val="auto"/>
              </w:rPr>
              <w:t>$1,775 of $.08 per share).</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463"/>
        </w:trPr>
        <w:tc>
          <w:tcPr>
            <w:tcW w:w="4460" w:type="dxa"/>
            <w:vAlign w:val="bottom"/>
            <w:gridSpan w:val="6"/>
          </w:tcPr>
          <w:p>
            <w:pPr>
              <w:spacing w:after="0"/>
              <w:rPr>
                <w:sz w:val="20"/>
                <w:szCs w:val="20"/>
                <w:color w:val="auto"/>
              </w:rPr>
            </w:pPr>
            <w:r>
              <w:rPr>
                <w:rFonts w:ascii="Courier New" w:cs="Courier New" w:eastAsia="Courier New" w:hAnsi="Courier New"/>
                <w:sz w:val="13"/>
                <w:szCs w:val="13"/>
                <w:color w:val="auto"/>
              </w:rPr>
              <w:t>The accompanying notes to consolidated financial</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4460" w:type="dxa"/>
            <w:vAlign w:val="bottom"/>
            <w:gridSpan w:val="6"/>
          </w:tcPr>
          <w:p>
            <w:pPr>
              <w:spacing w:after="0"/>
              <w:rPr>
                <w:sz w:val="20"/>
                <w:szCs w:val="20"/>
                <w:color w:val="auto"/>
              </w:rPr>
            </w:pPr>
            <w:r>
              <w:rPr>
                <w:rFonts w:ascii="Courier New" w:cs="Courier New" w:eastAsia="Courier New" w:hAnsi="Courier New"/>
                <w:sz w:val="13"/>
                <w:szCs w:val="13"/>
                <w:color w:val="auto"/>
              </w:rPr>
              <w:t>statements are an integral part of these statements.</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463"/>
        </w:trPr>
        <w:tc>
          <w:tcPr>
            <w:tcW w:w="1200" w:type="dxa"/>
            <w:vAlign w:val="bottom"/>
          </w:tcPr>
          <w:p>
            <w:pPr>
              <w:spacing w:after="0"/>
              <w:rPr>
                <w:sz w:val="20"/>
                <w:szCs w:val="20"/>
                <w:color w:val="auto"/>
              </w:rPr>
            </w:pPr>
            <w:r>
              <w:rPr>
                <w:rFonts w:ascii="Courier New" w:cs="Courier New" w:eastAsia="Courier New" w:hAnsi="Courier New"/>
                <w:sz w:val="13"/>
                <w:szCs w:val="13"/>
                <w:color w:val="auto"/>
              </w:rPr>
              <w:t>Page 5</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2960" w:type="dxa"/>
            <w:vAlign w:val="bottom"/>
            <w:gridSpan w:val="4"/>
          </w:tcPr>
          <w:p>
            <w:pPr>
              <w:spacing w:after="0"/>
              <w:rPr>
                <w:sz w:val="20"/>
                <w:szCs w:val="20"/>
                <w:color w:val="auto"/>
              </w:rPr>
            </w:pPr>
            <w:r>
              <w:rPr>
                <w:rFonts w:ascii="Courier New" w:cs="Courier New" w:eastAsia="Courier New" w:hAnsi="Courier New"/>
                <w:sz w:val="13"/>
                <w:szCs w:val="13"/>
                <w:color w:val="auto"/>
              </w:rPr>
              <w:t>THE SCOTTS COMPANY AND SUBSIDIARIES</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2960" w:type="dxa"/>
            <w:vAlign w:val="bottom"/>
            <w:gridSpan w:val="4"/>
          </w:tcPr>
          <w:p>
            <w:pPr>
              <w:spacing w:after="0"/>
              <w:rPr>
                <w:sz w:val="20"/>
                <w:szCs w:val="20"/>
                <w:color w:val="auto"/>
              </w:rPr>
            </w:pPr>
            <w:r>
              <w:rPr>
                <w:rFonts w:ascii="Courier New" w:cs="Courier New" w:eastAsia="Courier New" w:hAnsi="Courier New"/>
                <w:sz w:val="13"/>
                <w:szCs w:val="13"/>
                <w:color w:val="auto"/>
              </w:rPr>
              <w:t>CONSOLIDATED STATEMENTS OF CASH FLOWS</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20"/>
                <w:szCs w:val="20"/>
                <w:color w:val="auto"/>
              </w:rPr>
            </w:pPr>
            <w:r>
              <w:rPr>
                <w:rFonts w:ascii="Courier New" w:cs="Courier New" w:eastAsia="Courier New" w:hAnsi="Courier New"/>
                <w:sz w:val="13"/>
                <w:szCs w:val="13"/>
                <w:color w:val="auto"/>
              </w:rPr>
              <w:t>(Unaudited)</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20"/>
                <w:szCs w:val="20"/>
                <w:color w:val="auto"/>
              </w:rPr>
            </w:pPr>
            <w:r>
              <w:rPr>
                <w:rFonts w:ascii="Courier New" w:cs="Courier New" w:eastAsia="Courier New" w:hAnsi="Courier New"/>
                <w:sz w:val="13"/>
                <w:szCs w:val="13"/>
                <w:color w:val="auto"/>
              </w:rPr>
              <w:t>(in thousands)</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8"/>
        </w:trPr>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gridSpan w:val="3"/>
          </w:tcPr>
          <w:p>
            <w:pPr>
              <w:jc w:val="right"/>
              <w:ind w:right="13"/>
              <w:spacing w:after="0"/>
              <w:rPr>
                <w:sz w:val="20"/>
                <w:szCs w:val="20"/>
                <w:color w:val="auto"/>
              </w:rPr>
            </w:pPr>
            <w:r>
              <w:rPr>
                <w:rFonts w:ascii="Courier New" w:cs="Courier New" w:eastAsia="Courier New" w:hAnsi="Courier New"/>
                <w:sz w:val="13"/>
                <w:szCs w:val="13"/>
                <w:color w:val="auto"/>
              </w:rPr>
              <w:t>Nine Months Ended</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July 3</w:t>
            </w:r>
          </w:p>
        </w:tc>
        <w:tc>
          <w:tcPr>
            <w:tcW w:w="320" w:type="dxa"/>
            <w:vAlign w:val="bottom"/>
          </w:tcPr>
          <w:p>
            <w:pPr>
              <w:spacing w:after="0"/>
              <w:rPr>
                <w:sz w:val="13"/>
                <w:szCs w:val="13"/>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3"/>
                <w:szCs w:val="13"/>
                <w:color w:val="auto"/>
                <w:w w:val="98"/>
              </w:rPr>
              <w:t>July 2</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1993</w:t>
            </w:r>
          </w:p>
        </w:tc>
        <w:tc>
          <w:tcPr>
            <w:tcW w:w="32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Courier New" w:cs="Courier New" w:eastAsia="Courier New" w:hAnsi="Courier New"/>
                <w:sz w:val="13"/>
                <w:szCs w:val="13"/>
                <w:color w:val="auto"/>
              </w:rPr>
              <w:t>1994</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8"/>
        </w:trPr>
        <w:tc>
          <w:tcPr>
            <w:tcW w:w="2960" w:type="dxa"/>
            <w:vAlign w:val="bottom"/>
            <w:gridSpan w:val="4"/>
          </w:tcPr>
          <w:p>
            <w:pPr>
              <w:spacing w:after="0"/>
              <w:rPr>
                <w:sz w:val="20"/>
                <w:szCs w:val="20"/>
                <w:color w:val="auto"/>
              </w:rPr>
            </w:pPr>
            <w:r>
              <w:rPr>
                <w:rFonts w:ascii="Courier New" w:cs="Courier New" w:eastAsia="Courier New" w:hAnsi="Courier New"/>
                <w:sz w:val="13"/>
                <w:szCs w:val="13"/>
                <w:color w:val="auto"/>
              </w:rPr>
              <w:t>CASH FLOWS FROM OPERATING ACTIVITIES:</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160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Net income</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ind w:left="80"/>
              <w:spacing w:after="0"/>
              <w:rPr>
                <w:sz w:val="20"/>
                <w:szCs w:val="20"/>
                <w:color w:val="auto"/>
              </w:rPr>
            </w:pPr>
            <w:r>
              <w:rPr>
                <w:rFonts w:ascii="Courier New" w:cs="Courier New" w:eastAsia="Courier New" w:hAnsi="Courier New"/>
                <w:sz w:val="13"/>
                <w:szCs w:val="13"/>
                <w:color w:val="auto"/>
              </w:rPr>
              <w:t>5,205</w:t>
            </w:r>
          </w:p>
        </w:tc>
        <w:tc>
          <w:tcPr>
            <w:tcW w:w="32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20,861</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2520" w:type="dxa"/>
            <w:vAlign w:val="bottom"/>
            <w:gridSpan w:val="3"/>
          </w:tcPr>
          <w:p>
            <w:pPr>
              <w:ind w:left="640"/>
              <w:spacing w:after="0"/>
              <w:rPr>
                <w:sz w:val="20"/>
                <w:szCs w:val="20"/>
                <w:color w:val="auto"/>
              </w:rPr>
            </w:pPr>
            <w:r>
              <w:rPr>
                <w:rFonts w:ascii="Courier New" w:cs="Courier New" w:eastAsia="Courier New" w:hAnsi="Courier New"/>
                <w:sz w:val="13"/>
                <w:szCs w:val="13"/>
                <w:color w:val="auto"/>
              </w:rPr>
              <w:t>Adjustment to reconcile</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52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net income to net cash</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96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used in operating activities:</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8"/>
        </w:trPr>
        <w:tc>
          <w:tcPr>
            <w:tcW w:w="1200" w:type="dxa"/>
            <w:vAlign w:val="bottom"/>
          </w:tcPr>
          <w:p>
            <w:pPr>
              <w:spacing w:after="0"/>
              <w:rPr>
                <w:sz w:val="24"/>
                <w:szCs w:val="24"/>
                <w:color w:val="auto"/>
              </w:rPr>
            </w:pPr>
          </w:p>
        </w:tc>
        <w:tc>
          <w:tcPr>
            <w:tcW w:w="250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Depreciation and amortization</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13,372</w:t>
            </w:r>
          </w:p>
        </w:tc>
        <w:tc>
          <w:tcPr>
            <w:tcW w:w="144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16,424</w:t>
            </w:r>
          </w:p>
        </w:tc>
        <w:tc>
          <w:tcPr>
            <w:tcW w:w="880" w:type="dxa"/>
            <w:vAlign w:val="bottom"/>
          </w:tcPr>
          <w:p>
            <w:pPr>
              <w:spacing w:after="0"/>
              <w:rPr>
                <w:sz w:val="24"/>
                <w:szCs w:val="24"/>
                <w:color w:val="auto"/>
              </w:rPr>
            </w:pPr>
          </w:p>
        </w:tc>
      </w:tr>
      <w:tr>
        <w:trPr>
          <w:trHeight w:val="308"/>
        </w:trPr>
        <w:tc>
          <w:tcPr>
            <w:tcW w:w="1200" w:type="dxa"/>
            <w:vAlign w:val="bottom"/>
          </w:tcPr>
          <w:p>
            <w:pPr>
              <w:spacing w:after="0"/>
              <w:rPr>
                <w:sz w:val="24"/>
                <w:szCs w:val="24"/>
                <w:color w:val="auto"/>
              </w:rPr>
            </w:pPr>
          </w:p>
        </w:tc>
        <w:tc>
          <w:tcPr>
            <w:tcW w:w="3940" w:type="dxa"/>
            <w:vAlign w:val="bottom"/>
            <w:gridSpan w:val="6"/>
          </w:tcPr>
          <w:p>
            <w:pPr>
              <w:ind w:left="80"/>
              <w:spacing w:after="0"/>
              <w:rPr>
                <w:sz w:val="20"/>
                <w:szCs w:val="20"/>
                <w:color w:val="auto"/>
              </w:rPr>
            </w:pPr>
            <w:r>
              <w:rPr>
                <w:rFonts w:ascii="Courier New" w:cs="Courier New" w:eastAsia="Courier New" w:hAnsi="Courier New"/>
                <w:sz w:val="13"/>
                <w:szCs w:val="13"/>
                <w:color w:val="auto"/>
              </w:rPr>
              <w:t>Cumulative effect of change in accounting</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60" w:type="dxa"/>
            <w:vAlign w:val="bottom"/>
            <w:gridSpan w:val="4"/>
          </w:tcPr>
          <w:p>
            <w:pPr>
              <w:jc w:val="right"/>
              <w:ind w:right="613"/>
              <w:spacing w:after="0"/>
              <w:rPr>
                <w:sz w:val="20"/>
                <w:szCs w:val="20"/>
                <w:color w:val="auto"/>
              </w:rPr>
            </w:pPr>
            <w:r>
              <w:rPr>
                <w:rFonts w:ascii="Courier New" w:cs="Courier New" w:eastAsia="Courier New" w:hAnsi="Courier New"/>
                <w:sz w:val="13"/>
                <w:szCs w:val="13"/>
                <w:color w:val="auto"/>
              </w:rPr>
              <w:t>for postretirement benefits</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24,280</w:t>
            </w: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250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Postretirement benefits</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Courier New" w:cs="Courier New" w:eastAsia="Courier New" w:hAnsi="Courier New"/>
                <w:sz w:val="13"/>
                <w:szCs w:val="13"/>
                <w:color w:val="auto"/>
              </w:rPr>
              <w:t>1,831</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96</w:t>
            </w: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176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Deferred income taxes</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3"/>
          </w:tcPr>
          <w:p>
            <w:pPr>
              <w:ind w:left="320"/>
              <w:spacing w:after="0"/>
              <w:rPr>
                <w:sz w:val="20"/>
                <w:szCs w:val="20"/>
                <w:color w:val="auto"/>
              </w:rPr>
            </w:pPr>
            <w:r>
              <w:rPr>
                <w:rFonts w:ascii="Courier New" w:cs="Courier New" w:eastAsia="Courier New" w:hAnsi="Courier New"/>
                <w:sz w:val="13"/>
                <w:szCs w:val="13"/>
                <w:color w:val="auto"/>
              </w:rPr>
              <w:t>(11,842)</w:t>
            </w:r>
          </w:p>
        </w:tc>
        <w:tc>
          <w:tcPr>
            <w:tcW w:w="800" w:type="dxa"/>
            <w:vAlign w:val="bottom"/>
          </w:tcPr>
          <w:p>
            <w:pPr>
              <w:jc w:val="right"/>
              <w:ind w:right="653"/>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40" w:type="dxa"/>
            <w:vAlign w:val="bottom"/>
            <w:gridSpan w:val="5"/>
          </w:tcPr>
          <w:p>
            <w:pPr>
              <w:jc w:val="right"/>
              <w:ind w:right="173"/>
              <w:spacing w:after="0"/>
              <w:rPr>
                <w:sz w:val="20"/>
                <w:szCs w:val="20"/>
                <w:color w:val="auto"/>
              </w:rPr>
            </w:pPr>
            <w:r>
              <w:rPr>
                <w:rFonts w:ascii="Courier New" w:cs="Courier New" w:eastAsia="Courier New" w:hAnsi="Courier New"/>
                <w:sz w:val="13"/>
                <w:szCs w:val="13"/>
                <w:color w:val="auto"/>
              </w:rPr>
              <w:t>Net increase in certain components of</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00" w:type="dxa"/>
            <w:vAlign w:val="bottom"/>
            <w:gridSpan w:val="3"/>
          </w:tcPr>
          <w:p>
            <w:pPr>
              <w:jc w:val="right"/>
              <w:ind w:right="173"/>
              <w:spacing w:after="0"/>
              <w:rPr>
                <w:sz w:val="20"/>
                <w:szCs w:val="20"/>
                <w:color w:val="auto"/>
              </w:rPr>
            </w:pPr>
            <w:r>
              <w:rPr>
                <w:rFonts w:ascii="Courier New" w:cs="Courier New" w:eastAsia="Courier New" w:hAnsi="Courier New"/>
                <w:sz w:val="13"/>
                <w:szCs w:val="13"/>
                <w:color w:val="auto"/>
              </w:rPr>
              <w:t>working capital</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jc w:val="right"/>
              <w:ind w:right="253"/>
              <w:spacing w:after="0"/>
              <w:rPr>
                <w:sz w:val="20"/>
                <w:szCs w:val="20"/>
                <w:color w:val="auto"/>
              </w:rPr>
            </w:pPr>
            <w:r>
              <w:rPr>
                <w:rFonts w:ascii="Courier New" w:cs="Courier New" w:eastAsia="Courier New" w:hAnsi="Courier New"/>
                <w:sz w:val="13"/>
                <w:szCs w:val="13"/>
                <w:color w:val="auto"/>
              </w:rPr>
              <w:t>(649)</w:t>
            </w:r>
          </w:p>
        </w:tc>
        <w:tc>
          <w:tcPr>
            <w:tcW w:w="88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9"/>
              </w:rPr>
              <w:t>(13,388)</w:t>
            </w: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60" w:type="dxa"/>
            <w:vAlign w:val="bottom"/>
            <w:gridSpan w:val="6"/>
          </w:tcPr>
          <w:p>
            <w:pPr>
              <w:ind w:left="320"/>
              <w:spacing w:after="0"/>
              <w:rPr>
                <w:sz w:val="20"/>
                <w:szCs w:val="20"/>
                <w:color w:val="auto"/>
              </w:rPr>
            </w:pPr>
            <w:r>
              <w:rPr>
                <w:rFonts w:ascii="Courier New" w:cs="Courier New" w:eastAsia="Courier New" w:hAnsi="Courier New"/>
                <w:sz w:val="13"/>
                <w:szCs w:val="13"/>
                <w:color w:val="auto"/>
              </w:rPr>
              <w:t>Net decrease (increase) in other assets and</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40" w:type="dxa"/>
            <w:vAlign w:val="bottom"/>
            <w:gridSpan w:val="5"/>
          </w:tcPr>
          <w:p>
            <w:pPr>
              <w:jc w:val="right"/>
              <w:ind w:right="173"/>
              <w:spacing w:after="0"/>
              <w:rPr>
                <w:sz w:val="20"/>
                <w:szCs w:val="20"/>
                <w:color w:val="auto"/>
              </w:rPr>
            </w:pPr>
            <w:r>
              <w:rPr>
                <w:rFonts w:ascii="Courier New" w:cs="Courier New" w:eastAsia="Courier New" w:hAnsi="Courier New"/>
                <w:sz w:val="13"/>
                <w:szCs w:val="13"/>
                <w:color w:val="auto"/>
              </w:rPr>
              <w:t>liabilities and other adjustments</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1,056</w:t>
            </w:r>
          </w:p>
        </w:tc>
        <w:tc>
          <w:tcPr>
            <w:tcW w:w="1680" w:type="dxa"/>
            <w:vAlign w:val="bottom"/>
            <w:gridSpan w:val="2"/>
          </w:tcPr>
          <w:p>
            <w:pPr>
              <w:jc w:val="right"/>
              <w:ind w:right="573"/>
              <w:spacing w:after="0"/>
              <w:rPr>
                <w:sz w:val="20"/>
                <w:szCs w:val="20"/>
                <w:color w:val="auto"/>
              </w:rPr>
            </w:pPr>
            <w:r>
              <w:rPr>
                <w:rFonts w:ascii="Courier New" w:cs="Courier New" w:eastAsia="Courier New" w:hAnsi="Courier New"/>
                <w:sz w:val="13"/>
                <w:szCs w:val="13"/>
                <w:color w:val="auto"/>
              </w:rPr>
              <w:t>(4,465)</w:t>
            </w: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60" w:type="dxa"/>
            <w:vAlign w:val="bottom"/>
            <w:gridSpan w:val="6"/>
          </w:tcPr>
          <w:p>
            <w:pPr>
              <w:ind w:left="320"/>
              <w:spacing w:after="0"/>
              <w:rPr>
                <w:sz w:val="20"/>
                <w:szCs w:val="20"/>
                <w:color w:val="auto"/>
              </w:rPr>
            </w:pPr>
            <w:r>
              <w:rPr>
                <w:rFonts w:ascii="Courier New" w:cs="Courier New" w:eastAsia="Courier New" w:hAnsi="Courier New"/>
                <w:sz w:val="13"/>
                <w:szCs w:val="13"/>
                <w:color w:val="auto"/>
              </w:rPr>
              <w:t>Net cash provided by operating activities</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33,253</w:t>
            </w:r>
          </w:p>
        </w:tc>
        <w:tc>
          <w:tcPr>
            <w:tcW w:w="1680" w:type="dxa"/>
            <w:vAlign w:val="bottom"/>
            <w:gridSpan w:val="2"/>
          </w:tcPr>
          <w:p>
            <w:pPr>
              <w:jc w:val="right"/>
              <w:ind w:right="733"/>
              <w:spacing w:after="0"/>
              <w:rPr>
                <w:sz w:val="20"/>
                <w:szCs w:val="20"/>
                <w:color w:val="auto"/>
              </w:rPr>
            </w:pPr>
            <w:r>
              <w:rPr>
                <w:rFonts w:ascii="Courier New" w:cs="Courier New" w:eastAsia="Courier New" w:hAnsi="Courier New"/>
                <w:sz w:val="13"/>
                <w:szCs w:val="13"/>
                <w:color w:val="auto"/>
              </w:rPr>
              <w:t>19,528</w:t>
            </w:r>
          </w:p>
        </w:tc>
      </w:tr>
      <w:tr>
        <w:trPr>
          <w:trHeight w:val="308"/>
        </w:trPr>
        <w:tc>
          <w:tcPr>
            <w:tcW w:w="2960" w:type="dxa"/>
            <w:vAlign w:val="bottom"/>
            <w:gridSpan w:val="4"/>
          </w:tcPr>
          <w:p>
            <w:pPr>
              <w:spacing w:after="0"/>
              <w:rPr>
                <w:sz w:val="20"/>
                <w:szCs w:val="20"/>
                <w:color w:val="auto"/>
              </w:rPr>
            </w:pPr>
            <w:r>
              <w:rPr>
                <w:rFonts w:ascii="Courier New" w:cs="Courier New" w:eastAsia="Courier New" w:hAnsi="Courier New"/>
                <w:sz w:val="13"/>
                <w:szCs w:val="13"/>
                <w:color w:val="auto"/>
              </w:rPr>
              <w:t>CASH FLOWS FROM INVESTING ACTIVITIES</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3700" w:type="dxa"/>
            <w:vAlign w:val="bottom"/>
            <w:gridSpan w:val="5"/>
          </w:tcPr>
          <w:p>
            <w:pPr>
              <w:ind w:left="640"/>
              <w:spacing w:after="0"/>
              <w:rPr>
                <w:sz w:val="20"/>
                <w:szCs w:val="20"/>
                <w:color w:val="auto"/>
              </w:rPr>
            </w:pPr>
            <w:r>
              <w:rPr>
                <w:rFonts w:ascii="Courier New" w:cs="Courier New" w:eastAsia="Courier New" w:hAnsi="Courier New"/>
                <w:sz w:val="13"/>
                <w:szCs w:val="13"/>
                <w:color w:val="auto"/>
              </w:rPr>
              <w:t>Investment in plant and equipment, net</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Courier New" w:cs="Courier New" w:eastAsia="Courier New" w:hAnsi="Courier New"/>
                <w:sz w:val="13"/>
                <w:szCs w:val="13"/>
                <w:color w:val="auto"/>
                <w:w w:val="98"/>
              </w:rPr>
              <w:t>(8,415)</w:t>
            </w:r>
          </w:p>
        </w:tc>
        <w:tc>
          <w:tcPr>
            <w:tcW w:w="1440" w:type="dxa"/>
            <w:vAlign w:val="bottom"/>
            <w:gridSpan w:val="2"/>
          </w:tcPr>
          <w:p>
            <w:pPr>
              <w:jc w:val="right"/>
              <w:ind w:right="413"/>
              <w:spacing w:after="0"/>
              <w:rPr>
                <w:sz w:val="20"/>
                <w:szCs w:val="20"/>
                <w:color w:val="auto"/>
              </w:rPr>
            </w:pPr>
            <w:r>
              <w:rPr>
                <w:rFonts w:ascii="Courier New" w:cs="Courier New" w:eastAsia="Courier New" w:hAnsi="Courier New"/>
                <w:sz w:val="13"/>
                <w:szCs w:val="13"/>
                <w:color w:val="auto"/>
              </w:rPr>
              <w:t>(21,655)</w:t>
            </w:r>
          </w:p>
        </w:tc>
        <w:tc>
          <w:tcPr>
            <w:tcW w:w="880" w:type="dxa"/>
            <w:vAlign w:val="bottom"/>
          </w:tcPr>
          <w:p>
            <w:pPr>
              <w:spacing w:after="0"/>
              <w:rPr>
                <w:sz w:val="24"/>
                <w:szCs w:val="24"/>
                <w:color w:val="auto"/>
              </w:rPr>
            </w:pPr>
          </w:p>
        </w:tc>
      </w:tr>
      <w:tr>
        <w:trPr>
          <w:trHeight w:val="154"/>
        </w:trPr>
        <w:tc>
          <w:tcPr>
            <w:tcW w:w="4460" w:type="dxa"/>
            <w:vAlign w:val="bottom"/>
            <w:gridSpan w:val="6"/>
          </w:tcPr>
          <w:p>
            <w:pPr>
              <w:ind w:left="640"/>
              <w:spacing w:after="0"/>
              <w:rPr>
                <w:sz w:val="20"/>
                <w:szCs w:val="20"/>
                <w:color w:val="auto"/>
              </w:rPr>
            </w:pPr>
            <w:r>
              <w:rPr>
                <w:rFonts w:ascii="Courier New" w:cs="Courier New" w:eastAsia="Courier New" w:hAnsi="Courier New"/>
                <w:sz w:val="13"/>
                <w:szCs w:val="13"/>
                <w:color w:val="auto"/>
              </w:rPr>
              <w:t>Acquisition of Sierra, net of cash acquired</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(118,986)</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4460" w:type="dxa"/>
            <w:vAlign w:val="bottom"/>
            <w:gridSpan w:val="6"/>
          </w:tcPr>
          <w:p>
            <w:pPr>
              <w:ind w:left="640"/>
              <w:spacing w:after="0"/>
              <w:rPr>
                <w:sz w:val="20"/>
                <w:szCs w:val="20"/>
                <w:color w:val="auto"/>
              </w:rPr>
            </w:pPr>
            <w:r>
              <w:rPr>
                <w:rFonts w:ascii="Courier New" w:cs="Courier New" w:eastAsia="Courier New" w:hAnsi="Courier New"/>
                <w:sz w:val="13"/>
                <w:szCs w:val="13"/>
                <w:color w:val="auto"/>
              </w:rPr>
              <w:t>Acquisition of Republic, net of cash acquired</w:t>
            </w:r>
          </w:p>
        </w:tc>
        <w:tc>
          <w:tcPr>
            <w:tcW w:w="680" w:type="dxa"/>
            <w:vAlign w:val="bottom"/>
          </w:tcPr>
          <w:p>
            <w:pPr>
              <w:spacing w:after="0"/>
              <w:rPr>
                <w:sz w:val="13"/>
                <w:szCs w:val="13"/>
                <w:color w:val="auto"/>
              </w:rPr>
            </w:pPr>
          </w:p>
        </w:tc>
        <w:tc>
          <w:tcPr>
            <w:tcW w:w="88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w w:val="99"/>
              </w:rPr>
              <w:t>(16,366)</w:t>
            </w:r>
          </w:p>
        </w:tc>
        <w:tc>
          <w:tcPr>
            <w:tcW w:w="320" w:type="dxa"/>
            <w:vAlign w:val="bottom"/>
          </w:tcPr>
          <w:p>
            <w:pPr>
              <w:spacing w:after="0"/>
              <w:rPr>
                <w:sz w:val="13"/>
                <w:szCs w:val="13"/>
                <w:color w:val="auto"/>
              </w:rPr>
            </w:pPr>
          </w:p>
        </w:tc>
        <w:tc>
          <w:tcPr>
            <w:tcW w:w="640" w:type="dxa"/>
            <w:vAlign w:val="bottom"/>
          </w:tcPr>
          <w:p>
            <w:pPr>
              <w:jc w:val="right"/>
              <w:ind w:right="493"/>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200" w:type="dxa"/>
            <w:vAlign w:val="bottom"/>
          </w:tcPr>
          <w:p>
            <w:pPr>
              <w:spacing w:after="0"/>
              <w:rPr>
                <w:sz w:val="13"/>
                <w:szCs w:val="13"/>
                <w:color w:val="auto"/>
              </w:rPr>
            </w:pPr>
          </w:p>
        </w:tc>
        <w:tc>
          <w:tcPr>
            <w:tcW w:w="3260" w:type="dxa"/>
            <w:vAlign w:val="bottom"/>
            <w:gridSpan w:val="5"/>
          </w:tcPr>
          <w:p>
            <w:pPr>
              <w:ind w:left="80"/>
              <w:spacing w:after="0"/>
              <w:rPr>
                <w:sz w:val="20"/>
                <w:szCs w:val="20"/>
                <w:color w:val="auto"/>
              </w:rPr>
            </w:pPr>
            <w:r>
              <w:rPr>
                <w:rFonts w:ascii="Courier New" w:cs="Courier New" w:eastAsia="Courier New" w:hAnsi="Courier New"/>
                <w:sz w:val="13"/>
                <w:szCs w:val="13"/>
                <w:color w:val="auto"/>
              </w:rPr>
              <w:t>Net cash used in investing activities</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ind w:left="240"/>
              <w:spacing w:after="0"/>
              <w:rPr>
                <w:sz w:val="20"/>
                <w:szCs w:val="20"/>
                <w:color w:val="auto"/>
              </w:rPr>
            </w:pPr>
            <w:r>
              <w:rPr>
                <w:rFonts w:ascii="Courier New" w:cs="Courier New" w:eastAsia="Courier New" w:hAnsi="Courier New"/>
                <w:sz w:val="13"/>
                <w:szCs w:val="13"/>
                <w:color w:val="auto"/>
                <w:w w:val="99"/>
              </w:rPr>
              <w:t>(24,781)</w:t>
            </w:r>
          </w:p>
        </w:tc>
        <w:tc>
          <w:tcPr>
            <w:tcW w:w="1440" w:type="dxa"/>
            <w:vAlign w:val="bottom"/>
            <w:gridSpan w:val="2"/>
          </w:tcPr>
          <w:p>
            <w:pPr>
              <w:jc w:val="right"/>
              <w:ind w:right="413"/>
              <w:spacing w:after="0"/>
              <w:rPr>
                <w:sz w:val="20"/>
                <w:szCs w:val="20"/>
                <w:color w:val="auto"/>
              </w:rPr>
            </w:pPr>
            <w:r>
              <w:rPr>
                <w:rFonts w:ascii="Courier New" w:cs="Courier New" w:eastAsia="Courier New" w:hAnsi="Courier New"/>
                <w:sz w:val="13"/>
                <w:szCs w:val="13"/>
                <w:color w:val="auto"/>
              </w:rPr>
              <w:t>(140,641)</w:t>
            </w:r>
          </w:p>
        </w:tc>
        <w:tc>
          <w:tcPr>
            <w:tcW w:w="880" w:type="dxa"/>
            <w:vAlign w:val="bottom"/>
          </w:tcPr>
          <w:p>
            <w:pPr>
              <w:spacing w:after="0"/>
              <w:rPr>
                <w:sz w:val="13"/>
                <w:szCs w:val="13"/>
                <w:color w:val="auto"/>
              </w:rPr>
            </w:pPr>
          </w:p>
        </w:tc>
      </w:tr>
      <w:tr>
        <w:trPr>
          <w:trHeight w:val="308"/>
        </w:trPr>
        <w:tc>
          <w:tcPr>
            <w:tcW w:w="2960" w:type="dxa"/>
            <w:vAlign w:val="bottom"/>
            <w:gridSpan w:val="4"/>
          </w:tcPr>
          <w:p>
            <w:pPr>
              <w:spacing w:after="0"/>
              <w:rPr>
                <w:sz w:val="20"/>
                <w:szCs w:val="20"/>
                <w:color w:val="auto"/>
              </w:rPr>
            </w:pPr>
            <w:r>
              <w:rPr>
                <w:rFonts w:ascii="Courier New" w:cs="Courier New" w:eastAsia="Courier New" w:hAnsi="Courier New"/>
                <w:sz w:val="13"/>
                <w:szCs w:val="13"/>
                <w:color w:val="auto"/>
              </w:rPr>
              <w:t>CASH FLOWS FROM FINANCING ACTIVITIES</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2960" w:type="dxa"/>
            <w:vAlign w:val="bottom"/>
            <w:gridSpan w:val="4"/>
          </w:tcPr>
          <w:p>
            <w:pPr>
              <w:ind w:left="640"/>
              <w:spacing w:after="0"/>
              <w:rPr>
                <w:sz w:val="20"/>
                <w:szCs w:val="20"/>
                <w:color w:val="auto"/>
              </w:rPr>
            </w:pPr>
            <w:r>
              <w:rPr>
                <w:rFonts w:ascii="Courier New" w:cs="Courier New" w:eastAsia="Courier New" w:hAnsi="Courier New"/>
                <w:sz w:val="13"/>
                <w:szCs w:val="13"/>
                <w:color w:val="auto"/>
              </w:rPr>
              <w:t>Borrowings under term debt</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70,000</w:t>
            </w:r>
          </w:p>
        </w:tc>
        <w:tc>
          <w:tcPr>
            <w:tcW w:w="96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125,000</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3700" w:type="dxa"/>
            <w:vAlign w:val="bottom"/>
            <w:gridSpan w:val="5"/>
          </w:tcPr>
          <w:p>
            <w:pPr>
              <w:ind w:left="640"/>
              <w:spacing w:after="0"/>
              <w:rPr>
                <w:sz w:val="20"/>
                <w:szCs w:val="20"/>
                <w:color w:val="auto"/>
              </w:rPr>
            </w:pPr>
            <w:r>
              <w:rPr>
                <w:rFonts w:ascii="Courier New" w:cs="Courier New" w:eastAsia="Courier New" w:hAnsi="Courier New"/>
                <w:sz w:val="13"/>
                <w:szCs w:val="13"/>
                <w:color w:val="auto"/>
              </w:rPr>
              <w:t>Payments on term and other debt</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(515)</w:t>
            </w:r>
          </w:p>
        </w:tc>
        <w:tc>
          <w:tcPr>
            <w:tcW w:w="96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(5,691)</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4460" w:type="dxa"/>
            <w:vAlign w:val="bottom"/>
            <w:gridSpan w:val="6"/>
          </w:tcPr>
          <w:p>
            <w:pPr>
              <w:ind w:left="640"/>
              <w:spacing w:after="0"/>
              <w:rPr>
                <w:sz w:val="20"/>
                <w:szCs w:val="20"/>
                <w:color w:val="auto"/>
              </w:rPr>
            </w:pPr>
            <w:r>
              <w:rPr>
                <w:rFonts w:ascii="Courier New" w:cs="Courier New" w:eastAsia="Courier New" w:hAnsi="Courier New"/>
                <w:sz w:val="13"/>
                <w:szCs w:val="13"/>
                <w:color w:val="auto"/>
              </w:rPr>
              <w:t>Revolving credit and bank line of credit, net</w:t>
            </w:r>
          </w:p>
        </w:tc>
        <w:tc>
          <w:tcPr>
            <w:tcW w:w="680" w:type="dxa"/>
            <w:vAlign w:val="bottom"/>
          </w:tcPr>
          <w:p>
            <w:pPr>
              <w:spacing w:after="0"/>
              <w:rPr>
                <w:sz w:val="13"/>
                <w:szCs w:val="13"/>
                <w:color w:val="auto"/>
              </w:rPr>
            </w:pPr>
          </w:p>
        </w:tc>
        <w:tc>
          <w:tcPr>
            <w:tcW w:w="88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w w:val="99"/>
              </w:rPr>
              <w:t>(34,811)</w:t>
            </w:r>
          </w:p>
        </w:tc>
        <w:tc>
          <w:tcPr>
            <w:tcW w:w="96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7,208</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3700" w:type="dxa"/>
            <w:vAlign w:val="bottom"/>
            <w:gridSpan w:val="5"/>
          </w:tcPr>
          <w:p>
            <w:pPr>
              <w:ind w:left="640"/>
              <w:spacing w:after="0"/>
              <w:rPr>
                <w:sz w:val="20"/>
                <w:szCs w:val="20"/>
                <w:color w:val="auto"/>
              </w:rPr>
            </w:pPr>
            <w:r>
              <w:rPr>
                <w:rFonts w:ascii="Courier New" w:cs="Courier New" w:eastAsia="Courier New" w:hAnsi="Courier New"/>
                <w:sz w:val="13"/>
                <w:szCs w:val="13"/>
                <w:color w:val="auto"/>
              </w:rPr>
              <w:t>Issuance of Class A Common Stock</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rPr>
              <w:t>160</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3700" w:type="dxa"/>
            <w:vAlign w:val="bottom"/>
            <w:gridSpan w:val="5"/>
          </w:tcPr>
          <w:p>
            <w:pPr>
              <w:ind w:left="640"/>
              <w:spacing w:after="0"/>
              <w:rPr>
                <w:sz w:val="20"/>
                <w:szCs w:val="20"/>
                <w:color w:val="auto"/>
              </w:rPr>
            </w:pPr>
            <w:r>
              <w:rPr>
                <w:rFonts w:ascii="Courier New" w:cs="Courier New" w:eastAsia="Courier New" w:hAnsi="Courier New"/>
                <w:sz w:val="13"/>
                <w:szCs w:val="13"/>
                <w:color w:val="auto"/>
              </w:rPr>
              <w:t>Deferred financing costs incurred</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(622)</w:t>
            </w:r>
          </w:p>
        </w:tc>
        <w:tc>
          <w:tcPr>
            <w:tcW w:w="6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3700" w:type="dxa"/>
            <w:vAlign w:val="bottom"/>
            <w:gridSpan w:val="5"/>
          </w:tcPr>
          <w:p>
            <w:pPr>
              <w:ind w:left="640"/>
              <w:spacing w:after="0"/>
              <w:rPr>
                <w:sz w:val="20"/>
                <w:szCs w:val="20"/>
                <w:color w:val="auto"/>
              </w:rPr>
            </w:pPr>
            <w:r>
              <w:rPr>
                <w:rFonts w:ascii="Courier New" w:cs="Courier New" w:eastAsia="Courier New" w:hAnsi="Courier New"/>
                <w:sz w:val="13"/>
                <w:szCs w:val="13"/>
                <w:color w:val="auto"/>
              </w:rPr>
              <w:t>Purchase of Class A Common Stock</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w w:val="99"/>
              </w:rPr>
              <w:t>(41,441)</w:t>
            </w:r>
          </w:p>
        </w:tc>
        <w:tc>
          <w:tcPr>
            <w:tcW w:w="320" w:type="dxa"/>
            <w:vAlign w:val="bottom"/>
          </w:tcPr>
          <w:p>
            <w:pPr>
              <w:spacing w:after="0"/>
              <w:rPr>
                <w:sz w:val="13"/>
                <w:szCs w:val="13"/>
                <w:color w:val="auto"/>
              </w:rPr>
            </w:pPr>
          </w:p>
        </w:tc>
        <w:tc>
          <w:tcPr>
            <w:tcW w:w="64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8"/>
        </w:trPr>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gridSpan w:val="4"/>
          </w:tcPr>
          <w:p>
            <w:pPr>
              <w:ind w:left="40"/>
              <w:spacing w:after="0"/>
              <w:rPr>
                <w:sz w:val="20"/>
                <w:szCs w:val="20"/>
                <w:color w:val="auto"/>
              </w:rPr>
            </w:pPr>
            <w:r>
              <w:rPr>
                <w:rFonts w:ascii="Courier New" w:cs="Courier New" w:eastAsia="Courier New" w:hAnsi="Courier New"/>
                <w:sz w:val="13"/>
                <w:szCs w:val="13"/>
                <w:color w:val="auto"/>
              </w:rPr>
              <w:t>Net cash (used in) provided by</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4"/>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94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financing activities</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(7,389)</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126,677</w:t>
            </w:r>
          </w:p>
        </w:tc>
      </w:tr>
      <w:tr>
        <w:trPr>
          <w:trHeight w:val="308"/>
        </w:trPr>
        <w:tc>
          <w:tcPr>
            <w:tcW w:w="3700" w:type="dxa"/>
            <w:vAlign w:val="bottom"/>
            <w:gridSpan w:val="5"/>
          </w:tcPr>
          <w:p>
            <w:pPr>
              <w:spacing w:after="0"/>
              <w:rPr>
                <w:sz w:val="20"/>
                <w:szCs w:val="20"/>
                <w:color w:val="auto"/>
              </w:rPr>
            </w:pPr>
            <w:r>
              <w:rPr>
                <w:rFonts w:ascii="Courier New" w:cs="Courier New" w:eastAsia="Courier New" w:hAnsi="Courier New"/>
                <w:sz w:val="13"/>
                <w:szCs w:val="13"/>
                <w:color w:val="auto"/>
              </w:rPr>
              <w:t>Effect of exchange rate changes on cash</w:t>
            </w:r>
          </w:p>
        </w:tc>
        <w:tc>
          <w:tcPr>
            <w:tcW w:w="760" w:type="dxa"/>
            <w:vAlign w:val="bottom"/>
          </w:tcPr>
          <w:p>
            <w:pPr>
              <w:spacing w:after="0"/>
              <w:rPr>
                <w:sz w:val="24"/>
                <w:szCs w:val="24"/>
                <w:color w:val="auto"/>
              </w:rPr>
            </w:pP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73"/>
              <w:spacing w:after="0"/>
              <w:rPr>
                <w:sz w:val="20"/>
                <w:szCs w:val="20"/>
                <w:color w:val="auto"/>
              </w:rPr>
            </w:pPr>
            <w:r>
              <w:rPr>
                <w:rFonts w:ascii="Courier New" w:cs="Courier New" w:eastAsia="Courier New" w:hAnsi="Courier New"/>
                <w:sz w:val="13"/>
                <w:szCs w:val="13"/>
                <w:color w:val="auto"/>
              </w:rPr>
              <w:t>925</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1600" w:type="dxa"/>
            <w:vAlign w:val="bottom"/>
            <w:gridSpan w:val="2"/>
          </w:tcPr>
          <w:p>
            <w:pPr>
              <w:spacing w:after="0"/>
              <w:rPr>
                <w:sz w:val="20"/>
                <w:szCs w:val="20"/>
                <w:color w:val="auto"/>
              </w:rPr>
            </w:pPr>
            <w:r>
              <w:rPr>
                <w:rFonts w:ascii="Courier New" w:cs="Courier New" w:eastAsia="Courier New" w:hAnsi="Courier New"/>
                <w:sz w:val="13"/>
                <w:szCs w:val="13"/>
                <w:color w:val="auto"/>
              </w:rPr>
              <w:t>Net increase in cash</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center"/>
              <w:ind w:right="413"/>
              <w:spacing w:after="0"/>
              <w:rPr>
                <w:sz w:val="20"/>
                <w:szCs w:val="20"/>
                <w:color w:val="auto"/>
              </w:rPr>
            </w:pPr>
            <w:r>
              <w:rPr>
                <w:rFonts w:ascii="Courier New" w:cs="Courier New" w:eastAsia="Courier New" w:hAnsi="Courier New"/>
                <w:sz w:val="13"/>
                <w:szCs w:val="13"/>
                <w:color w:val="auto"/>
              </w:rPr>
              <w:t>1,083</w:t>
            </w:r>
          </w:p>
        </w:tc>
        <w:tc>
          <w:tcPr>
            <w:tcW w:w="960" w:type="dxa"/>
            <w:vAlign w:val="bottom"/>
            <w:gridSpan w:val="2"/>
          </w:tcPr>
          <w:p>
            <w:pPr>
              <w:jc w:val="right"/>
              <w:ind w:right="413"/>
              <w:spacing w:after="0"/>
              <w:rPr>
                <w:sz w:val="20"/>
                <w:szCs w:val="20"/>
                <w:color w:val="auto"/>
              </w:rPr>
            </w:pPr>
            <w:r>
              <w:rPr>
                <w:rFonts w:ascii="Courier New" w:cs="Courier New" w:eastAsia="Courier New" w:hAnsi="Courier New"/>
                <w:sz w:val="13"/>
                <w:szCs w:val="13"/>
                <w:color w:val="auto"/>
              </w:rPr>
              <w:t>6,489</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2520" w:type="dxa"/>
            <w:vAlign w:val="bottom"/>
            <w:gridSpan w:val="3"/>
          </w:tcPr>
          <w:p>
            <w:pPr>
              <w:spacing w:after="0"/>
              <w:rPr>
                <w:sz w:val="20"/>
                <w:szCs w:val="20"/>
                <w:color w:val="auto"/>
              </w:rPr>
            </w:pPr>
            <w:r>
              <w:rPr>
                <w:rFonts w:ascii="Courier New" w:cs="Courier New" w:eastAsia="Courier New" w:hAnsi="Courier New"/>
                <w:sz w:val="13"/>
                <w:szCs w:val="13"/>
                <w:color w:val="auto"/>
              </w:rPr>
              <w:t>Cash at beginning of period</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880</w:t>
            </w:r>
          </w:p>
        </w:tc>
        <w:tc>
          <w:tcPr>
            <w:tcW w:w="32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2,323</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14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rPr>
              <w:t>Cash at end of</w:t>
            </w:r>
          </w:p>
        </w:tc>
        <w:tc>
          <w:tcPr>
            <w:tcW w:w="1200" w:type="dxa"/>
            <w:vAlign w:val="bottom"/>
          </w:tcPr>
          <w:p>
            <w:pPr>
              <w:ind w:left="40"/>
              <w:spacing w:after="0"/>
              <w:rPr>
                <w:sz w:val="20"/>
                <w:szCs w:val="20"/>
                <w:color w:val="auto"/>
              </w:rPr>
            </w:pPr>
            <w:r>
              <w:rPr>
                <w:rFonts w:ascii="Courier New" w:cs="Courier New" w:eastAsia="Courier New" w:hAnsi="Courier New"/>
                <w:sz w:val="13"/>
                <w:szCs w:val="13"/>
                <w:color w:val="auto"/>
              </w:rPr>
              <w:t>period</w:t>
            </w:r>
          </w:p>
        </w:tc>
        <w:tc>
          <w:tcPr>
            <w:tcW w:w="1820" w:type="dxa"/>
            <w:vAlign w:val="bottom"/>
          </w:tcPr>
          <w:p>
            <w:pPr>
              <w:spacing w:after="0"/>
              <w:rPr>
                <w:sz w:val="12"/>
                <w:szCs w:val="12"/>
                <w:color w:val="auto"/>
              </w:rPr>
            </w:pPr>
          </w:p>
        </w:tc>
        <w:tc>
          <w:tcPr>
            <w:tcW w:w="56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1,963</w:t>
            </w:r>
          </w:p>
        </w:tc>
        <w:tc>
          <w:tcPr>
            <w:tcW w:w="100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   8,812</w:t>
            </w:r>
          </w:p>
        </w:tc>
        <w:tc>
          <w:tcPr>
            <w:tcW w:w="880" w:type="dxa"/>
            <w:vAlign w:val="bottom"/>
          </w:tcPr>
          <w:p>
            <w:pPr>
              <w:spacing w:after="0"/>
              <w:rPr>
                <w:sz w:val="12"/>
                <w:szCs w:val="12"/>
                <w:color w:val="auto"/>
              </w:rPr>
            </w:pPr>
          </w:p>
        </w:tc>
      </w:tr>
      <w:tr>
        <w:trPr>
          <w:trHeight w:val="308"/>
        </w:trPr>
        <w:tc>
          <w:tcPr>
            <w:tcW w:w="4180" w:type="dxa"/>
            <w:vAlign w:val="bottom"/>
            <w:gridSpan w:val="3"/>
          </w:tcPr>
          <w:p>
            <w:pPr>
              <w:spacing w:after="0"/>
              <w:rPr>
                <w:sz w:val="20"/>
                <w:szCs w:val="20"/>
                <w:color w:val="auto"/>
              </w:rPr>
            </w:pPr>
            <w:r>
              <w:rPr>
                <w:rFonts w:ascii="Courier New" w:cs="Courier New" w:eastAsia="Courier New" w:hAnsi="Courier New"/>
                <w:sz w:val="13"/>
                <w:szCs w:val="13"/>
                <w:color w:val="auto"/>
              </w:rPr>
              <w:t>SUPPLEMENTAL CASH FLOW INFORMATION</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23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Interest paid, net of</w:t>
            </w:r>
          </w:p>
        </w:tc>
        <w:tc>
          <w:tcPr>
            <w:tcW w:w="1820" w:type="dxa"/>
            <w:vAlign w:val="bottom"/>
          </w:tcPr>
          <w:p>
            <w:pPr>
              <w:ind w:left="40"/>
              <w:spacing w:after="0"/>
              <w:rPr>
                <w:sz w:val="20"/>
                <w:szCs w:val="20"/>
                <w:color w:val="auto"/>
              </w:rPr>
            </w:pPr>
            <w:r>
              <w:rPr>
                <w:rFonts w:ascii="Courier New" w:cs="Courier New" w:eastAsia="Courier New" w:hAnsi="Courier New"/>
                <w:sz w:val="13"/>
                <w:szCs w:val="13"/>
                <w:color w:val="auto"/>
              </w:rPr>
              <w:t>amount capitalized</w:t>
            </w:r>
          </w:p>
        </w:tc>
        <w:tc>
          <w:tcPr>
            <w:tcW w:w="560" w:type="dxa"/>
            <w:vAlign w:val="bottom"/>
          </w:tcPr>
          <w:p>
            <w:pPr>
              <w:spacing w:after="0"/>
              <w:rPr>
                <w:sz w:val="24"/>
                <w:szCs w:val="24"/>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76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4,835</w:t>
            </w:r>
          </w:p>
        </w:tc>
        <w:tc>
          <w:tcPr>
            <w:tcW w:w="240" w:type="dxa"/>
            <w:vAlign w:val="bottom"/>
          </w:tcPr>
          <w:p>
            <w:pPr>
              <w:jc w:val="right"/>
              <w:ind w:right="93"/>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tcPr>
          <w:p>
            <w:pPr>
              <w:ind w:left="80"/>
              <w:spacing w:after="0"/>
              <w:rPr>
                <w:sz w:val="20"/>
                <w:szCs w:val="20"/>
                <w:color w:val="auto"/>
              </w:rPr>
            </w:pPr>
            <w:r>
              <w:rPr>
                <w:rFonts w:ascii="Courier New" w:cs="Courier New" w:eastAsia="Courier New" w:hAnsi="Courier New"/>
                <w:sz w:val="13"/>
                <w:szCs w:val="13"/>
                <w:color w:val="auto"/>
              </w:rPr>
              <w:t>7,430</w:t>
            </w:r>
          </w:p>
        </w:tc>
      </w:tr>
      <w:tr>
        <w:trPr>
          <w:trHeight w:val="154"/>
        </w:trPr>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rPr>
              <w:t>Income</w:t>
            </w:r>
          </w:p>
        </w:tc>
        <w:tc>
          <w:tcPr>
            <w:tcW w:w="1200" w:type="dxa"/>
            <w:vAlign w:val="bottom"/>
          </w:tcPr>
          <w:p>
            <w:pPr>
              <w:ind w:left="40"/>
              <w:spacing w:after="0"/>
              <w:rPr>
                <w:sz w:val="20"/>
                <w:szCs w:val="20"/>
                <w:color w:val="auto"/>
              </w:rPr>
            </w:pPr>
            <w:r>
              <w:rPr>
                <w:rFonts w:ascii="Courier New" w:cs="Courier New" w:eastAsia="Courier New" w:hAnsi="Courier New"/>
                <w:sz w:val="13"/>
                <w:szCs w:val="13"/>
                <w:color w:val="auto"/>
              </w:rPr>
              <w:t>taxes paid</w:t>
            </w: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9,196</w:t>
            </w:r>
          </w:p>
        </w:tc>
        <w:tc>
          <w:tcPr>
            <w:tcW w:w="240" w:type="dxa"/>
            <w:vAlign w:val="bottom"/>
          </w:tcPr>
          <w:p>
            <w:pPr>
              <w:spacing w:after="0"/>
              <w:rPr>
                <w:sz w:val="13"/>
                <w:szCs w:val="13"/>
                <w:color w:val="auto"/>
              </w:rPr>
            </w:pPr>
          </w:p>
        </w:tc>
        <w:tc>
          <w:tcPr>
            <w:tcW w:w="880" w:type="dxa"/>
            <w:vAlign w:val="bottom"/>
          </w:tcPr>
          <w:p>
            <w:pPr>
              <w:ind w:left="240"/>
              <w:spacing w:after="0"/>
              <w:rPr>
                <w:sz w:val="20"/>
                <w:szCs w:val="20"/>
                <w:color w:val="auto"/>
              </w:rPr>
            </w:pPr>
            <w:r>
              <w:rPr>
                <w:rFonts w:ascii="Courier New" w:cs="Courier New" w:eastAsia="Courier New" w:hAnsi="Courier New"/>
                <w:sz w:val="13"/>
                <w:szCs w:val="13"/>
                <w:color w:val="auto"/>
              </w:rPr>
              <w:t>14,229</w:t>
            </w:r>
          </w:p>
        </w:tc>
      </w:tr>
      <w:tr>
        <w:trPr>
          <w:trHeight w:val="154"/>
        </w:trPr>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rPr>
              <w:t>Detail</w:t>
            </w:r>
          </w:p>
        </w:tc>
        <w:tc>
          <w:tcPr>
            <w:tcW w:w="302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of entities acquired:</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1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Fair value of</w:t>
            </w:r>
          </w:p>
        </w:tc>
        <w:tc>
          <w:tcPr>
            <w:tcW w:w="1820" w:type="dxa"/>
            <w:vAlign w:val="bottom"/>
          </w:tcPr>
          <w:p>
            <w:pPr>
              <w:ind w:left="40"/>
              <w:spacing w:after="0"/>
              <w:rPr>
                <w:sz w:val="20"/>
                <w:szCs w:val="20"/>
                <w:color w:val="auto"/>
              </w:rPr>
            </w:pPr>
            <w:r>
              <w:rPr>
                <w:rFonts w:ascii="Courier New" w:cs="Courier New" w:eastAsia="Courier New" w:hAnsi="Courier New"/>
                <w:sz w:val="13"/>
                <w:szCs w:val="13"/>
                <w:color w:val="auto"/>
              </w:rPr>
              <w:t>assets acquired</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23,799</w:t>
            </w:r>
          </w:p>
        </w:tc>
        <w:tc>
          <w:tcPr>
            <w:tcW w:w="880" w:type="dxa"/>
            <w:vAlign w:val="bottom"/>
          </w:tcPr>
          <w:p>
            <w:pPr>
              <w:ind w:left="240"/>
              <w:spacing w:after="0"/>
              <w:rPr>
                <w:sz w:val="20"/>
                <w:szCs w:val="20"/>
                <w:color w:val="auto"/>
              </w:rPr>
            </w:pPr>
            <w:r>
              <w:rPr>
                <w:rFonts w:ascii="Courier New" w:cs="Courier New" w:eastAsia="Courier New" w:hAnsi="Courier New"/>
                <w:sz w:val="13"/>
                <w:szCs w:val="13"/>
                <w:color w:val="auto"/>
              </w:rPr>
              <w:t>144,501</w:t>
            </w:r>
          </w:p>
        </w:tc>
      </w:tr>
      <w:tr>
        <w:trPr>
          <w:trHeight w:val="154"/>
        </w:trPr>
        <w:tc>
          <w:tcPr>
            <w:tcW w:w="1160" w:type="dxa"/>
            <w:vAlign w:val="bottom"/>
          </w:tcPr>
          <w:p>
            <w:pPr>
              <w:spacing w:after="0"/>
              <w:rPr>
                <w:sz w:val="13"/>
                <w:szCs w:val="13"/>
                <w:color w:val="auto"/>
              </w:rPr>
            </w:pPr>
          </w:p>
        </w:tc>
        <w:tc>
          <w:tcPr>
            <w:tcW w:w="302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Liabilities assumed</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(7,433)</w:t>
            </w:r>
          </w:p>
        </w:tc>
        <w:tc>
          <w:tcPr>
            <w:tcW w:w="880" w:type="dxa"/>
            <w:vAlign w:val="bottom"/>
          </w:tcPr>
          <w:p>
            <w:pPr>
              <w:ind w:left="240"/>
              <w:spacing w:after="0"/>
              <w:rPr>
                <w:sz w:val="20"/>
                <w:szCs w:val="20"/>
                <w:color w:val="auto"/>
              </w:rPr>
            </w:pPr>
            <w:r>
              <w:rPr>
                <w:rFonts w:ascii="Courier New" w:cs="Courier New" w:eastAsia="Courier New" w:hAnsi="Courier New"/>
                <w:sz w:val="13"/>
                <w:szCs w:val="13"/>
                <w:color w:val="auto"/>
                <w:w w:val="99"/>
              </w:rPr>
              <w:t>(25,515)</w:t>
            </w:r>
          </w:p>
        </w:tc>
      </w:tr>
      <w:tr>
        <w:trPr>
          <w:trHeight w:val="154"/>
        </w:trPr>
        <w:tc>
          <w:tcPr>
            <w:tcW w:w="1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Net cash paid</w:t>
            </w:r>
          </w:p>
        </w:tc>
        <w:tc>
          <w:tcPr>
            <w:tcW w:w="1820" w:type="dxa"/>
            <w:vAlign w:val="bottom"/>
          </w:tcPr>
          <w:p>
            <w:pPr>
              <w:ind w:left="40"/>
              <w:spacing w:after="0"/>
              <w:rPr>
                <w:sz w:val="20"/>
                <w:szCs w:val="20"/>
                <w:color w:val="auto"/>
              </w:rPr>
            </w:pPr>
            <w:r>
              <w:rPr>
                <w:rFonts w:ascii="Courier New" w:cs="Courier New" w:eastAsia="Courier New" w:hAnsi="Courier New"/>
                <w:sz w:val="13"/>
                <w:szCs w:val="13"/>
                <w:color w:val="auto"/>
              </w:rPr>
              <w:t>for acquisition</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16,366</w:t>
            </w:r>
          </w:p>
        </w:tc>
        <w:tc>
          <w:tcPr>
            <w:tcW w:w="880" w:type="dxa"/>
            <w:vAlign w:val="bottom"/>
          </w:tcPr>
          <w:p>
            <w:pPr>
              <w:ind w:left="240"/>
              <w:spacing w:after="0"/>
              <w:rPr>
                <w:sz w:val="20"/>
                <w:szCs w:val="20"/>
                <w:color w:val="auto"/>
              </w:rPr>
            </w:pPr>
            <w:r>
              <w:rPr>
                <w:rFonts w:ascii="Courier New" w:cs="Courier New" w:eastAsia="Courier New" w:hAnsi="Courier New"/>
                <w:sz w:val="13"/>
                <w:szCs w:val="13"/>
                <w:color w:val="auto"/>
              </w:rPr>
              <w:t>118,986</w:t>
            </w:r>
          </w:p>
        </w:tc>
      </w:tr>
    </w:tbl>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accompanying notes to consolidated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statements are an integral part of these statements.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SCOTTS COMPANY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Notes to Consolidated Financial Statements</w:t>
      </w:r>
    </w:p>
    <w:p>
      <w:pPr>
        <w:spacing w:after="0" w:line="315" w:lineRule="exact"/>
        <w:rPr>
          <w:sz w:val="20"/>
          <w:szCs w:val="20"/>
          <w:color w:val="auto"/>
        </w:rPr>
      </w:pPr>
    </w:p>
    <w:p>
      <w:pPr>
        <w:ind w:left="640" w:hanging="638"/>
        <w:spacing w:after="0"/>
        <w:tabs>
          <w:tab w:leader="none" w:pos="6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Organization and Basis of Presentation</w:t>
      </w:r>
    </w:p>
    <w:p>
      <w:pPr>
        <w:spacing w:after="0" w:line="161" w:lineRule="exact"/>
        <w:rPr>
          <w:sz w:val="20"/>
          <w:szCs w:val="20"/>
          <w:color w:val="auto"/>
        </w:rPr>
      </w:pPr>
    </w:p>
    <w:p>
      <w:pPr>
        <w:ind w:right="3819" w:firstLine="642"/>
        <w:spacing w:after="0" w:line="251" w:lineRule="auto"/>
        <w:rPr>
          <w:sz w:val="20"/>
          <w:szCs w:val="20"/>
          <w:color w:val="auto"/>
        </w:rPr>
      </w:pPr>
      <w:r>
        <w:rPr>
          <w:rFonts w:ascii="Courier New" w:cs="Courier New" w:eastAsia="Courier New" w:hAnsi="Courier New"/>
          <w:sz w:val="13"/>
          <w:szCs w:val="13"/>
          <w:color w:val="auto"/>
        </w:rPr>
        <w:t>The Scotts Company ("Scotts") through its wholly-owned subsidiaries, The O. M. Scott &amp; Sons Company ("OMS"), Hyponex Corporation ("Hyponex"), Republic Tool and Manufacturing Corp. ("Republic") and Scott-Sierra Horticultural Products Company (collectively, the Company"), is engaged</w:t>
      </w:r>
    </w:p>
    <w:p>
      <w:pPr>
        <w:spacing w:after="0" w:line="1" w:lineRule="exact"/>
        <w:rPr>
          <w:sz w:val="20"/>
          <w:szCs w:val="20"/>
          <w:color w:val="auto"/>
        </w:rPr>
      </w:pPr>
    </w:p>
    <w:p>
      <w:pPr>
        <w:ind w:left="80" w:right="4859"/>
        <w:spacing w:after="0" w:line="251" w:lineRule="auto"/>
        <w:rPr>
          <w:sz w:val="20"/>
          <w:szCs w:val="20"/>
          <w:color w:val="auto"/>
        </w:rPr>
      </w:pPr>
      <w:r>
        <w:rPr>
          <w:rFonts w:ascii="Courier New" w:cs="Courier New" w:eastAsia="Courier New" w:hAnsi="Courier New"/>
          <w:sz w:val="13"/>
          <w:szCs w:val="13"/>
          <w:color w:val="auto"/>
        </w:rPr>
        <w:t>in the manufacture and sale of lawn care and garden products. The Company's business is highly seasonal with</w:t>
      </w:r>
    </w:p>
    <w:p>
      <w:pPr>
        <w:ind w:left="80" w:right="4699"/>
        <w:spacing w:after="0" w:line="251" w:lineRule="auto"/>
        <w:rPr>
          <w:sz w:val="20"/>
          <w:szCs w:val="20"/>
          <w:color w:val="auto"/>
        </w:rPr>
      </w:pPr>
      <w:r>
        <w:rPr>
          <w:rFonts w:ascii="Courier New" w:cs="Courier New" w:eastAsia="Courier New" w:hAnsi="Courier New"/>
          <w:sz w:val="13"/>
          <w:szCs w:val="13"/>
          <w:color w:val="auto"/>
        </w:rPr>
        <w:t>approximately 70% of sales occurring in the second and third fiscal quarters. Substantially, all of the assets currently held by Scotts consist of the capital stock of OMS and advances to OMS.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consolidated financial statements include the financial statements of</w:t>
      </w:r>
    </w:p>
    <w:p>
      <w:pPr>
        <w:spacing w:after="0" w:line="7" w:lineRule="exact"/>
        <w:rPr>
          <w:sz w:val="20"/>
          <w:szCs w:val="20"/>
          <w:color w:val="auto"/>
        </w:rPr>
      </w:pPr>
    </w:p>
    <w:p>
      <w:pPr>
        <w:ind w:left="80"/>
        <w:spacing w:after="0"/>
        <w:tabs>
          <w:tab w:leader="none" w:pos="1420" w:val="left"/>
        </w:tabs>
        <w:rPr>
          <w:sz w:val="20"/>
          <w:szCs w:val="20"/>
          <w:color w:val="auto"/>
        </w:rPr>
      </w:pPr>
      <w:r>
        <w:rPr>
          <w:rFonts w:ascii="Courier New" w:cs="Courier New" w:eastAsia="Courier New" w:hAnsi="Courier New"/>
          <w:sz w:val="13"/>
          <w:szCs w:val="13"/>
          <w:color w:val="auto"/>
        </w:rPr>
        <w:t>Scotts and OMS.</w:t>
        <w:tab/>
        <w:t>All material intercompany transactions have been eliminated.</w:t>
      </w:r>
    </w:p>
    <w:p>
      <w:pPr>
        <w:spacing w:after="0" w:line="161" w:lineRule="exact"/>
        <w:rPr>
          <w:sz w:val="20"/>
          <w:szCs w:val="20"/>
          <w:color w:val="auto"/>
        </w:rPr>
      </w:pPr>
    </w:p>
    <w:p>
      <w:pPr>
        <w:ind w:left="80" w:right="3819" w:firstLine="561"/>
        <w:spacing w:after="0" w:line="251" w:lineRule="auto"/>
        <w:rPr>
          <w:sz w:val="20"/>
          <w:szCs w:val="20"/>
          <w:color w:val="auto"/>
        </w:rPr>
      </w:pPr>
      <w:r>
        <w:rPr>
          <w:rFonts w:ascii="Courier New" w:cs="Courier New" w:eastAsia="Courier New" w:hAnsi="Courier New"/>
          <w:sz w:val="13"/>
          <w:szCs w:val="13"/>
          <w:color w:val="auto"/>
        </w:rPr>
        <w:t>The consolidated balance sheets as of July 3, 1993 and July 2, 1994, the related consolidated statements of income for the three and nine month periods ended July 3, 1993 and July 2, 1994 and the consolidated statements</w:t>
      </w:r>
    </w:p>
    <w:p>
      <w:pPr>
        <w:spacing w:after="0" w:line="1" w:lineRule="exact"/>
        <w:rPr>
          <w:sz w:val="20"/>
          <w:szCs w:val="20"/>
          <w:color w:val="auto"/>
        </w:rPr>
      </w:pPr>
    </w:p>
    <w:p>
      <w:pPr>
        <w:ind w:left="80" w:right="4459"/>
        <w:spacing w:after="0" w:line="251" w:lineRule="auto"/>
        <w:rPr>
          <w:sz w:val="20"/>
          <w:szCs w:val="20"/>
          <w:color w:val="auto"/>
        </w:rPr>
      </w:pPr>
      <w:r>
        <w:rPr>
          <w:rFonts w:ascii="Courier New" w:cs="Courier New" w:eastAsia="Courier New" w:hAnsi="Courier New"/>
          <w:sz w:val="13"/>
          <w:szCs w:val="13"/>
          <w:color w:val="auto"/>
        </w:rPr>
        <w:t>of cash flows for the nine month periods ended July 3, 1993 and July 2, 1994 are unaudited; however, in the opinion of management,</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such financial statements contain all adjustments necessary for the fair presentation of the Company's financial position and results of operations.</w:t>
      </w:r>
    </w:p>
    <w:p>
      <w:pPr>
        <w:ind w:left="80" w:right="4299" w:firstLine="80"/>
        <w:spacing w:after="0" w:line="251" w:lineRule="auto"/>
        <w:rPr>
          <w:sz w:val="20"/>
          <w:szCs w:val="20"/>
          <w:color w:val="auto"/>
        </w:rPr>
      </w:pPr>
      <w:r>
        <w:rPr>
          <w:rFonts w:ascii="Courier New" w:cs="Courier New" w:eastAsia="Courier New" w:hAnsi="Courier New"/>
          <w:sz w:val="13"/>
          <w:szCs w:val="13"/>
          <w:color w:val="auto"/>
        </w:rPr>
        <w:t>Interim results reflect all normal recurring adjustments and are not necessarily indicative of results for a full year. The interim financial statements and notes are presented as specified by Regulation S-X of the</w:t>
      </w:r>
    </w:p>
    <w:p>
      <w:pPr>
        <w:spacing w:after="0" w:line="1" w:lineRule="exact"/>
        <w:rPr>
          <w:sz w:val="20"/>
          <w:szCs w:val="20"/>
          <w:color w:val="auto"/>
        </w:rPr>
      </w:pPr>
    </w:p>
    <w:p>
      <w:pPr>
        <w:ind w:right="4139"/>
        <w:spacing w:after="0" w:line="251" w:lineRule="auto"/>
        <w:rPr>
          <w:sz w:val="20"/>
          <w:szCs w:val="20"/>
          <w:color w:val="auto"/>
        </w:rPr>
      </w:pPr>
      <w:r>
        <w:rPr>
          <w:rFonts w:ascii="Courier New" w:cs="Courier New" w:eastAsia="Courier New" w:hAnsi="Courier New"/>
          <w:sz w:val="13"/>
          <w:szCs w:val="13"/>
          <w:color w:val="auto"/>
        </w:rPr>
        <w:t>Securities and Exchange Commission, and should be read in conjunction with statements and accompanying notes in the Company's fiscal 1993 Annual Report</w:t>
      </w:r>
    </w:p>
    <w:p>
      <w:pPr>
        <w:ind w:left="80"/>
        <w:spacing w:after="0"/>
        <w:rPr>
          <w:sz w:val="20"/>
          <w:szCs w:val="20"/>
          <w:color w:val="auto"/>
        </w:rPr>
      </w:pPr>
      <w:r>
        <w:rPr>
          <w:rFonts w:ascii="Courier New" w:cs="Courier New" w:eastAsia="Courier New" w:hAnsi="Courier New"/>
          <w:sz w:val="13"/>
          <w:szCs w:val="13"/>
          <w:color w:val="auto"/>
        </w:rPr>
        <w:t>on Form 10-K.</w:t>
      </w:r>
    </w:p>
    <w:p>
      <w:pPr>
        <w:spacing w:after="0" w:line="161" w:lineRule="exact"/>
        <w:rPr>
          <w:sz w:val="20"/>
          <w:szCs w:val="20"/>
          <w:color w:val="auto"/>
        </w:rPr>
      </w:pPr>
    </w:p>
    <w:p>
      <w:pPr>
        <w:ind w:left="80" w:right="3499" w:firstLine="561"/>
        <w:spacing w:after="0" w:line="251" w:lineRule="auto"/>
        <w:rPr>
          <w:sz w:val="20"/>
          <w:szCs w:val="20"/>
          <w:color w:val="auto"/>
        </w:rPr>
      </w:pPr>
      <w:r>
        <w:rPr>
          <w:rFonts w:ascii="Courier New" w:cs="Courier New" w:eastAsia="Courier New" w:hAnsi="Courier New"/>
          <w:sz w:val="13"/>
          <w:szCs w:val="13"/>
          <w:color w:val="auto"/>
        </w:rPr>
        <w:t>Income before cumulative effect of accounting changes for the three and nine month periods ended July 3, 1993 has been restated to reflect an ongoing</w:t>
      </w:r>
    </w:p>
    <w:p>
      <w:pPr>
        <w:ind w:left="80" w:right="4539"/>
        <w:spacing w:after="0" w:line="251" w:lineRule="auto"/>
        <w:rPr>
          <w:sz w:val="20"/>
          <w:szCs w:val="20"/>
          <w:color w:val="auto"/>
        </w:rPr>
      </w:pPr>
      <w:r>
        <w:rPr>
          <w:rFonts w:ascii="Courier New" w:cs="Courier New" w:eastAsia="Courier New" w:hAnsi="Courier New"/>
          <w:sz w:val="13"/>
          <w:szCs w:val="13"/>
          <w:color w:val="auto"/>
        </w:rPr>
        <w:t>charge of $325,000 or $.02 per share and $1,112,000 or $.06 per share, respectively, resulting from the adoption of</w:t>
      </w:r>
    </w:p>
    <w:p>
      <w:pPr>
        <w:ind w:left="80" w:right="4379" w:hanging="79"/>
        <w:spacing w:after="0" w:line="251" w:lineRule="auto"/>
        <w:rPr>
          <w:sz w:val="20"/>
          <w:szCs w:val="20"/>
          <w:color w:val="auto"/>
        </w:rPr>
      </w:pPr>
      <w:r>
        <w:rPr>
          <w:rFonts w:ascii="Courier New" w:cs="Courier New" w:eastAsia="Courier New" w:hAnsi="Courier New"/>
          <w:sz w:val="13"/>
          <w:szCs w:val="13"/>
          <w:color w:val="auto"/>
        </w:rPr>
        <w:t>Statement of Financial Accounting Standards ("SFAS") No. 106, "Employers Accounting for Postretirement Benefits Other Than Pensions." Similarly, the net income for the nine months ended July 3, 1993 has been restated to reflect the cumulative effect of the adoption of SFAS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 106 (a net of tax charge of $14,932,000 or $.71 per share) and SFAS No.</w:t>
      </w:r>
    </w:p>
    <w:p>
      <w:pPr>
        <w:spacing w:after="0" w:line="7" w:lineRule="exact"/>
        <w:rPr>
          <w:sz w:val="20"/>
          <w:szCs w:val="20"/>
          <w:color w:val="auto"/>
        </w:rPr>
      </w:pPr>
    </w:p>
    <w:p>
      <w:pPr>
        <w:ind w:left="80" w:right="4539"/>
        <w:spacing w:after="0" w:line="251" w:lineRule="auto"/>
        <w:rPr>
          <w:sz w:val="20"/>
          <w:szCs w:val="20"/>
          <w:color w:val="auto"/>
        </w:rPr>
      </w:pPr>
      <w:r>
        <w:rPr>
          <w:rFonts w:ascii="Courier New" w:cs="Courier New" w:eastAsia="Courier New" w:hAnsi="Courier New"/>
          <w:sz w:val="13"/>
          <w:szCs w:val="13"/>
          <w:color w:val="auto"/>
        </w:rPr>
        <w:t>109, "Accounting for Income Taxes" (a benefit of $1,775,000 or $.08 per share). The consolidated balance sheet as of July 3, 1993 and the related statement of cash flows for the nine months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then ended have also been restated to reflect these accounting changes.</w:t>
      </w:r>
    </w:p>
    <w:p>
      <w:pPr>
        <w:spacing w:after="0" w:line="161" w:lineRule="exact"/>
        <w:rPr>
          <w:sz w:val="20"/>
          <w:szCs w:val="20"/>
          <w:color w:val="auto"/>
        </w:rPr>
      </w:pPr>
    </w:p>
    <w:p>
      <w:pPr>
        <w:ind w:left="640" w:hanging="638"/>
        <w:spacing w:after="0"/>
        <w:tabs>
          <w:tab w:leader="none" w:pos="6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Acquisitions</w:t>
      </w:r>
    </w:p>
    <w:p>
      <w:pPr>
        <w:spacing w:after="0" w:line="161" w:lineRule="exact"/>
        <w:rPr>
          <w:sz w:val="20"/>
          <w:szCs w:val="20"/>
          <w:color w:val="auto"/>
        </w:rPr>
      </w:pPr>
    </w:p>
    <w:p>
      <w:pPr>
        <w:ind w:left="80" w:right="4059" w:firstLine="561"/>
        <w:spacing w:after="0" w:line="251" w:lineRule="auto"/>
        <w:rPr>
          <w:sz w:val="20"/>
          <w:szCs w:val="20"/>
          <w:color w:val="auto"/>
        </w:rPr>
      </w:pPr>
      <w:r>
        <w:rPr>
          <w:rFonts w:ascii="Courier New" w:cs="Courier New" w:eastAsia="Courier New" w:hAnsi="Courier New"/>
          <w:sz w:val="13"/>
          <w:szCs w:val="13"/>
          <w:color w:val="auto"/>
        </w:rPr>
        <w:t>Effective December 16, 1993, the Company completed the acquisition of Grace-Sierra</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Horticultural Products Company (all further references to Grace-Sierra, now known as Scott-</w:t>
      </w:r>
    </w:p>
    <w:p>
      <w:pPr>
        <w:spacing w:after="0"/>
        <w:rPr>
          <w:sz w:val="20"/>
          <w:szCs w:val="20"/>
          <w:color w:val="auto"/>
        </w:rPr>
      </w:pPr>
      <w:r>
        <w:rPr>
          <w:rFonts w:ascii="Courier New" w:cs="Courier New" w:eastAsia="Courier New" w:hAnsi="Courier New"/>
          <w:sz w:val="13"/>
          <w:szCs w:val="13"/>
          <w:color w:val="auto"/>
        </w:rPr>
        <w:t>Sierra Horticultural Products Company, will be made as "Sierra")</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for an aggregate purchase</w:t>
      </w:r>
    </w:p>
    <w:p>
      <w:pPr>
        <w:spacing w:after="0" w:line="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price of approximately $123,100,000, including estimated transaction costs of $3,100,000.</w:t>
      </w:r>
    </w:p>
    <w:p>
      <w:pPr>
        <w:ind w:left="80" w:right="4459" w:hanging="79"/>
        <w:spacing w:after="0" w:line="251" w:lineRule="auto"/>
        <w:rPr>
          <w:sz w:val="20"/>
          <w:szCs w:val="20"/>
          <w:color w:val="auto"/>
        </w:rPr>
      </w:pPr>
      <w:r>
        <w:rPr>
          <w:rFonts w:ascii="Courier New" w:cs="Courier New" w:eastAsia="Courier New" w:hAnsi="Courier New"/>
          <w:sz w:val="13"/>
          <w:szCs w:val="13"/>
          <w:color w:val="auto"/>
        </w:rPr>
        <w:t>Sierra is a leading international manufacturer and marketer of specialty fertilizers and related</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products for the nursery, greenhouse, golf course and consumer markets. Sierra manufactures controlled-release fertilizers in the United States and the Netherlands, as well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 water-soluble fertilizers and specialty organics in the United States.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Approximately one-</w:t>
      </w:r>
    </w:p>
    <w:p>
      <w:pPr>
        <w:spacing w:after="0" w:line="7"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quarter of Sierra's net sales are derived from European and other international markets;</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approximately one-quarter of Sierra's assets are internationally based.</w:t>
      </w:r>
      <w:r>
        <w:rPr>
          <w:sz w:val="20"/>
          <w:szCs w:val="20"/>
          <w:color w:val="auto"/>
        </w:rPr>
        <w:t xml:space="preserve"> </w:t>
      </w:r>
      <w:r>
        <w:rPr>
          <w:rFonts w:ascii="Courier New" w:cs="Courier New" w:eastAsia="Courier New" w:hAnsi="Courier New"/>
          <w:sz w:val="13"/>
          <w:szCs w:val="13"/>
          <w:color w:val="auto"/>
        </w:rPr>
        <w:t>The purchase price</w:t>
      </w:r>
    </w:p>
    <w:p>
      <w:pPr>
        <w:spacing w:after="0" w:line="157"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was financed under an amendment to the Company's Credit Agreement, whereby term debt</w:t>
      </w:r>
    </w:p>
    <w:p>
      <w:pPr>
        <w:spacing w:after="0"/>
        <w:rPr>
          <w:sz w:val="20"/>
          <w:szCs w:val="20"/>
          <w:color w:val="auto"/>
        </w:rPr>
      </w:pPr>
      <w:r>
        <w:rPr>
          <w:rFonts w:ascii="Courier New" w:cs="Courier New" w:eastAsia="Courier New" w:hAnsi="Courier New"/>
          <w:sz w:val="13"/>
          <w:szCs w:val="13"/>
          <w:color w:val="auto"/>
        </w:rPr>
        <w:t>commitments available thereunder were increased to $195,000,000.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right="3659" w:firstLine="561"/>
        <w:spacing w:after="0" w:line="251" w:lineRule="auto"/>
        <w:rPr>
          <w:sz w:val="20"/>
          <w:szCs w:val="20"/>
          <w:color w:val="auto"/>
        </w:rPr>
      </w:pPr>
      <w:r>
        <w:rPr>
          <w:rFonts w:ascii="Courier New" w:cs="Courier New" w:eastAsia="Courier New" w:hAnsi="Courier New"/>
          <w:sz w:val="13"/>
          <w:szCs w:val="13"/>
          <w:color w:val="auto"/>
        </w:rPr>
        <w:t>The acquisition was accounted for using the purchase method. Accordingly, the purchase</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price has been allocated to the assets acquired and liabilities assumed based on their</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estimated fair values at the date of acquisition.</w:t>
      </w:r>
      <w:r>
        <w:rPr>
          <w:sz w:val="20"/>
          <w:szCs w:val="20"/>
          <w:color w:val="auto"/>
        </w:rPr>
        <w:t xml:space="preserve"> </w:t>
      </w:r>
      <w:r>
        <w:rPr>
          <w:rFonts w:ascii="Courier New" w:cs="Courier New" w:eastAsia="Courier New" w:hAnsi="Courier New"/>
          <w:sz w:val="13"/>
          <w:szCs w:val="13"/>
          <w:color w:val="auto"/>
        </w:rPr>
        <w:t>The excess of purchase price over the</w:t>
      </w:r>
    </w:p>
    <w:p>
      <w:pPr>
        <w:spacing w:after="0" w:line="15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estimated fair value of the net assets acquired ("goodwill") of approximately $66,834,000 is</w:t>
      </w:r>
    </w:p>
    <w:p>
      <w:pPr>
        <w:ind w:left="80" w:right="4299" w:hanging="79"/>
        <w:spacing w:after="0" w:line="247" w:lineRule="auto"/>
        <w:rPr>
          <w:sz w:val="20"/>
          <w:szCs w:val="20"/>
          <w:color w:val="auto"/>
        </w:rPr>
      </w:pPr>
      <w:r>
        <w:rPr>
          <w:rFonts w:ascii="Courier New" w:cs="Courier New" w:eastAsia="Courier New" w:hAnsi="Courier New"/>
          <w:sz w:val="13"/>
          <w:szCs w:val="13"/>
          <w:color w:val="auto"/>
        </w:rPr>
        <w:t>being amortized on a straight line basis over 40 years.</w:t>
      </w:r>
      <w:r>
        <w:rPr>
          <w:sz w:val="20"/>
          <w:szCs w:val="20"/>
          <w:color w:val="auto"/>
        </w:rPr>
        <w:t xml:space="preserve"> </w:t>
      </w:r>
      <w:r>
        <w:rPr>
          <w:rFonts w:ascii="Courier New" w:cs="Courier New" w:eastAsia="Courier New" w:hAnsi="Courier New"/>
          <w:sz w:val="13"/>
          <w:szCs w:val="13"/>
          <w:color w:val="auto"/>
        </w:rPr>
        <w:t>Sierra results of operations have</w:t>
      </w:r>
    </w:p>
    <w:p>
      <w:pPr>
        <w:sectPr>
          <w:pgSz w:w="11900" w:h="16838" w:orient="portrait"/>
          <w:cols w:equalWidth="0" w:num="1">
            <w:col w:w="10239"/>
          </w:cols>
          <w:pgMar w:left="220" w:top="141" w:right="1440" w:bottom="0" w:gutter="0" w:footer="0" w:header="0"/>
        </w:sectPr>
      </w:pPr>
    </w:p>
    <w:bookmarkStart w:id="5" w:name="page6"/>
    <w:bookmarkEnd w:id="5"/>
    <w:p>
      <w:pPr>
        <w:ind w:left="80" w:right="4299" w:hanging="79"/>
        <w:spacing w:after="0" w:line="251" w:lineRule="auto"/>
        <w:rPr>
          <w:sz w:val="20"/>
          <w:szCs w:val="20"/>
          <w:color w:val="auto"/>
        </w:rPr>
      </w:pPr>
      <w:r>
        <w:rPr>
          <w:rFonts w:ascii="Courier New" w:cs="Courier New" w:eastAsia="Courier New" w:hAnsi="Courier New"/>
          <w:sz w:val="13"/>
          <w:szCs w:val="13"/>
          <w:color w:val="auto"/>
        </w:rPr>
        <w:t>been included in the Consolidated Statements of Income from the respective acquisition</w:t>
      </w:r>
    </w:p>
    <w:p>
      <w:pPr>
        <w:spacing w:after="0"/>
        <w:rPr>
          <w:sz w:val="20"/>
          <w:szCs w:val="20"/>
          <w:color w:val="auto"/>
        </w:rPr>
      </w:pPr>
      <w:r>
        <w:rPr>
          <w:rFonts w:ascii="Courier New" w:cs="Courier New" w:eastAsia="Courier New" w:hAnsi="Courier New"/>
          <w:sz w:val="13"/>
          <w:szCs w:val="13"/>
          <w:color w:val="auto"/>
        </w:rPr>
        <w:t>dates.</w:t>
      </w:r>
    </w:p>
    <w:p>
      <w:pPr>
        <w:spacing w:after="0" w:line="161" w:lineRule="exact"/>
        <w:rPr>
          <w:sz w:val="20"/>
          <w:szCs w:val="20"/>
          <w:color w:val="auto"/>
        </w:rPr>
      </w:pPr>
    </w:p>
    <w:p>
      <w:pPr>
        <w:ind w:left="80" w:right="3499" w:firstLine="561"/>
        <w:spacing w:after="0" w:line="251" w:lineRule="auto"/>
        <w:rPr>
          <w:sz w:val="20"/>
          <w:szCs w:val="20"/>
          <w:color w:val="auto"/>
        </w:rPr>
      </w:pPr>
      <w:r>
        <w:rPr>
          <w:rFonts w:ascii="Courier New" w:cs="Courier New" w:eastAsia="Courier New" w:hAnsi="Courier New"/>
          <w:sz w:val="13"/>
          <w:szCs w:val="13"/>
          <w:color w:val="auto"/>
        </w:rPr>
        <w:t>The following represents pro forma results of operations assuming the Sierra acquisition had</w:t>
      </w:r>
    </w:p>
    <w:p>
      <w:pPr>
        <w:ind w:left="80" w:right="4379" w:hanging="79"/>
        <w:spacing w:after="0" w:line="251" w:lineRule="auto"/>
        <w:rPr>
          <w:sz w:val="20"/>
          <w:szCs w:val="20"/>
          <w:color w:val="auto"/>
        </w:rPr>
      </w:pPr>
      <w:r>
        <w:rPr>
          <w:rFonts w:ascii="Courier New" w:cs="Courier New" w:eastAsia="Courier New" w:hAnsi="Courier New"/>
          <w:sz w:val="13"/>
          <w:szCs w:val="13"/>
          <w:color w:val="auto"/>
        </w:rPr>
        <w:t>occurred effective October 1, 1992 after giving effect to certain related adjustments, including</w:t>
      </w:r>
    </w:p>
    <w:p>
      <w:pPr>
        <w:spacing w:after="0"/>
        <w:rPr>
          <w:sz w:val="20"/>
          <w:szCs w:val="20"/>
          <w:color w:val="auto"/>
        </w:rPr>
      </w:pPr>
      <w:r>
        <w:rPr>
          <w:rFonts w:ascii="Courier New" w:cs="Courier New" w:eastAsia="Courier New" w:hAnsi="Courier New"/>
          <w:sz w:val="13"/>
          <w:szCs w:val="13"/>
          <w:color w:val="auto"/>
        </w:rPr>
        <w:t>depreciation and amortization on tangible and intangible assets, and interest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on acquisition debt.</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617"/>
        </w:trPr>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gridSpan w:val="5"/>
          </w:tcPr>
          <w:p>
            <w:pPr>
              <w:jc w:val="right"/>
              <w:ind w:right="453"/>
              <w:spacing w:after="0"/>
              <w:rPr>
                <w:sz w:val="20"/>
                <w:szCs w:val="20"/>
                <w:color w:val="auto"/>
              </w:rPr>
            </w:pPr>
            <w:r>
              <w:rPr>
                <w:rFonts w:ascii="Courier New" w:cs="Courier New" w:eastAsia="Courier New" w:hAnsi="Courier New"/>
                <w:sz w:val="13"/>
                <w:szCs w:val="13"/>
                <w:color w:val="auto"/>
              </w:rPr>
              <w:t>Nine Months Ended</w:t>
            </w:r>
          </w:p>
        </w:tc>
        <w:tc>
          <w:tcPr>
            <w:tcW w:w="680" w:type="dxa"/>
            <w:vAlign w:val="bottom"/>
          </w:tcPr>
          <w:p>
            <w:pPr>
              <w:spacing w:after="0"/>
              <w:rPr>
                <w:sz w:val="24"/>
                <w:szCs w:val="24"/>
                <w:color w:val="auto"/>
              </w:rPr>
            </w:pPr>
          </w:p>
        </w:tc>
      </w:tr>
      <w:tr>
        <w:trPr>
          <w:trHeight w:val="154"/>
        </w:trPr>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380" w:type="dxa"/>
            <w:vAlign w:val="bottom"/>
            <w:gridSpan w:val="7"/>
          </w:tcPr>
          <w:p>
            <w:pPr>
              <w:jc w:val="right"/>
              <w:ind w:right="13"/>
              <w:spacing w:after="0"/>
              <w:rPr>
                <w:sz w:val="20"/>
                <w:szCs w:val="20"/>
                <w:color w:val="auto"/>
              </w:rPr>
            </w:pPr>
            <w:r>
              <w:rPr>
                <w:rFonts w:ascii="Courier New" w:cs="Courier New" w:eastAsia="Courier New" w:hAnsi="Courier New"/>
                <w:sz w:val="13"/>
                <w:szCs w:val="13"/>
                <w:color w:val="auto"/>
              </w:rPr>
              <w:t>(in thousands, except per share amounts)</w:t>
            </w:r>
          </w:p>
        </w:tc>
      </w:tr>
      <w:tr>
        <w:trPr>
          <w:trHeight w:val="463"/>
        </w:trPr>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July</w:t>
            </w:r>
          </w:p>
        </w:tc>
        <w:tc>
          <w:tcPr>
            <w:tcW w:w="4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76"/>
              </w:rPr>
              <w:t>3</w:t>
            </w:r>
          </w:p>
        </w:tc>
        <w:tc>
          <w:tcPr>
            <w:tcW w:w="4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Courier New" w:cs="Courier New" w:eastAsia="Courier New" w:hAnsi="Courier New"/>
                <w:sz w:val="13"/>
                <w:szCs w:val="13"/>
                <w:color w:val="auto"/>
              </w:rPr>
              <w:t>July 2</w:t>
            </w:r>
          </w:p>
        </w:tc>
        <w:tc>
          <w:tcPr>
            <w:tcW w:w="680" w:type="dxa"/>
            <w:vAlign w:val="bottom"/>
          </w:tcPr>
          <w:p>
            <w:pPr>
              <w:spacing w:after="0"/>
              <w:rPr>
                <w:sz w:val="24"/>
                <w:szCs w:val="24"/>
                <w:color w:val="auto"/>
              </w:rPr>
            </w:pPr>
          </w:p>
        </w:tc>
      </w:tr>
      <w:tr>
        <w:trPr>
          <w:trHeight w:val="154"/>
        </w:trPr>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1993</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213"/>
              <w:spacing w:after="0"/>
              <w:rPr>
                <w:sz w:val="20"/>
                <w:szCs w:val="20"/>
                <w:color w:val="auto"/>
              </w:rPr>
            </w:pPr>
            <w:r>
              <w:rPr>
                <w:rFonts w:ascii="Courier New" w:cs="Courier New" w:eastAsia="Courier New" w:hAnsi="Courier New"/>
                <w:sz w:val="13"/>
                <w:szCs w:val="13"/>
                <w:color w:val="auto"/>
                <w:w w:val="95"/>
              </w:rPr>
              <w:t>1994</w:t>
            </w:r>
          </w:p>
        </w:tc>
        <w:tc>
          <w:tcPr>
            <w:tcW w:w="680" w:type="dxa"/>
            <w:vAlign w:val="bottom"/>
          </w:tcPr>
          <w:p>
            <w:pPr>
              <w:spacing w:after="0"/>
              <w:rPr>
                <w:sz w:val="13"/>
                <w:szCs w:val="13"/>
                <w:color w:val="auto"/>
              </w:rPr>
            </w:pPr>
          </w:p>
        </w:tc>
      </w:tr>
      <w:tr>
        <w:trPr>
          <w:trHeight w:val="463"/>
        </w:trPr>
        <w:tc>
          <w:tcPr>
            <w:tcW w:w="1040" w:type="dxa"/>
            <w:vAlign w:val="bottom"/>
          </w:tcPr>
          <w:p>
            <w:pPr>
              <w:spacing w:after="0"/>
              <w:rPr>
                <w:sz w:val="20"/>
                <w:szCs w:val="20"/>
                <w:color w:val="auto"/>
              </w:rPr>
            </w:pPr>
            <w:r>
              <w:rPr>
                <w:rFonts w:ascii="Courier New" w:cs="Courier New" w:eastAsia="Courier New" w:hAnsi="Courier New"/>
                <w:sz w:val="13"/>
                <w:szCs w:val="13"/>
                <w:color w:val="auto"/>
              </w:rPr>
              <w:t>Net sales</w:t>
            </w:r>
          </w:p>
        </w:tc>
        <w:tc>
          <w:tcPr>
            <w:tcW w:w="1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477,131</w:t>
            </w:r>
          </w:p>
        </w:tc>
        <w:tc>
          <w:tcPr>
            <w:tcW w:w="4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28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497,491</w:t>
            </w:r>
          </w:p>
        </w:tc>
      </w:tr>
      <w:tr>
        <w:trPr>
          <w:trHeight w:val="308"/>
        </w:trPr>
        <w:tc>
          <w:tcPr>
            <w:tcW w:w="2960" w:type="dxa"/>
            <w:vAlign w:val="bottom"/>
            <w:gridSpan w:val="2"/>
          </w:tcPr>
          <w:p>
            <w:pPr>
              <w:spacing w:after="0"/>
              <w:rPr>
                <w:sz w:val="20"/>
                <w:szCs w:val="20"/>
                <w:color w:val="auto"/>
              </w:rPr>
            </w:pPr>
            <w:r>
              <w:rPr>
                <w:rFonts w:ascii="Courier New" w:cs="Courier New" w:eastAsia="Courier New" w:hAnsi="Courier New"/>
                <w:sz w:val="13"/>
                <w:szCs w:val="13"/>
                <w:color w:val="auto"/>
              </w:rPr>
              <w:t>Income before cumulative</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4"/>
        </w:trPr>
        <w:tc>
          <w:tcPr>
            <w:tcW w:w="1040" w:type="dxa"/>
            <w:vAlign w:val="bottom"/>
          </w:tcPr>
          <w:p>
            <w:pPr>
              <w:ind w:left="80"/>
              <w:spacing w:after="0"/>
              <w:rPr>
                <w:sz w:val="20"/>
                <w:szCs w:val="20"/>
                <w:color w:val="auto"/>
              </w:rPr>
            </w:pPr>
            <w:r>
              <w:rPr>
                <w:rFonts w:ascii="Courier New" w:cs="Courier New" w:eastAsia="Courier New" w:hAnsi="Courier New"/>
                <w:sz w:val="13"/>
                <w:szCs w:val="13"/>
                <w:color w:val="auto"/>
              </w:rPr>
              <w:t>effect of</w:t>
            </w:r>
          </w:p>
        </w:tc>
        <w:tc>
          <w:tcPr>
            <w:tcW w:w="1920" w:type="dxa"/>
            <w:vAlign w:val="bottom"/>
          </w:tcPr>
          <w:p>
            <w:pPr>
              <w:ind w:left="240"/>
              <w:spacing w:after="0"/>
              <w:rPr>
                <w:sz w:val="20"/>
                <w:szCs w:val="20"/>
                <w:color w:val="auto"/>
              </w:rPr>
            </w:pPr>
            <w:r>
              <w:rPr>
                <w:rFonts w:ascii="Courier New" w:cs="Courier New" w:eastAsia="Courier New" w:hAnsi="Courier New"/>
                <w:sz w:val="13"/>
                <w:szCs w:val="13"/>
                <w:color w:val="auto"/>
              </w:rPr>
              <w:t>accounting changes</w:t>
            </w:r>
          </w:p>
        </w:tc>
        <w:tc>
          <w:tcPr>
            <w:tcW w:w="780" w:type="dxa"/>
            <w:vAlign w:val="bottom"/>
          </w:tcPr>
          <w:p>
            <w:pPr>
              <w:spacing w:after="0"/>
              <w:rPr>
                <w:sz w:val="13"/>
                <w:szCs w:val="13"/>
                <w:color w:val="auto"/>
              </w:rPr>
            </w:pPr>
          </w:p>
        </w:tc>
        <w:tc>
          <w:tcPr>
            <w:tcW w:w="44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80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18,731</w:t>
            </w:r>
          </w:p>
        </w:tc>
        <w:tc>
          <w:tcPr>
            <w:tcW w:w="80" w:type="dxa"/>
            <w:vAlign w:val="bottom"/>
          </w:tcPr>
          <w:p>
            <w:pPr>
              <w:spacing w:after="0"/>
              <w:rPr>
                <w:sz w:val="13"/>
                <w:szCs w:val="13"/>
                <w:color w:val="auto"/>
              </w:rPr>
            </w:pPr>
          </w:p>
        </w:tc>
        <w:tc>
          <w:tcPr>
            <w:tcW w:w="60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20,754</w:t>
            </w:r>
          </w:p>
        </w:tc>
      </w:tr>
      <w:tr>
        <w:trPr>
          <w:trHeight w:val="308"/>
        </w:trPr>
        <w:tc>
          <w:tcPr>
            <w:tcW w:w="1040" w:type="dxa"/>
            <w:vAlign w:val="bottom"/>
          </w:tcPr>
          <w:p>
            <w:pPr>
              <w:spacing w:after="0"/>
              <w:rPr>
                <w:sz w:val="20"/>
                <w:szCs w:val="20"/>
                <w:color w:val="auto"/>
              </w:rPr>
            </w:pPr>
            <w:r>
              <w:rPr>
                <w:rFonts w:ascii="Courier New" w:cs="Courier New" w:eastAsia="Courier New" w:hAnsi="Courier New"/>
                <w:sz w:val="13"/>
                <w:szCs w:val="13"/>
                <w:color w:val="auto"/>
              </w:rPr>
              <w:t>Net income</w:t>
            </w:r>
          </w:p>
        </w:tc>
        <w:tc>
          <w:tcPr>
            <w:tcW w:w="1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93"/>
              <w:spacing w:after="0"/>
              <w:rPr>
                <w:sz w:val="20"/>
                <w:szCs w:val="20"/>
                <w:color w:val="auto"/>
              </w:rPr>
            </w:pPr>
            <w:r>
              <w:rPr>
                <w:rFonts w:ascii="Courier New" w:cs="Courier New" w:eastAsia="Courier New" w:hAnsi="Courier New"/>
                <w:sz w:val="13"/>
                <w:szCs w:val="13"/>
                <w:color w:val="auto"/>
              </w:rPr>
              <w:t>5,574</w:t>
            </w:r>
          </w:p>
        </w:tc>
        <w:tc>
          <w:tcPr>
            <w:tcW w:w="4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28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20,754</w:t>
            </w:r>
          </w:p>
        </w:tc>
      </w:tr>
      <w:tr>
        <w:trPr>
          <w:trHeight w:val="308"/>
        </w:trPr>
        <w:tc>
          <w:tcPr>
            <w:tcW w:w="3740" w:type="dxa"/>
            <w:vAlign w:val="bottom"/>
            <w:gridSpan w:val="3"/>
          </w:tcPr>
          <w:p>
            <w:pPr>
              <w:spacing w:after="0"/>
              <w:rPr>
                <w:sz w:val="20"/>
                <w:szCs w:val="20"/>
                <w:color w:val="auto"/>
              </w:rPr>
            </w:pPr>
            <w:r>
              <w:rPr>
                <w:rFonts w:ascii="Courier New" w:cs="Courier New" w:eastAsia="Courier New" w:hAnsi="Courier New"/>
                <w:sz w:val="13"/>
                <w:szCs w:val="13"/>
                <w:color w:val="auto"/>
              </w:rPr>
              <w:t>Income per common share before cumulative</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4"/>
        </w:trPr>
        <w:tc>
          <w:tcPr>
            <w:tcW w:w="2960" w:type="dxa"/>
            <w:vAlign w:val="bottom"/>
            <w:gridSpan w:val="2"/>
          </w:tcPr>
          <w:p>
            <w:pPr>
              <w:ind w:left="640"/>
              <w:spacing w:after="0"/>
              <w:rPr>
                <w:sz w:val="20"/>
                <w:szCs w:val="20"/>
                <w:color w:val="auto"/>
              </w:rPr>
            </w:pPr>
            <w:r>
              <w:rPr>
                <w:rFonts w:ascii="Courier New" w:cs="Courier New" w:eastAsia="Courier New" w:hAnsi="Courier New"/>
                <w:sz w:val="13"/>
                <w:szCs w:val="13"/>
                <w:color w:val="auto"/>
              </w:rPr>
              <w:t>effect of accounting changes</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jc w:val="right"/>
              <w:ind w:right="253"/>
              <w:spacing w:after="0"/>
              <w:rPr>
                <w:sz w:val="20"/>
                <w:szCs w:val="20"/>
                <w:color w:val="auto"/>
              </w:rPr>
            </w:pPr>
            <w:r>
              <w:rPr>
                <w:rFonts w:ascii="Courier New" w:cs="Courier New" w:eastAsia="Courier New" w:hAnsi="Courier New"/>
                <w:sz w:val="13"/>
                <w:szCs w:val="13"/>
                <w:color w:val="auto"/>
                <w:w w:val="76"/>
              </w:rPr>
              <w:t>$</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.93</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1.10</w:t>
            </w:r>
          </w:p>
        </w:tc>
      </w:tr>
      <w:tr>
        <w:trPr>
          <w:trHeight w:val="308"/>
        </w:trPr>
        <w:tc>
          <w:tcPr>
            <w:tcW w:w="2960" w:type="dxa"/>
            <w:vAlign w:val="bottom"/>
            <w:gridSpan w:val="2"/>
          </w:tcPr>
          <w:p>
            <w:pPr>
              <w:spacing w:after="0"/>
              <w:rPr>
                <w:sz w:val="20"/>
                <w:szCs w:val="20"/>
                <w:color w:val="auto"/>
              </w:rPr>
            </w:pPr>
            <w:r>
              <w:rPr>
                <w:rFonts w:ascii="Courier New" w:cs="Courier New" w:eastAsia="Courier New" w:hAnsi="Courier New"/>
                <w:sz w:val="13"/>
                <w:szCs w:val="13"/>
                <w:color w:val="auto"/>
              </w:rPr>
              <w:t>Net income per common share</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24"/>
                <w:szCs w:val="24"/>
                <w:color w:val="auto"/>
              </w:rPr>
            </w:pPr>
          </w:p>
        </w:tc>
        <w:tc>
          <w:tcPr>
            <w:tcW w:w="40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3"/>
              </w:rPr>
              <w:t>.28</w:t>
            </w:r>
          </w:p>
        </w:tc>
        <w:tc>
          <w:tcPr>
            <w:tcW w:w="4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28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1.10</w:t>
            </w:r>
          </w:p>
        </w:tc>
      </w:tr>
    </w:tbl>
    <w:p>
      <w:pPr>
        <w:spacing w:after="0" w:line="200" w:lineRule="exact"/>
        <w:rPr>
          <w:sz w:val="20"/>
          <w:szCs w:val="20"/>
          <w:color w:val="auto"/>
        </w:rPr>
      </w:pPr>
    </w:p>
    <w:p>
      <w:pPr>
        <w:spacing w:after="0" w:line="268" w:lineRule="exact"/>
        <w:rPr>
          <w:sz w:val="20"/>
          <w:szCs w:val="20"/>
          <w:color w:val="auto"/>
        </w:rPr>
      </w:pPr>
    </w:p>
    <w:p>
      <w:pPr>
        <w:ind w:left="80" w:right="3339" w:firstLine="561"/>
        <w:spacing w:after="0" w:line="251" w:lineRule="auto"/>
        <w:rPr>
          <w:sz w:val="20"/>
          <w:szCs w:val="20"/>
          <w:color w:val="auto"/>
        </w:rPr>
      </w:pPr>
      <w:r>
        <w:rPr>
          <w:rFonts w:ascii="Courier New" w:cs="Courier New" w:eastAsia="Courier New" w:hAnsi="Courier New"/>
          <w:sz w:val="13"/>
          <w:szCs w:val="13"/>
          <w:color w:val="auto"/>
        </w:rPr>
        <w:t>The pro forma information provided does not purport to be indicative of actual results of</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operations if the Sierra acquisition had occurred as of October 1, 1992, and is not intended</w:t>
      </w:r>
    </w:p>
    <w:p>
      <w:pPr>
        <w:spacing w:after="0"/>
        <w:rPr>
          <w:sz w:val="20"/>
          <w:szCs w:val="20"/>
          <w:color w:val="auto"/>
        </w:rPr>
      </w:pPr>
      <w:r>
        <w:rPr>
          <w:rFonts w:ascii="Courier New" w:cs="Courier New" w:eastAsia="Courier New" w:hAnsi="Courier New"/>
          <w:sz w:val="13"/>
          <w:szCs w:val="13"/>
          <w:color w:val="auto"/>
        </w:rPr>
        <w:t>to be indicative of future results or trends.</w:t>
      </w:r>
    </w:p>
    <w:p>
      <w:pPr>
        <w:spacing w:after="0" w:line="161" w:lineRule="exact"/>
        <w:rPr>
          <w:sz w:val="20"/>
          <w:szCs w:val="20"/>
          <w:color w:val="auto"/>
        </w:rPr>
      </w:pPr>
    </w:p>
    <w:p>
      <w:pPr>
        <w:ind w:left="640" w:hanging="638"/>
        <w:spacing w:after="0"/>
        <w:tabs>
          <w:tab w:leader="none" w:pos="6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Long-term Debt</w:t>
      </w:r>
    </w:p>
    <w:p>
      <w:pPr>
        <w:spacing w:after="0" w:line="161" w:lineRule="exact"/>
        <w:rPr>
          <w:sz w:val="20"/>
          <w:szCs w:val="20"/>
          <w:color w:val="auto"/>
        </w:rPr>
      </w:pPr>
    </w:p>
    <w:p>
      <w:pPr>
        <w:ind w:left="80" w:right="3739" w:firstLine="561"/>
        <w:spacing w:after="0" w:line="251" w:lineRule="auto"/>
        <w:rPr>
          <w:sz w:val="20"/>
          <w:szCs w:val="20"/>
          <w:color w:val="auto"/>
        </w:rPr>
      </w:pPr>
      <w:r>
        <w:rPr>
          <w:rFonts w:ascii="Courier New" w:cs="Courier New" w:eastAsia="Courier New" w:hAnsi="Courier New"/>
          <w:sz w:val="13"/>
          <w:szCs w:val="13"/>
          <w:color w:val="auto"/>
        </w:rPr>
        <w:t>On December 16, 1993, the Company entered into an amendment to its Credit Agreement to</w:t>
      </w:r>
    </w:p>
    <w:p>
      <w:pPr>
        <w:ind w:left="80" w:right="4619" w:hanging="79"/>
        <w:spacing w:after="0" w:line="247" w:lineRule="auto"/>
        <w:rPr>
          <w:sz w:val="20"/>
          <w:szCs w:val="20"/>
          <w:color w:val="auto"/>
        </w:rPr>
      </w:pPr>
      <w:r>
        <w:rPr>
          <w:rFonts w:ascii="Courier New" w:cs="Courier New" w:eastAsia="Courier New" w:hAnsi="Courier New"/>
          <w:sz w:val="13"/>
          <w:szCs w:val="13"/>
          <w:color w:val="auto"/>
        </w:rPr>
        <w:t>finance the Sierra acquisition.</w:t>
      </w:r>
      <w:r>
        <w:rPr>
          <w:sz w:val="20"/>
          <w:szCs w:val="20"/>
          <w:color w:val="auto"/>
        </w:rPr>
        <w:t xml:space="preserve"> </w:t>
      </w:r>
      <w:r>
        <w:rPr>
          <w:rFonts w:ascii="Courier New" w:cs="Courier New" w:eastAsia="Courier New" w:hAnsi="Courier New"/>
          <w:sz w:val="13"/>
          <w:szCs w:val="13"/>
          <w:color w:val="auto"/>
        </w:rPr>
        <w:t>The amendment increased the term debt commitments</w:t>
      </w:r>
    </w:p>
    <w:p>
      <w:pPr>
        <w:spacing w:after="0" w:line="157" w:lineRule="exact"/>
        <w:rPr>
          <w:sz w:val="20"/>
          <w:szCs w:val="20"/>
          <w:color w:val="auto"/>
        </w:rPr>
      </w:pPr>
    </w:p>
    <w:p>
      <w:pPr>
        <w:ind w:left="80" w:right="4219" w:hanging="79"/>
        <w:spacing w:after="0" w:line="247" w:lineRule="auto"/>
        <w:rPr>
          <w:sz w:val="20"/>
          <w:szCs w:val="20"/>
          <w:color w:val="auto"/>
        </w:rPr>
      </w:pPr>
      <w:r>
        <w:rPr>
          <w:rFonts w:ascii="Courier New" w:cs="Courier New" w:eastAsia="Courier New" w:hAnsi="Courier New"/>
          <w:sz w:val="13"/>
          <w:szCs w:val="13"/>
          <w:color w:val="auto"/>
        </w:rPr>
        <w:t>available under the Credit Agreement to $195,000,000.</w:t>
      </w:r>
      <w:r>
        <w:rPr>
          <w:sz w:val="20"/>
          <w:szCs w:val="20"/>
          <w:color w:val="auto"/>
        </w:rPr>
        <w:t xml:space="preserve"> </w:t>
      </w:r>
      <w:r>
        <w:rPr>
          <w:rFonts w:ascii="Courier New" w:cs="Courier New" w:eastAsia="Courier New" w:hAnsi="Courier New"/>
          <w:sz w:val="13"/>
          <w:szCs w:val="13"/>
          <w:color w:val="auto"/>
        </w:rPr>
        <w:t>The Credit Agreement continues to</w:t>
      </w:r>
    </w:p>
    <w:p>
      <w:pPr>
        <w:spacing w:after="0" w:line="15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provide a revolving credit commitment of $150,000,000 through the scheduled maturity date</w:t>
      </w:r>
    </w:p>
    <w:p>
      <w:pPr>
        <w:spacing w:after="0"/>
        <w:tabs>
          <w:tab w:leader="none" w:pos="1580" w:val="left"/>
        </w:tabs>
        <w:rPr>
          <w:sz w:val="20"/>
          <w:szCs w:val="20"/>
          <w:color w:val="auto"/>
        </w:rPr>
      </w:pPr>
      <w:r>
        <w:rPr>
          <w:rFonts w:ascii="Courier New" w:cs="Courier New" w:eastAsia="Courier New" w:hAnsi="Courier New"/>
          <w:sz w:val="13"/>
          <w:szCs w:val="13"/>
          <w:color w:val="auto"/>
        </w:rPr>
        <w:t>of March 31, 1996.</w:t>
        <w:tab/>
        <w:t>The Company's long-term debt at July 2, 1994 consists of</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ind w:left="80"/>
              <w:spacing w:after="0"/>
              <w:rPr>
                <w:sz w:val="20"/>
                <w:szCs w:val="20"/>
                <w:color w:val="auto"/>
              </w:rPr>
            </w:pPr>
            <w:r>
              <w:rPr>
                <w:rFonts w:ascii="Courier New" w:cs="Courier New" w:eastAsia="Courier New" w:hAnsi="Courier New"/>
                <w:sz w:val="13"/>
                <w:szCs w:val="13"/>
                <w:color w:val="auto"/>
              </w:rPr>
              <w:t>the</w:t>
            </w:r>
          </w:p>
        </w:tc>
        <w:tc>
          <w:tcPr>
            <w:tcW w:w="3820" w:type="dxa"/>
            <w:vAlign w:val="bottom"/>
          </w:tcPr>
          <w:p>
            <w:pPr>
              <w:ind w:left="40"/>
              <w:spacing w:after="0"/>
              <w:rPr>
                <w:sz w:val="20"/>
                <w:szCs w:val="20"/>
                <w:color w:val="auto"/>
              </w:rPr>
            </w:pPr>
            <w:r>
              <w:rPr>
                <w:rFonts w:ascii="Courier New" w:cs="Courier New" w:eastAsia="Courier New" w:hAnsi="Courier New"/>
                <w:sz w:val="13"/>
                <w:szCs w:val="13"/>
                <w:color w:val="auto"/>
              </w:rPr>
              <w:t>following:</w:t>
            </w: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308"/>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Revolving credit loan and bank line of credit</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28,913,000</w:t>
            </w:r>
          </w:p>
        </w:tc>
      </w:tr>
      <w:tr>
        <w:trPr>
          <w:trHeight w:val="154"/>
        </w:trPr>
        <w:tc>
          <w:tcPr>
            <w:tcW w:w="360" w:type="dxa"/>
            <w:vAlign w:val="bottom"/>
          </w:tcPr>
          <w:p>
            <w:pPr>
              <w:spacing w:after="0"/>
              <w:rPr>
                <w:sz w:val="20"/>
                <w:szCs w:val="20"/>
                <w:color w:val="auto"/>
              </w:rPr>
            </w:pPr>
            <w:r>
              <w:rPr>
                <w:rFonts w:ascii="Courier New" w:cs="Courier New" w:eastAsia="Courier New" w:hAnsi="Courier New"/>
                <w:sz w:val="13"/>
                <w:szCs w:val="13"/>
                <w:color w:val="auto"/>
              </w:rPr>
              <w:t>Term</w:t>
            </w:r>
          </w:p>
        </w:tc>
        <w:tc>
          <w:tcPr>
            <w:tcW w:w="3820" w:type="dxa"/>
            <w:vAlign w:val="bottom"/>
          </w:tcPr>
          <w:p>
            <w:pPr>
              <w:ind w:left="40"/>
              <w:spacing w:after="0"/>
              <w:rPr>
                <w:sz w:val="20"/>
                <w:szCs w:val="20"/>
                <w:color w:val="auto"/>
              </w:rPr>
            </w:pPr>
            <w:r>
              <w:rPr>
                <w:rFonts w:ascii="Courier New" w:cs="Courier New" w:eastAsia="Courier New" w:hAnsi="Courier New"/>
                <w:sz w:val="13"/>
                <w:szCs w:val="13"/>
                <w:color w:val="auto"/>
              </w:rPr>
              <w:t>loan</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190,000,000</w:t>
            </w:r>
          </w:p>
        </w:tc>
      </w:tr>
      <w:tr>
        <w:trPr>
          <w:trHeight w:val="154"/>
        </w:trPr>
        <w:tc>
          <w:tcPr>
            <w:tcW w:w="4180" w:type="dxa"/>
            <w:vAlign w:val="bottom"/>
            <w:gridSpan w:val="2"/>
          </w:tcPr>
          <w:p>
            <w:pPr>
              <w:spacing w:after="0"/>
              <w:rPr>
                <w:sz w:val="20"/>
                <w:szCs w:val="20"/>
                <w:color w:val="auto"/>
              </w:rPr>
            </w:pPr>
            <w:r>
              <w:rPr>
                <w:rFonts w:ascii="Courier New" w:cs="Courier New" w:eastAsia="Courier New" w:hAnsi="Courier New"/>
                <w:sz w:val="13"/>
                <w:szCs w:val="13"/>
                <w:color w:val="auto"/>
              </w:rPr>
              <w:t>Capital lease obligations and other</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6,382,000</w:t>
            </w:r>
          </w:p>
        </w:tc>
      </w:tr>
      <w:tr>
        <w:trPr>
          <w:trHeight w:val="154"/>
        </w:trPr>
        <w:tc>
          <w:tcPr>
            <w:tcW w:w="3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225,295,000</w:t>
            </w:r>
          </w:p>
        </w:tc>
      </w:tr>
      <w:tr>
        <w:trPr>
          <w:trHeight w:val="154"/>
        </w:trPr>
        <w:tc>
          <w:tcPr>
            <w:tcW w:w="360" w:type="dxa"/>
            <w:vAlign w:val="bottom"/>
          </w:tcPr>
          <w:p>
            <w:pPr>
              <w:spacing w:after="0"/>
              <w:rPr>
                <w:sz w:val="20"/>
                <w:szCs w:val="20"/>
                <w:color w:val="auto"/>
              </w:rPr>
            </w:pPr>
            <w:r>
              <w:rPr>
                <w:rFonts w:ascii="Courier New" w:cs="Courier New" w:eastAsia="Courier New" w:hAnsi="Courier New"/>
                <w:sz w:val="13"/>
                <w:szCs w:val="13"/>
                <w:color w:val="auto"/>
              </w:rPr>
              <w:t>Less</w:t>
            </w:r>
          </w:p>
        </w:tc>
        <w:tc>
          <w:tcPr>
            <w:tcW w:w="3820" w:type="dxa"/>
            <w:vAlign w:val="bottom"/>
          </w:tcPr>
          <w:p>
            <w:pPr>
              <w:ind w:left="40"/>
              <w:spacing w:after="0"/>
              <w:rPr>
                <w:sz w:val="20"/>
                <w:szCs w:val="20"/>
                <w:color w:val="auto"/>
              </w:rPr>
            </w:pPr>
            <w:r>
              <w:rPr>
                <w:rFonts w:ascii="Courier New" w:cs="Courier New" w:eastAsia="Courier New" w:hAnsi="Courier New"/>
                <w:sz w:val="13"/>
                <w:szCs w:val="13"/>
                <w:color w:val="auto"/>
              </w:rPr>
              <w:t>current portions</w:t>
            </w:r>
          </w:p>
        </w:tc>
        <w:tc>
          <w:tcPr>
            <w:tcW w:w="8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21,316,000</w:t>
            </w:r>
          </w:p>
        </w:tc>
      </w:tr>
      <w:tr>
        <w:trPr>
          <w:trHeight w:val="154"/>
        </w:trPr>
        <w:tc>
          <w:tcPr>
            <w:tcW w:w="3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203,979,000</w:t>
            </w:r>
          </w:p>
        </w:tc>
      </w:tr>
      <w:tr>
        <w:trPr>
          <w:trHeight w:val="463"/>
        </w:trPr>
        <w:tc>
          <w:tcPr>
            <w:tcW w:w="360" w:type="dxa"/>
            <w:vAlign w:val="bottom"/>
          </w:tcPr>
          <w:p>
            <w:pPr>
              <w:spacing w:after="0"/>
              <w:rPr>
                <w:sz w:val="20"/>
                <w:szCs w:val="20"/>
                <w:color w:val="auto"/>
              </w:rPr>
            </w:pPr>
            <w:r>
              <w:rPr>
                <w:rFonts w:ascii="Courier New" w:cs="Courier New" w:eastAsia="Courier New" w:hAnsi="Courier New"/>
                <w:sz w:val="13"/>
                <w:szCs w:val="13"/>
                <w:color w:val="auto"/>
              </w:rPr>
              <w:t>Page</w:t>
            </w:r>
          </w:p>
        </w:tc>
        <w:tc>
          <w:tcPr>
            <w:tcW w:w="3820" w:type="dxa"/>
            <w:vAlign w:val="bottom"/>
          </w:tcPr>
          <w:p>
            <w:pPr>
              <w:ind w:left="40"/>
              <w:spacing w:after="0"/>
              <w:rPr>
                <w:sz w:val="20"/>
                <w:szCs w:val="20"/>
                <w:color w:val="auto"/>
              </w:rPr>
            </w:pPr>
            <w:r>
              <w:rPr>
                <w:rFonts w:ascii="Courier New" w:cs="Courier New" w:eastAsia="Courier New" w:hAnsi="Courier New"/>
                <w:sz w:val="13"/>
                <w:szCs w:val="13"/>
                <w:color w:val="auto"/>
              </w:rPr>
              <w:t>8</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313"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color w:val="auto"/>
        </w:rPr>
        <w:t>Scheduled maturities of term debt are as follows:</w:t>
      </w:r>
    </w:p>
    <w:p>
      <w:pPr>
        <w:spacing w:after="0" w:line="161"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2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Fiscal Year</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4"/>
        </w:trPr>
        <w:tc>
          <w:tcPr>
            <w:tcW w:w="120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1995</w:t>
            </w:r>
          </w:p>
        </w:tc>
        <w:tc>
          <w:tcPr>
            <w:tcW w:w="44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3"/>
                <w:szCs w:val="13"/>
                <w:color w:val="auto"/>
              </w:rPr>
              <w:t>25,000,000</w:t>
            </w:r>
          </w:p>
        </w:tc>
      </w:tr>
      <w:tr>
        <w:trPr>
          <w:trHeight w:val="154"/>
        </w:trPr>
        <w:tc>
          <w:tcPr>
            <w:tcW w:w="120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1996</w:t>
            </w: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3"/>
                <w:szCs w:val="13"/>
                <w:color w:val="auto"/>
              </w:rPr>
              <w:t>27,500,000</w:t>
            </w:r>
          </w:p>
        </w:tc>
      </w:tr>
      <w:tr>
        <w:trPr>
          <w:trHeight w:val="154"/>
        </w:trPr>
        <w:tc>
          <w:tcPr>
            <w:tcW w:w="120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1997</w:t>
            </w: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3"/>
                <w:szCs w:val="13"/>
                <w:color w:val="auto"/>
              </w:rPr>
              <w:t>32,500,000</w:t>
            </w:r>
          </w:p>
        </w:tc>
      </w:tr>
      <w:tr>
        <w:trPr>
          <w:trHeight w:val="154"/>
        </w:trPr>
        <w:tc>
          <w:tcPr>
            <w:tcW w:w="1200" w:type="dxa"/>
            <w:vAlign w:val="bottom"/>
          </w:tcPr>
          <w:p>
            <w:pPr>
              <w:jc w:val="right"/>
              <w:ind w:right="733"/>
              <w:spacing w:after="0"/>
              <w:rPr>
                <w:sz w:val="20"/>
                <w:szCs w:val="20"/>
                <w:color w:val="auto"/>
              </w:rPr>
            </w:pPr>
            <w:r>
              <w:rPr>
                <w:rFonts w:ascii="Courier New" w:cs="Courier New" w:eastAsia="Courier New" w:hAnsi="Courier New"/>
                <w:sz w:val="13"/>
                <w:szCs w:val="13"/>
                <w:color w:val="auto"/>
              </w:rPr>
              <w:t>1998</w:t>
            </w: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3"/>
                <w:szCs w:val="13"/>
                <w:color w:val="auto"/>
              </w:rPr>
              <w:t>30,000,000</w:t>
            </w:r>
          </w:p>
        </w:tc>
      </w:tr>
      <w:tr>
        <w:trPr>
          <w:trHeight w:val="154"/>
        </w:trPr>
        <w:tc>
          <w:tcPr>
            <w:tcW w:w="164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rPr>
              <w:t>1999 and thereafter</w:t>
            </w:r>
          </w:p>
        </w:tc>
        <w:tc>
          <w:tcPr>
            <w:tcW w:w="940" w:type="dxa"/>
            <w:vAlign w:val="bottom"/>
          </w:tcPr>
          <w:p>
            <w:pPr>
              <w:jc w:val="right"/>
              <w:spacing w:after="0"/>
              <w:rPr>
                <w:sz w:val="20"/>
                <w:szCs w:val="20"/>
                <w:color w:val="auto"/>
              </w:rPr>
            </w:pPr>
            <w:r>
              <w:rPr>
                <w:rFonts w:ascii="Courier New" w:cs="Courier New" w:eastAsia="Courier New" w:hAnsi="Courier New"/>
                <w:sz w:val="13"/>
                <w:szCs w:val="13"/>
                <w:color w:val="auto"/>
              </w:rPr>
              <w:t>75,000,000</w:t>
            </w:r>
          </w:p>
        </w:tc>
      </w:tr>
    </w:tbl>
    <w:p>
      <w:pPr>
        <w:spacing w:after="0" w:line="159" w:lineRule="exact"/>
        <w:rPr>
          <w:sz w:val="20"/>
          <w:szCs w:val="20"/>
          <w:color w:val="auto"/>
        </w:rPr>
      </w:pPr>
    </w:p>
    <w:p>
      <w:pPr>
        <w:ind w:left="80" w:right="3819" w:firstLine="561"/>
        <w:spacing w:after="0" w:line="254" w:lineRule="auto"/>
        <w:rPr>
          <w:sz w:val="20"/>
          <w:szCs w:val="20"/>
          <w:color w:val="auto"/>
        </w:rPr>
      </w:pPr>
      <w:r>
        <w:rPr>
          <w:rFonts w:ascii="Courier New" w:cs="Courier New" w:eastAsia="Courier New" w:hAnsi="Courier New"/>
          <w:sz w:val="13"/>
          <w:szCs w:val="13"/>
          <w:color w:val="auto"/>
        </w:rPr>
        <w:t>All other aspects of the Company's Credit Agreement remain substantially the same.</w:t>
      </w:r>
    </w:p>
    <w:p>
      <w:pPr>
        <w:spacing w:after="0" w:line="151" w:lineRule="exact"/>
        <w:rPr>
          <w:sz w:val="20"/>
          <w:szCs w:val="20"/>
          <w:color w:val="auto"/>
        </w:rPr>
      </w:pPr>
    </w:p>
    <w:p>
      <w:pPr>
        <w:ind w:left="640" w:hanging="638"/>
        <w:spacing w:after="0"/>
        <w:tabs>
          <w:tab w:leader="none" w:pos="64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Income Taxes</w:t>
      </w:r>
    </w:p>
    <w:p>
      <w:pPr>
        <w:spacing w:after="0" w:line="161" w:lineRule="exact"/>
        <w:rPr>
          <w:sz w:val="20"/>
          <w:szCs w:val="20"/>
          <w:color w:val="auto"/>
        </w:rPr>
      </w:pPr>
    </w:p>
    <w:p>
      <w:pPr>
        <w:ind w:left="80" w:right="3339" w:firstLine="561"/>
        <w:spacing w:after="0" w:line="251" w:lineRule="auto"/>
        <w:rPr>
          <w:sz w:val="20"/>
          <w:szCs w:val="20"/>
          <w:color w:val="auto"/>
        </w:rPr>
      </w:pPr>
      <w:r>
        <w:rPr>
          <w:rFonts w:ascii="Courier New" w:cs="Courier New" w:eastAsia="Courier New" w:hAnsi="Courier New"/>
          <w:sz w:val="13"/>
          <w:szCs w:val="13"/>
          <w:color w:val="auto"/>
        </w:rPr>
        <w:t>The effective income tax rates used for the three and nine month periods ended July 2, 1994</w:t>
      </w:r>
    </w:p>
    <w:p>
      <w:pPr>
        <w:ind w:left="80" w:right="4379" w:hanging="79"/>
        <w:spacing w:after="0" w:line="251" w:lineRule="auto"/>
        <w:rPr>
          <w:sz w:val="20"/>
          <w:szCs w:val="20"/>
          <w:color w:val="auto"/>
        </w:rPr>
      </w:pPr>
      <w:r>
        <w:rPr>
          <w:rFonts w:ascii="Courier New" w:cs="Courier New" w:eastAsia="Courier New" w:hAnsi="Courier New"/>
          <w:sz w:val="13"/>
          <w:szCs w:val="13"/>
          <w:color w:val="auto"/>
        </w:rPr>
        <w:t>differ from the statutory federal rate principally due to state and local income tax expense,</w:t>
      </w:r>
    </w:p>
    <w:p>
      <w:pPr>
        <w:spacing w:after="0"/>
        <w:rPr>
          <w:sz w:val="20"/>
          <w:szCs w:val="20"/>
          <w:color w:val="auto"/>
        </w:rPr>
      </w:pPr>
      <w:r>
        <w:rPr>
          <w:rFonts w:ascii="Courier New" w:cs="Courier New" w:eastAsia="Courier New" w:hAnsi="Courier New"/>
          <w:sz w:val="13"/>
          <w:szCs w:val="13"/>
          <w:color w:val="auto"/>
        </w:rPr>
        <w:t>amortization of goodwill and amortization of prepaid pension costs.</w:t>
      </w:r>
    </w:p>
    <w:p>
      <w:pPr>
        <w:spacing w:after="0" w:line="161" w:lineRule="exact"/>
        <w:rPr>
          <w:sz w:val="20"/>
          <w:szCs w:val="20"/>
          <w:color w:val="auto"/>
        </w:rPr>
      </w:pPr>
    </w:p>
    <w:p>
      <w:pPr>
        <w:ind w:left="640" w:hanging="638"/>
        <w:spacing w:after="0"/>
        <w:tabs>
          <w:tab w:leader="none" w:pos="64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Contingencies</w:t>
      </w:r>
    </w:p>
    <w:p>
      <w:pPr>
        <w:spacing w:after="0" w:line="161" w:lineRule="exact"/>
        <w:rPr>
          <w:sz w:val="20"/>
          <w:szCs w:val="20"/>
          <w:color w:val="auto"/>
        </w:rPr>
      </w:pPr>
    </w:p>
    <w:p>
      <w:pPr>
        <w:ind w:left="80" w:right="3819" w:firstLine="561"/>
        <w:spacing w:after="0" w:line="251" w:lineRule="auto"/>
        <w:rPr>
          <w:sz w:val="20"/>
          <w:szCs w:val="20"/>
          <w:color w:val="auto"/>
        </w:rPr>
      </w:pPr>
      <w:r>
        <w:rPr>
          <w:rFonts w:ascii="Courier New" w:cs="Courier New" w:eastAsia="Courier New" w:hAnsi="Courier New"/>
          <w:sz w:val="13"/>
          <w:szCs w:val="13"/>
          <w:color w:val="auto"/>
        </w:rPr>
        <w:t>The Company is involved in various lawsuits and claims that arise in the normal course of</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business.</w:t>
      </w:r>
      <w:r>
        <w:rPr>
          <w:sz w:val="20"/>
          <w:szCs w:val="20"/>
          <w:color w:val="auto"/>
        </w:rPr>
        <w:t xml:space="preserve"> </w:t>
      </w:r>
      <w:r>
        <w:rPr>
          <w:rFonts w:ascii="Courier New" w:cs="Courier New" w:eastAsia="Courier New" w:hAnsi="Courier New"/>
          <w:sz w:val="13"/>
          <w:szCs w:val="13"/>
          <w:color w:val="auto"/>
        </w:rPr>
        <w:t>In the opinion of management, these claims individually and in the aggregate are</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not expected to result in a material adverse effect on the Company's financial position or</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results of operations; however, there can be no assurance that future quarterly or annual</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operating results will not be materially affected by final resolution of these matters. The</w:t>
      </w:r>
    </w:p>
    <w:p>
      <w:pPr>
        <w:spacing w:after="0"/>
        <w:rPr>
          <w:sz w:val="20"/>
          <w:szCs w:val="20"/>
          <w:color w:val="auto"/>
        </w:rPr>
      </w:pPr>
      <w:r>
        <w:rPr>
          <w:rFonts w:ascii="Courier New" w:cs="Courier New" w:eastAsia="Courier New" w:hAnsi="Courier New"/>
          <w:sz w:val="13"/>
          <w:szCs w:val="13"/>
          <w:color w:val="auto"/>
        </w:rPr>
        <w:t>following details the more significant of these matters.</w:t>
      </w:r>
    </w:p>
    <w:p>
      <w:pPr>
        <w:spacing w:after="0" w:line="161" w:lineRule="exact"/>
        <w:rPr>
          <w:sz w:val="20"/>
          <w:szCs w:val="20"/>
          <w:color w:val="auto"/>
        </w:rPr>
      </w:pPr>
    </w:p>
    <w:p>
      <w:pPr>
        <w:ind w:left="80" w:right="3499" w:firstLine="561"/>
        <w:spacing w:after="0" w:line="251" w:lineRule="auto"/>
        <w:rPr>
          <w:sz w:val="20"/>
          <w:szCs w:val="20"/>
          <w:color w:val="auto"/>
        </w:rPr>
      </w:pPr>
      <w:r>
        <w:rPr>
          <w:rFonts w:ascii="Courier New" w:cs="Courier New" w:eastAsia="Courier New" w:hAnsi="Courier New"/>
          <w:sz w:val="13"/>
          <w:szCs w:val="13"/>
          <w:color w:val="auto"/>
        </w:rPr>
        <w:t>The Company has been involved in studying a landfill to which it is believed some of the</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Company's solid waste had been hauled in the 1970's.</w:t>
      </w:r>
      <w:r>
        <w:rPr>
          <w:sz w:val="20"/>
          <w:szCs w:val="20"/>
          <w:color w:val="auto"/>
        </w:rPr>
        <w:t xml:space="preserve"> </w:t>
      </w:r>
      <w:r>
        <w:rPr>
          <w:rFonts w:ascii="Courier New" w:cs="Courier New" w:eastAsia="Courier New" w:hAnsi="Courier New"/>
          <w:sz w:val="13"/>
          <w:szCs w:val="13"/>
          <w:color w:val="auto"/>
        </w:rPr>
        <w:t>In September 1991, the Company</w:t>
      </w:r>
    </w:p>
    <w:p>
      <w:pPr>
        <w:spacing w:after="0" w:line="157" w:lineRule="exact"/>
        <w:rPr>
          <w:sz w:val="20"/>
          <w:szCs w:val="20"/>
          <w:color w:val="auto"/>
        </w:rPr>
      </w:pPr>
    </w:p>
    <w:p>
      <w:pPr>
        <w:ind w:left="80" w:right="4539" w:hanging="79"/>
        <w:spacing w:after="0" w:line="251" w:lineRule="auto"/>
        <w:rPr>
          <w:sz w:val="20"/>
          <w:szCs w:val="20"/>
          <w:color w:val="auto"/>
        </w:rPr>
      </w:pPr>
      <w:r>
        <w:rPr>
          <w:rFonts w:ascii="Courier New" w:cs="Courier New" w:eastAsia="Courier New" w:hAnsi="Courier New"/>
          <w:sz w:val="13"/>
          <w:szCs w:val="13"/>
          <w:color w:val="auto"/>
        </w:rPr>
        <w:t>was named by the Ohio Environmental Protection Agency ("Ohio EPA") as a Potentially</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Responsible Party ("PRP") with respect to this landfill.</w:t>
      </w:r>
      <w:r>
        <w:rPr>
          <w:sz w:val="20"/>
          <w:szCs w:val="20"/>
          <w:color w:val="auto"/>
        </w:rPr>
        <w:t xml:space="preserve"> </w:t>
      </w:r>
      <w:r>
        <w:rPr>
          <w:rFonts w:ascii="Courier New" w:cs="Courier New" w:eastAsia="Courier New" w:hAnsi="Courier New"/>
          <w:sz w:val="13"/>
          <w:szCs w:val="13"/>
          <w:color w:val="auto"/>
        </w:rPr>
        <w:t>Pursuant to a consent order with the</w:t>
      </w:r>
    </w:p>
    <w:p>
      <w:pPr>
        <w:sectPr>
          <w:pgSz w:w="11900" w:h="16838" w:orient="portrait"/>
          <w:cols w:equalWidth="0" w:num="1">
            <w:col w:w="10239"/>
          </w:cols>
          <w:pgMar w:left="220" w:top="141" w:right="1440" w:bottom="0" w:gutter="0" w:footer="0" w:header="0"/>
        </w:sectPr>
      </w:pPr>
    </w:p>
    <w:bookmarkStart w:id="6" w:name="page7"/>
    <w:bookmarkEnd w:id="6"/>
    <w:p>
      <w:pPr>
        <w:ind w:left="80" w:right="4139" w:hanging="79"/>
        <w:spacing w:after="0" w:line="251" w:lineRule="auto"/>
        <w:rPr>
          <w:sz w:val="20"/>
          <w:szCs w:val="20"/>
          <w:color w:val="auto"/>
        </w:rPr>
      </w:pPr>
      <w:r>
        <w:rPr>
          <w:rFonts w:ascii="Courier New" w:cs="Courier New" w:eastAsia="Courier New" w:hAnsi="Courier New"/>
          <w:sz w:val="13"/>
          <w:szCs w:val="13"/>
          <w:color w:val="auto"/>
        </w:rPr>
        <w:t>Ohio EPA, the Company, together with four other PRP's identified to date, is investigating the</w:t>
      </w:r>
    </w:p>
    <w:p>
      <w:pPr>
        <w:spacing w:after="0"/>
        <w:rPr>
          <w:sz w:val="20"/>
          <w:szCs w:val="20"/>
          <w:color w:val="auto"/>
        </w:rPr>
      </w:pPr>
      <w:r>
        <w:rPr>
          <w:rFonts w:ascii="Courier New" w:cs="Courier New" w:eastAsia="Courier New" w:hAnsi="Courier New"/>
          <w:sz w:val="13"/>
          <w:szCs w:val="13"/>
          <w:color w:val="auto"/>
        </w:rPr>
        <w:t>extent of contamination at the landfill and developing a remediation program.</w:t>
      </w:r>
    </w:p>
    <w:p>
      <w:pPr>
        <w:spacing w:after="0" w:line="161" w:lineRule="exact"/>
        <w:rPr>
          <w:sz w:val="20"/>
          <w:szCs w:val="20"/>
          <w:color w:val="auto"/>
        </w:rPr>
      </w:pPr>
    </w:p>
    <w:p>
      <w:pPr>
        <w:ind w:left="80" w:right="3659" w:firstLine="561"/>
        <w:spacing w:after="0" w:line="251" w:lineRule="auto"/>
        <w:rPr>
          <w:sz w:val="20"/>
          <w:szCs w:val="20"/>
          <w:color w:val="auto"/>
        </w:rPr>
      </w:pPr>
      <w:r>
        <w:rPr>
          <w:rFonts w:ascii="Courier New" w:cs="Courier New" w:eastAsia="Courier New" w:hAnsi="Courier New"/>
          <w:sz w:val="13"/>
          <w:szCs w:val="13"/>
          <w:color w:val="auto"/>
        </w:rPr>
        <w:t>In July 1990, the Company was directed by the Army Corps of Engineers (the "Corps") to cease peat harvesting operations at its New Jersey facility.</w:t>
      </w:r>
    </w:p>
    <w:p>
      <w:pPr>
        <w:ind w:left="160"/>
        <w:spacing w:after="0"/>
        <w:rPr>
          <w:sz w:val="20"/>
          <w:szCs w:val="20"/>
          <w:color w:val="auto"/>
        </w:rPr>
      </w:pPr>
      <w:r>
        <w:rPr>
          <w:rFonts w:ascii="Courier New" w:cs="Courier New" w:eastAsia="Courier New" w:hAnsi="Courier New"/>
          <w:sz w:val="13"/>
          <w:szCs w:val="13"/>
          <w:color w:val="auto"/>
        </w:rPr>
        <w:t>The Corps has alleged that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peat harvesting operations were in violation of the Clean Water Act "CWA").</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The United</w:t>
      </w:r>
    </w:p>
    <w:p>
      <w:pPr>
        <w:spacing w:after="0" w:line="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States Department of Justice has commenced a legal action to seek a permanent injunction</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against peat harvesting at this facility and to recover civil penalties under the CWA. This</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action had been suspended while the parties engaged in discussion to resolve the dispute.</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Those discussions did not result in a settlement and accordingly the action has been</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reinstated.</w:t>
      </w:r>
      <w:r>
        <w:rPr>
          <w:sz w:val="20"/>
          <w:szCs w:val="20"/>
          <w:color w:val="auto"/>
        </w:rPr>
        <w:t xml:space="preserve"> </w:t>
      </w:r>
      <w:r>
        <w:rPr>
          <w:rFonts w:ascii="Courier New" w:cs="Courier New" w:eastAsia="Courier New" w:hAnsi="Courier New"/>
          <w:sz w:val="13"/>
          <w:szCs w:val="13"/>
          <w:color w:val="auto"/>
        </w:rPr>
        <w:t>The Company intends to defend the action vigorously but if the Corps' position is</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upheld the Company could be prohibited from further harvesting of peat at this location and</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penalties could be assessed against the Company.</w:t>
      </w:r>
      <w:r>
        <w:rPr>
          <w:sz w:val="20"/>
          <w:szCs w:val="20"/>
          <w:color w:val="auto"/>
        </w:rPr>
        <w:t xml:space="preserve"> </w:t>
      </w:r>
      <w:r>
        <w:rPr>
          <w:rFonts w:ascii="Courier New" w:cs="Courier New" w:eastAsia="Courier New" w:hAnsi="Courier New"/>
          <w:sz w:val="13"/>
          <w:szCs w:val="13"/>
          <w:color w:val="auto"/>
        </w:rPr>
        <w:t>In the opinion of management, the</w:t>
      </w:r>
    </w:p>
    <w:p>
      <w:pPr>
        <w:spacing w:after="0" w:line="157" w:lineRule="exact"/>
        <w:rPr>
          <w:sz w:val="20"/>
          <w:szCs w:val="20"/>
          <w:color w:val="auto"/>
        </w:rPr>
      </w:pPr>
    </w:p>
    <w:p>
      <w:pPr>
        <w:ind w:left="80" w:right="4539" w:hanging="79"/>
        <w:spacing w:after="0" w:line="251" w:lineRule="auto"/>
        <w:rPr>
          <w:sz w:val="20"/>
          <w:szCs w:val="20"/>
          <w:color w:val="auto"/>
        </w:rPr>
      </w:pPr>
      <w:r>
        <w:rPr>
          <w:rFonts w:ascii="Courier New" w:cs="Courier New" w:eastAsia="Courier New" w:hAnsi="Courier New"/>
          <w:sz w:val="13"/>
          <w:szCs w:val="13"/>
          <w:color w:val="auto"/>
        </w:rPr>
        <w:t>outcome of this action will not have a material effect on the Company's financial position or</w:t>
      </w:r>
    </w:p>
    <w:p>
      <w:pPr>
        <w:ind w:left="80" w:right="4459" w:hanging="79"/>
        <w:spacing w:after="0" w:line="247" w:lineRule="auto"/>
        <w:rPr>
          <w:sz w:val="20"/>
          <w:szCs w:val="20"/>
          <w:color w:val="auto"/>
        </w:rPr>
      </w:pPr>
      <w:r>
        <w:rPr>
          <w:rFonts w:ascii="Courier New" w:cs="Courier New" w:eastAsia="Courier New" w:hAnsi="Courier New"/>
          <w:sz w:val="13"/>
          <w:szCs w:val="13"/>
          <w:color w:val="auto"/>
        </w:rPr>
        <w:t>results of operations.</w:t>
      </w:r>
      <w:r>
        <w:rPr>
          <w:sz w:val="20"/>
          <w:szCs w:val="20"/>
          <w:color w:val="auto"/>
        </w:rPr>
        <w:t xml:space="preserve"> </w:t>
      </w:r>
      <w:r>
        <w:rPr>
          <w:rFonts w:ascii="Courier New" w:cs="Courier New" w:eastAsia="Courier New" w:hAnsi="Courier New"/>
          <w:sz w:val="13"/>
          <w:szCs w:val="13"/>
          <w:color w:val="auto"/>
        </w:rPr>
        <w:t>Furthermore, management believes the Company has sufficient raw</w:t>
      </w:r>
    </w:p>
    <w:p>
      <w:pPr>
        <w:spacing w:after="0" w:line="157" w:lineRule="exact"/>
        <w:rPr>
          <w:sz w:val="20"/>
          <w:szCs w:val="20"/>
          <w:color w:val="auto"/>
        </w:rPr>
      </w:pPr>
    </w:p>
    <w:p>
      <w:pPr>
        <w:ind w:left="80" w:right="4619" w:hanging="79"/>
        <w:spacing w:after="0" w:line="251" w:lineRule="auto"/>
        <w:rPr>
          <w:sz w:val="20"/>
          <w:szCs w:val="20"/>
          <w:color w:val="auto"/>
        </w:rPr>
      </w:pPr>
      <w:r>
        <w:rPr>
          <w:rFonts w:ascii="Courier New" w:cs="Courier New" w:eastAsia="Courier New" w:hAnsi="Courier New"/>
          <w:sz w:val="13"/>
          <w:szCs w:val="13"/>
          <w:color w:val="auto"/>
        </w:rPr>
        <w:t>material supplies available such that service to customers will not be adversely affected by</w:t>
      </w:r>
    </w:p>
    <w:p>
      <w:pPr>
        <w:spacing w:after="0"/>
        <w:rPr>
          <w:sz w:val="20"/>
          <w:szCs w:val="20"/>
          <w:color w:val="auto"/>
        </w:rPr>
      </w:pPr>
      <w:r>
        <w:rPr>
          <w:rFonts w:ascii="Courier New" w:cs="Courier New" w:eastAsia="Courier New" w:hAnsi="Courier New"/>
          <w:sz w:val="13"/>
          <w:szCs w:val="13"/>
          <w:color w:val="auto"/>
        </w:rPr>
        <w:t>continued closure of this peat harvesting operation.</w:t>
      </w:r>
    </w:p>
    <w:p>
      <w:pPr>
        <w:spacing w:after="0" w:line="161" w:lineRule="exact"/>
        <w:rPr>
          <w:sz w:val="20"/>
          <w:szCs w:val="20"/>
          <w:color w:val="auto"/>
        </w:rPr>
      </w:pPr>
    </w:p>
    <w:p>
      <w:pPr>
        <w:ind w:left="80" w:right="3819" w:firstLine="561"/>
        <w:spacing w:after="0" w:line="251" w:lineRule="auto"/>
        <w:rPr>
          <w:sz w:val="20"/>
          <w:szCs w:val="20"/>
          <w:color w:val="auto"/>
        </w:rPr>
      </w:pPr>
      <w:r>
        <w:rPr>
          <w:rFonts w:ascii="Courier New" w:cs="Courier New" w:eastAsia="Courier New" w:hAnsi="Courier New"/>
          <w:sz w:val="13"/>
          <w:szCs w:val="13"/>
          <w:color w:val="auto"/>
        </w:rPr>
        <w:t>Sierra is a potentially responsible party in connection with the Lorentz Barrel and Drum</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Superfund Site in California, as a result of its predecessor having shipped barrels to Lorentz</w:t>
      </w:r>
    </w:p>
    <w:p>
      <w:pPr>
        <w:ind w:left="80" w:right="4619" w:hanging="79"/>
        <w:spacing w:after="0" w:line="247" w:lineRule="auto"/>
        <w:rPr>
          <w:sz w:val="20"/>
          <w:szCs w:val="20"/>
          <w:color w:val="auto"/>
        </w:rPr>
      </w:pPr>
      <w:r>
        <w:rPr>
          <w:rFonts w:ascii="Courier New" w:cs="Courier New" w:eastAsia="Courier New" w:hAnsi="Courier New"/>
          <w:sz w:val="13"/>
          <w:szCs w:val="13"/>
          <w:color w:val="auto"/>
        </w:rPr>
        <w:t>for reconditioning or sale between 1967 and 1972.</w:t>
      </w:r>
      <w:r>
        <w:rPr>
          <w:sz w:val="20"/>
          <w:szCs w:val="20"/>
          <w:color w:val="auto"/>
        </w:rPr>
        <w:t xml:space="preserve"> </w:t>
      </w:r>
      <w:r>
        <w:rPr>
          <w:rFonts w:ascii="Courier New" w:cs="Courier New" w:eastAsia="Courier New" w:hAnsi="Courier New"/>
          <w:sz w:val="13"/>
          <w:szCs w:val="13"/>
          <w:color w:val="auto"/>
        </w:rPr>
        <w:t>Although many other companies are</w:t>
      </w:r>
    </w:p>
    <w:p>
      <w:pPr>
        <w:spacing w:after="0" w:line="157" w:lineRule="exact"/>
        <w:rPr>
          <w:sz w:val="20"/>
          <w:szCs w:val="20"/>
          <w:color w:val="auto"/>
        </w:rPr>
      </w:pPr>
    </w:p>
    <w:p>
      <w:pPr>
        <w:ind w:left="80" w:right="4699" w:hanging="79"/>
        <w:spacing w:after="0" w:line="251" w:lineRule="auto"/>
        <w:rPr>
          <w:sz w:val="20"/>
          <w:szCs w:val="20"/>
          <w:color w:val="auto"/>
        </w:rPr>
      </w:pPr>
      <w:r>
        <w:rPr>
          <w:rFonts w:ascii="Courier New" w:cs="Courier New" w:eastAsia="Courier New" w:hAnsi="Courier New"/>
          <w:sz w:val="13"/>
          <w:szCs w:val="13"/>
          <w:color w:val="auto"/>
        </w:rPr>
        <w:t>participating in the remediation of this site, issues relating to the allocation of the costs have</w:t>
      </w:r>
    </w:p>
    <w:p>
      <w:pPr>
        <w:ind w:left="80" w:right="4459" w:hanging="79"/>
        <w:spacing w:after="0" w:line="247" w:lineRule="auto"/>
        <w:rPr>
          <w:sz w:val="20"/>
          <w:szCs w:val="20"/>
          <w:color w:val="auto"/>
        </w:rPr>
      </w:pPr>
      <w:r>
        <w:rPr>
          <w:rFonts w:ascii="Courier New" w:cs="Courier New" w:eastAsia="Courier New" w:hAnsi="Courier New"/>
          <w:sz w:val="13"/>
          <w:szCs w:val="13"/>
          <w:color w:val="auto"/>
        </w:rPr>
        <w:t>not yet been resolved.</w:t>
      </w:r>
      <w:r>
        <w:rPr>
          <w:sz w:val="20"/>
          <w:szCs w:val="20"/>
          <w:color w:val="auto"/>
        </w:rPr>
        <w:t xml:space="preserve"> </w:t>
      </w:r>
      <w:r>
        <w:rPr>
          <w:rFonts w:ascii="Courier New" w:cs="Courier New" w:eastAsia="Courier New" w:hAnsi="Courier New"/>
          <w:sz w:val="13"/>
          <w:szCs w:val="13"/>
          <w:color w:val="auto"/>
        </w:rPr>
        <w:t>Management estimates that the Company's share of remediation</w:t>
      </w:r>
    </w:p>
    <w:p>
      <w:pPr>
        <w:spacing w:after="0" w:line="157" w:lineRule="exact"/>
        <w:rPr>
          <w:sz w:val="20"/>
          <w:szCs w:val="20"/>
          <w:color w:val="auto"/>
        </w:rPr>
      </w:pPr>
    </w:p>
    <w:p>
      <w:pPr>
        <w:ind w:left="80" w:right="4379" w:hanging="79"/>
        <w:spacing w:after="0" w:line="247" w:lineRule="auto"/>
        <w:rPr>
          <w:sz w:val="20"/>
          <w:szCs w:val="20"/>
          <w:color w:val="auto"/>
        </w:rPr>
      </w:pPr>
      <w:r>
        <w:rPr>
          <w:rFonts w:ascii="Courier New" w:cs="Courier New" w:eastAsia="Courier New" w:hAnsi="Courier New"/>
          <w:sz w:val="13"/>
          <w:szCs w:val="13"/>
          <w:color w:val="auto"/>
        </w:rPr>
        <w:t>costs for this site will be less than $200,000.</w:t>
      </w:r>
      <w:r>
        <w:rPr>
          <w:sz w:val="20"/>
          <w:szCs w:val="20"/>
          <w:color w:val="auto"/>
        </w:rPr>
        <w:t xml:space="preserve"> </w:t>
      </w:r>
      <w:r>
        <w:rPr>
          <w:rFonts w:ascii="Courier New" w:cs="Courier New" w:eastAsia="Courier New" w:hAnsi="Courier New"/>
          <w:sz w:val="13"/>
          <w:szCs w:val="13"/>
          <w:color w:val="auto"/>
        </w:rPr>
        <w:t>In addition, Sierra is a defendant in a private</w:t>
      </w:r>
    </w:p>
    <w:p>
      <w:pPr>
        <w:spacing w:after="0" w:line="157"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cost-recovery action relating to the Novak Sanitary Landfill, located near Allentown,</w:t>
      </w:r>
    </w:p>
    <w:p>
      <w:pPr>
        <w:ind w:left="80" w:right="4379" w:hanging="79"/>
        <w:spacing w:after="0" w:line="247" w:lineRule="auto"/>
        <w:rPr>
          <w:sz w:val="20"/>
          <w:szCs w:val="20"/>
          <w:color w:val="auto"/>
        </w:rPr>
      </w:pPr>
      <w:r>
        <w:rPr>
          <w:rFonts w:ascii="Courier New" w:cs="Courier New" w:eastAsia="Courier New" w:hAnsi="Courier New"/>
          <w:sz w:val="13"/>
          <w:szCs w:val="13"/>
          <w:color w:val="auto"/>
        </w:rPr>
        <w:t>Pennsylvania.</w:t>
      </w:r>
      <w:r>
        <w:rPr>
          <w:sz w:val="20"/>
          <w:szCs w:val="20"/>
          <w:color w:val="auto"/>
        </w:rPr>
        <w:t xml:space="preserve"> </w:t>
      </w:r>
      <w:r>
        <w:rPr>
          <w:rFonts w:ascii="Courier New" w:cs="Courier New" w:eastAsia="Courier New" w:hAnsi="Courier New"/>
          <w:sz w:val="13"/>
          <w:szCs w:val="13"/>
          <w:color w:val="auto"/>
        </w:rPr>
        <w:t>By agreement with W. R. Grace-Conn., Sierra's liability is limited to a</w:t>
      </w:r>
    </w:p>
    <w:p>
      <w:pPr>
        <w:spacing w:after="0" w:line="157" w:lineRule="exact"/>
        <w:rPr>
          <w:sz w:val="20"/>
          <w:szCs w:val="20"/>
          <w:color w:val="auto"/>
        </w:rPr>
      </w:pPr>
    </w:p>
    <w:p>
      <w:pPr>
        <w:ind w:left="80" w:right="4459" w:hanging="79"/>
        <w:spacing w:after="0" w:line="251" w:lineRule="auto"/>
        <w:rPr>
          <w:sz w:val="20"/>
          <w:szCs w:val="20"/>
          <w:color w:val="auto"/>
        </w:rPr>
      </w:pPr>
      <w:r>
        <w:rPr>
          <w:rFonts w:ascii="Courier New" w:cs="Courier New" w:eastAsia="Courier New" w:hAnsi="Courier New"/>
          <w:sz w:val="13"/>
          <w:szCs w:val="13"/>
          <w:color w:val="auto"/>
        </w:rPr>
        <w:t>maximum of $200,000 with respect to this site and such amounts have been provided for in</w:t>
      </w:r>
    </w:p>
    <w:p>
      <w:pPr>
        <w:spacing w:after="0"/>
        <w:rPr>
          <w:sz w:val="20"/>
          <w:szCs w:val="20"/>
          <w:color w:val="auto"/>
        </w:rPr>
      </w:pPr>
      <w:r>
        <w:rPr>
          <w:rFonts w:ascii="Courier New" w:cs="Courier New" w:eastAsia="Courier New" w:hAnsi="Courier New"/>
          <w:sz w:val="13"/>
          <w:szCs w:val="13"/>
          <w:color w:val="auto"/>
        </w:rPr>
        <w:t>the accompanying financial statements.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9</w:t>
      </w: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color w:val="auto"/>
        </w:rPr>
        <w:t>The Company's management does not believe that the outcome of these proceedings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will in</w:t>
      </w:r>
    </w:p>
    <w:p>
      <w:pPr>
        <w:spacing w:after="0" w:line="7"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the aggregate have a material adverse effect on its financial condition or results of</w:t>
      </w:r>
    </w:p>
    <w:p>
      <w:pPr>
        <w:ind w:left="80" w:right="4859" w:hanging="79"/>
        <w:spacing w:after="0" w:line="251" w:lineRule="auto"/>
        <w:rPr>
          <w:sz w:val="20"/>
          <w:szCs w:val="20"/>
          <w:color w:val="auto"/>
        </w:rPr>
      </w:pPr>
      <w:r>
        <w:rPr>
          <w:rFonts w:ascii="Courier New" w:cs="Courier New" w:eastAsia="Courier New" w:hAnsi="Courier New"/>
          <w:sz w:val="13"/>
          <w:szCs w:val="13"/>
          <w:color w:val="auto"/>
        </w:rPr>
        <w:t>operations.</w:t>
      </w:r>
      <w:r>
        <w:rPr>
          <w:sz w:val="20"/>
          <w:szCs w:val="20"/>
          <w:color w:val="auto"/>
        </w:rPr>
        <w:t xml:space="preserve"> </w:t>
      </w:r>
      <w:r>
        <w:rPr>
          <w:rFonts w:ascii="Courier New" w:cs="Courier New" w:eastAsia="Courier New" w:hAnsi="Courier New"/>
          <w:sz w:val="13"/>
          <w:szCs w:val="13"/>
          <w:color w:val="auto"/>
        </w:rPr>
        <w:t>In addition to being named as a PRP in the above noted situations, the</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Company is subject to potential fines in connection with certain EPA labeling violations under</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the Federal Insecticide, Fungicide and Rodenticide Act (FIFRA).</w:t>
      </w:r>
      <w:r>
        <w:rPr>
          <w:sz w:val="20"/>
          <w:szCs w:val="20"/>
          <w:color w:val="auto"/>
        </w:rPr>
        <w:t xml:space="preserve"> </w:t>
      </w:r>
      <w:r>
        <w:rPr>
          <w:rFonts w:ascii="Courier New" w:cs="Courier New" w:eastAsia="Courier New" w:hAnsi="Courier New"/>
          <w:sz w:val="13"/>
          <w:szCs w:val="13"/>
          <w:color w:val="auto"/>
        </w:rPr>
        <w:t>The fines for such</w:t>
      </w:r>
    </w:p>
    <w:p>
      <w:pPr>
        <w:spacing w:after="0" w:line="157" w:lineRule="exact"/>
        <w:rPr>
          <w:sz w:val="20"/>
          <w:szCs w:val="20"/>
          <w:color w:val="auto"/>
        </w:rPr>
      </w:pPr>
    </w:p>
    <w:p>
      <w:pPr>
        <w:ind w:left="80" w:right="3979" w:hanging="79"/>
        <w:spacing w:after="0" w:line="247" w:lineRule="auto"/>
        <w:rPr>
          <w:sz w:val="20"/>
          <w:szCs w:val="20"/>
          <w:color w:val="auto"/>
        </w:rPr>
      </w:pPr>
      <w:r>
        <w:rPr>
          <w:rFonts w:ascii="Courier New" w:cs="Courier New" w:eastAsia="Courier New" w:hAnsi="Courier New"/>
          <w:sz w:val="13"/>
          <w:szCs w:val="13"/>
          <w:color w:val="auto"/>
        </w:rPr>
        <w:t>violations are based upon formulas as stated in FIFRA.</w:t>
      </w:r>
      <w:r>
        <w:rPr>
          <w:sz w:val="20"/>
          <w:szCs w:val="20"/>
          <w:color w:val="auto"/>
        </w:rPr>
        <w:t xml:space="preserve"> </w:t>
      </w:r>
      <w:r>
        <w:rPr>
          <w:rFonts w:ascii="Courier New" w:cs="Courier New" w:eastAsia="Courier New" w:hAnsi="Courier New"/>
          <w:sz w:val="13"/>
          <w:szCs w:val="13"/>
          <w:color w:val="auto"/>
        </w:rPr>
        <w:t>As determined by these formulas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Company's maximum exposure for the violations is approximately $810,000.</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The</w:t>
      </w:r>
    </w:p>
    <w:p>
      <w:pPr>
        <w:spacing w:after="0" w:line="7" w:lineRule="exact"/>
        <w:rPr>
          <w:sz w:val="20"/>
          <w:szCs w:val="20"/>
          <w:color w:val="auto"/>
        </w:rPr>
      </w:pPr>
    </w:p>
    <w:p>
      <w:pPr>
        <w:ind w:left="80" w:right="4459" w:hanging="79"/>
        <w:spacing w:after="0" w:line="251" w:lineRule="auto"/>
        <w:rPr>
          <w:sz w:val="20"/>
          <w:szCs w:val="20"/>
          <w:color w:val="auto"/>
        </w:rPr>
      </w:pPr>
      <w:r>
        <w:rPr>
          <w:rFonts w:ascii="Courier New" w:cs="Courier New" w:eastAsia="Courier New" w:hAnsi="Courier New"/>
          <w:sz w:val="13"/>
          <w:szCs w:val="13"/>
          <w:color w:val="auto"/>
        </w:rPr>
        <w:t>formulas allow for certain reductions of the fines based upon achievable levels of</w:t>
      </w:r>
    </w:p>
    <w:p>
      <w:pPr>
        <w:ind w:left="80" w:right="4459" w:hanging="79"/>
        <w:spacing w:after="0" w:line="251" w:lineRule="auto"/>
        <w:rPr>
          <w:sz w:val="20"/>
          <w:szCs w:val="20"/>
          <w:color w:val="auto"/>
        </w:rPr>
      </w:pPr>
      <w:r>
        <w:rPr>
          <w:rFonts w:ascii="Courier New" w:cs="Courier New" w:eastAsia="Courier New" w:hAnsi="Courier New"/>
          <w:sz w:val="13"/>
          <w:szCs w:val="13"/>
          <w:color w:val="auto"/>
        </w:rPr>
        <w:t>compliance.</w:t>
      </w:r>
      <w:r>
        <w:rPr>
          <w:sz w:val="20"/>
          <w:szCs w:val="20"/>
          <w:color w:val="auto"/>
        </w:rPr>
        <w:t xml:space="preserve"> </w:t>
      </w:r>
      <w:r>
        <w:rPr>
          <w:rFonts w:ascii="Courier New" w:cs="Courier New" w:eastAsia="Courier New" w:hAnsi="Courier New"/>
          <w:sz w:val="13"/>
          <w:szCs w:val="13"/>
          <w:color w:val="auto"/>
        </w:rPr>
        <w:t>Based upon management's assessment of anticipated levels of compliance, the</w:t>
      </w:r>
    </w:p>
    <w:p>
      <w:pPr>
        <w:ind w:left="80" w:right="4459" w:hanging="79"/>
        <w:spacing w:after="0" w:line="251" w:lineRule="auto"/>
        <w:rPr>
          <w:sz w:val="20"/>
          <w:szCs w:val="20"/>
          <w:color w:val="auto"/>
        </w:rPr>
      </w:pPr>
      <w:r>
        <w:rPr>
          <w:rFonts w:ascii="Courier New" w:cs="Courier New" w:eastAsia="Courier New" w:hAnsi="Courier New"/>
          <w:sz w:val="13"/>
          <w:szCs w:val="13"/>
          <w:color w:val="auto"/>
        </w:rPr>
        <w:t>Company's ultimate liability is estimated to be $200,000, which has been accrued in the</w:t>
      </w:r>
    </w:p>
    <w:p>
      <w:pPr>
        <w:spacing w:after="0"/>
        <w:rPr>
          <w:sz w:val="20"/>
          <w:szCs w:val="20"/>
          <w:color w:val="auto"/>
        </w:rPr>
      </w:pPr>
      <w:r>
        <w:rPr>
          <w:rFonts w:ascii="Courier New" w:cs="Courier New" w:eastAsia="Courier New" w:hAnsi="Courier New"/>
          <w:sz w:val="13"/>
          <w:szCs w:val="13"/>
          <w:color w:val="auto"/>
        </w:rPr>
        <w:t>financial statements.</w:t>
      </w:r>
    </w:p>
    <w:p>
      <w:pPr>
        <w:spacing w:after="0" w:line="161" w:lineRule="exact"/>
        <w:rPr>
          <w:sz w:val="20"/>
          <w:szCs w:val="20"/>
          <w:color w:val="auto"/>
        </w:rPr>
      </w:pPr>
    </w:p>
    <w:p>
      <w:pPr>
        <w:ind w:left="640" w:hanging="638"/>
        <w:spacing w:after="0"/>
        <w:tabs>
          <w:tab w:leader="none" w:pos="64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Accounting Issues</w:t>
      </w:r>
    </w:p>
    <w:p>
      <w:pPr>
        <w:spacing w:after="0" w:line="161" w:lineRule="exact"/>
        <w:rPr>
          <w:sz w:val="20"/>
          <w:szCs w:val="20"/>
          <w:color w:val="auto"/>
        </w:rPr>
      </w:pPr>
    </w:p>
    <w:p>
      <w:pPr>
        <w:ind w:left="640"/>
        <w:spacing w:after="0"/>
        <w:rPr>
          <w:sz w:val="20"/>
          <w:szCs w:val="20"/>
          <w:color w:val="auto"/>
        </w:rPr>
      </w:pPr>
      <w:r>
        <w:rPr>
          <w:rFonts w:ascii="Courier New" w:cs="Courier New" w:eastAsia="Courier New" w:hAnsi="Courier New"/>
          <w:sz w:val="13"/>
          <w:szCs w:val="13"/>
          <w:color w:val="auto"/>
        </w:rPr>
        <w:t>In November 1992, the Financial Accounting Standards Board issued SFAS No.</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112,</w:t>
      </w:r>
    </w:p>
    <w:p>
      <w:pPr>
        <w:spacing w:after="0" w:line="7" w:lineRule="exact"/>
        <w:rPr>
          <w:sz w:val="20"/>
          <w:szCs w:val="20"/>
          <w:color w:val="auto"/>
        </w:rPr>
      </w:pPr>
    </w:p>
    <w:p>
      <w:pPr>
        <w:ind w:left="80" w:right="4699" w:hanging="79"/>
        <w:spacing w:after="0" w:line="251" w:lineRule="auto"/>
        <w:rPr>
          <w:sz w:val="20"/>
          <w:szCs w:val="20"/>
          <w:color w:val="auto"/>
        </w:rPr>
      </w:pPr>
      <w:r>
        <w:rPr>
          <w:rFonts w:ascii="Courier New" w:cs="Courier New" w:eastAsia="Courier New" w:hAnsi="Courier New"/>
          <w:sz w:val="13"/>
          <w:szCs w:val="13"/>
          <w:color w:val="auto"/>
        </w:rPr>
        <w:t>"Employers Accounting for Postemployment Benefits," which changes the prevalent method</w:t>
      </w:r>
    </w:p>
    <w:p>
      <w:pPr>
        <w:spacing w:after="0"/>
        <w:rPr>
          <w:sz w:val="20"/>
          <w:szCs w:val="20"/>
          <w:color w:val="auto"/>
        </w:rPr>
      </w:pPr>
      <w:r>
        <w:rPr>
          <w:rFonts w:ascii="Courier New" w:cs="Courier New" w:eastAsia="Courier New" w:hAnsi="Courier New"/>
          <w:sz w:val="13"/>
          <w:szCs w:val="13"/>
          <w:color w:val="auto"/>
        </w:rPr>
        <w:t>of accounting for benefits provided after employment but before retirement.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The Company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required to adopt SFAS No. 112 no later than the first quarter of fiscal 1995.</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Management is</w:t>
      </w:r>
    </w:p>
    <w:p>
      <w:pPr>
        <w:spacing w:after="0" w:line="7"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currently evaluating the provisions of SFAS No. 112 and, at this time, the effect of adopting</w:t>
      </w:r>
    </w:p>
    <w:p>
      <w:pPr>
        <w:spacing w:after="0"/>
        <w:rPr>
          <w:sz w:val="20"/>
          <w:szCs w:val="20"/>
          <w:color w:val="auto"/>
        </w:rPr>
      </w:pPr>
      <w:r>
        <w:rPr>
          <w:rFonts w:ascii="Courier New" w:cs="Courier New" w:eastAsia="Courier New" w:hAnsi="Courier New"/>
          <w:sz w:val="13"/>
          <w:szCs w:val="13"/>
          <w:color w:val="auto"/>
        </w:rPr>
        <w:t>SFAS No. 112 has not been determined.</w:t>
      </w:r>
    </w:p>
    <w:p>
      <w:pPr>
        <w:spacing w:after="0" w:line="161" w:lineRule="exact"/>
        <w:rPr>
          <w:sz w:val="20"/>
          <w:szCs w:val="20"/>
          <w:color w:val="auto"/>
        </w:rPr>
      </w:pPr>
    </w:p>
    <w:p>
      <w:pPr>
        <w:ind w:left="80" w:right="3819" w:hanging="78"/>
        <w:spacing w:after="0" w:line="251" w:lineRule="auto"/>
        <w:tabs>
          <w:tab w:leader="none" w:pos="641"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July 19, 1994, the Company issued $100,000,000 of Senior Subordinated Notes at</w:t>
      </w:r>
    </w:p>
    <w:p>
      <w:pPr>
        <w:ind w:left="80" w:right="4299" w:hanging="79"/>
        <w:spacing w:after="0" w:line="247" w:lineRule="auto"/>
        <w:rPr>
          <w:sz w:val="20"/>
          <w:szCs w:val="20"/>
          <w:color w:val="auto"/>
        </w:rPr>
      </w:pPr>
      <w:r>
        <w:rPr>
          <w:rFonts w:ascii="Courier New" w:cs="Courier New" w:eastAsia="Courier New" w:hAnsi="Courier New"/>
          <w:sz w:val="13"/>
          <w:szCs w:val="13"/>
          <w:color w:val="auto"/>
        </w:rPr>
        <w:t>9 7/8% due August 1, 2004.</w:t>
      </w:r>
      <w:r>
        <w:rPr>
          <w:sz w:val="20"/>
          <w:szCs w:val="20"/>
          <w:color w:val="auto"/>
        </w:rPr>
        <w:t xml:space="preserve"> </w:t>
      </w:r>
      <w:r>
        <w:rPr>
          <w:rFonts w:ascii="Courier New" w:cs="Courier New" w:eastAsia="Courier New" w:hAnsi="Courier New"/>
          <w:sz w:val="13"/>
          <w:szCs w:val="13"/>
          <w:color w:val="auto"/>
        </w:rPr>
        <w:t>The net proceeds of the notes of approximately $96,400,000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were used to reduce term loans.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10</w:t>
      </w:r>
    </w:p>
    <w:p>
      <w:pPr>
        <w:spacing w:after="0" w:line="315" w:lineRule="exact"/>
        <w:rPr>
          <w:sz w:val="20"/>
          <w:szCs w:val="20"/>
          <w:color w:val="auto"/>
        </w:rPr>
      </w:pPr>
    </w:p>
    <w:p>
      <w:pPr>
        <w:ind w:left="640"/>
        <w:spacing w:after="0"/>
        <w:tabs>
          <w:tab w:leader="none" w:pos="1340" w:val="left"/>
        </w:tabs>
        <w:rPr>
          <w:sz w:val="20"/>
          <w:szCs w:val="20"/>
          <w:color w:val="auto"/>
        </w:rPr>
      </w:pPr>
      <w:r>
        <w:rPr>
          <w:rFonts w:ascii="Courier New" w:cs="Courier New" w:eastAsia="Courier New" w:hAnsi="Courier New"/>
          <w:sz w:val="13"/>
          <w:szCs w:val="13"/>
          <w:color w:val="auto"/>
        </w:rPr>
        <w:t>ITEM 2.</w:t>
        <w:tab/>
        <w:t>MANAGEMENT'S DISCUSSION AND ANALYSIS OF</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3"/>
          <w:szCs w:val="13"/>
          <w:color w:val="auto"/>
        </w:rPr>
        <w:t>FINANCIAL CONDITION AND RESULTS OF OPERATIONS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Results of Operations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Three Months Ended July 2, 1994 versus Three Months Ended July 3, 1993.</w:t>
      </w:r>
    </w:p>
    <w:p>
      <w:pPr>
        <w:sectPr>
          <w:pgSz w:w="11900" w:h="16838" w:orient="portrait"/>
          <w:cols w:equalWidth="0" w:num="1">
            <w:col w:w="10239"/>
          </w:cols>
          <w:pgMar w:left="220" w:top="141" w:right="1440" w:bottom="0" w:gutter="0" w:footer="0" w:header="0"/>
        </w:sectPr>
      </w:pPr>
    </w:p>
    <w:bookmarkStart w:id="7" w:name="page8"/>
    <w:bookmarkEnd w:id="7"/>
    <w:p>
      <w:pPr>
        <w:spacing w:after="0" w:line="8"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Net sales of $200,915,000 increased by $44,588,000 or approximately 28.5%, primarily due to</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increased volume.</w:t>
      </w:r>
      <w:r>
        <w:rPr>
          <w:sz w:val="20"/>
          <w:szCs w:val="20"/>
          <w:color w:val="auto"/>
        </w:rPr>
        <w:t xml:space="preserve"> </w:t>
      </w:r>
      <w:r>
        <w:rPr>
          <w:rFonts w:ascii="Courier New" w:cs="Courier New" w:eastAsia="Courier New" w:hAnsi="Courier New"/>
          <w:sz w:val="13"/>
          <w:szCs w:val="13"/>
          <w:color w:val="auto"/>
        </w:rPr>
        <w:t>The increase included $32,570,000 of sales from Scott-Sierra Horticultural</w:t>
      </w:r>
    </w:p>
    <w:p>
      <w:pPr>
        <w:spacing w:after="0" w:line="15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Products Company ("Sierra") which was acquired by the Company on December 16, 1993. On a</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proforma basis that includes Sierra sales on a historical basis and assuming the acquisition had</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occurred on October 1, 1992, sales increased by 8% for the quarter.</w:t>
      </w:r>
      <w:r>
        <w:rPr>
          <w:sz w:val="20"/>
          <w:szCs w:val="20"/>
          <w:color w:val="auto"/>
        </w:rPr>
        <w:t xml:space="preserve"> </w:t>
      </w:r>
      <w:r>
        <w:rPr>
          <w:rFonts w:ascii="Courier New" w:cs="Courier New" w:eastAsia="Courier New" w:hAnsi="Courier New"/>
          <w:sz w:val="13"/>
          <w:szCs w:val="13"/>
          <w:color w:val="auto"/>
        </w:rPr>
        <w:t>Net sales for the Consumer</w:t>
      </w:r>
    </w:p>
    <w:p>
      <w:pPr>
        <w:spacing w:after="0" w:line="157" w:lineRule="exact"/>
        <w:rPr>
          <w:sz w:val="20"/>
          <w:szCs w:val="20"/>
          <w:color w:val="auto"/>
        </w:rPr>
      </w:pPr>
    </w:p>
    <w:p>
      <w:pPr>
        <w:ind w:left="80" w:right="3979" w:hanging="79"/>
        <w:spacing w:after="0" w:line="247" w:lineRule="auto"/>
        <w:rPr>
          <w:sz w:val="20"/>
          <w:szCs w:val="20"/>
          <w:color w:val="auto"/>
        </w:rPr>
      </w:pPr>
      <w:r>
        <w:rPr>
          <w:rFonts w:ascii="Courier New" w:cs="Courier New" w:eastAsia="Courier New" w:hAnsi="Courier New"/>
          <w:sz w:val="13"/>
          <w:szCs w:val="13"/>
          <w:color w:val="auto"/>
        </w:rPr>
        <w:t>Business Group increased 6.1% to $144,200,000.</w:t>
      </w:r>
      <w:r>
        <w:rPr>
          <w:sz w:val="20"/>
          <w:szCs w:val="20"/>
          <w:color w:val="auto"/>
        </w:rPr>
        <w:t xml:space="preserve"> </w:t>
      </w:r>
      <w:r>
        <w:rPr>
          <w:rFonts w:ascii="Courier New" w:cs="Courier New" w:eastAsia="Courier New" w:hAnsi="Courier New"/>
          <w:sz w:val="13"/>
          <w:szCs w:val="13"/>
          <w:color w:val="auto"/>
        </w:rPr>
        <w:t>Net sales for the Professional Business Group</w:t>
      </w:r>
    </w:p>
    <w:p>
      <w:pPr>
        <w:spacing w:after="0" w:line="157" w:lineRule="exact"/>
        <w:rPr>
          <w:sz w:val="20"/>
          <w:szCs w:val="20"/>
          <w:color w:val="auto"/>
        </w:rPr>
      </w:pPr>
    </w:p>
    <w:p>
      <w:pPr>
        <w:ind w:left="80" w:right="4379" w:hanging="79"/>
        <w:spacing w:after="0" w:line="251" w:lineRule="auto"/>
        <w:rPr>
          <w:sz w:val="20"/>
          <w:szCs w:val="20"/>
          <w:color w:val="auto"/>
        </w:rPr>
      </w:pPr>
      <w:r>
        <w:rPr>
          <w:rFonts w:ascii="Courier New" w:cs="Courier New" w:eastAsia="Courier New" w:hAnsi="Courier New"/>
          <w:sz w:val="13"/>
          <w:szCs w:val="13"/>
          <w:color w:val="auto"/>
        </w:rPr>
        <w:t>increased 14.7% to $22,641,000, led by a strong increase in sales to golf courses. Composting</w:t>
      </w:r>
    </w:p>
    <w:p>
      <w:pPr>
        <w:ind w:left="80" w:right="4379" w:hanging="79"/>
        <w:spacing w:after="0" w:line="251" w:lineRule="auto"/>
        <w:rPr>
          <w:sz w:val="20"/>
          <w:szCs w:val="20"/>
          <w:color w:val="auto"/>
        </w:rPr>
      </w:pPr>
      <w:r>
        <w:rPr>
          <w:rFonts w:ascii="Courier New" w:cs="Courier New" w:eastAsia="Courier New" w:hAnsi="Courier New"/>
          <w:sz w:val="13"/>
          <w:szCs w:val="13"/>
          <w:color w:val="auto"/>
        </w:rPr>
        <w:t>revenues of $1,504,000 more than doubled from $734,000 for the comparable period last year.</w:t>
      </w:r>
    </w:p>
    <w:p>
      <w:pPr>
        <w:ind w:left="80" w:right="3979" w:hanging="79"/>
        <w:spacing w:after="0" w:line="254" w:lineRule="auto"/>
        <w:rPr>
          <w:sz w:val="20"/>
          <w:szCs w:val="20"/>
          <w:color w:val="auto"/>
        </w:rPr>
      </w:pPr>
      <w:r>
        <w:rPr>
          <w:rFonts w:ascii="Courier New" w:cs="Courier New" w:eastAsia="Courier New" w:hAnsi="Courier New"/>
          <w:sz w:val="13"/>
          <w:szCs w:val="13"/>
          <w:color w:val="auto"/>
        </w:rPr>
        <w:t>The Company now has composting operations in 17 sites, almost twice last years number of sites.</w:t>
      </w:r>
    </w:p>
    <w:p>
      <w:pPr>
        <w:spacing w:after="0" w:line="151"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Cost of sales represented 52.0% of net sales reflecting a slight improvement over 52.1% for the</w:t>
      </w:r>
    </w:p>
    <w:p>
      <w:pPr>
        <w:spacing w:after="0"/>
        <w:rPr>
          <w:sz w:val="20"/>
          <w:szCs w:val="20"/>
          <w:color w:val="auto"/>
        </w:rPr>
      </w:pPr>
      <w:r>
        <w:rPr>
          <w:rFonts w:ascii="Courier New" w:cs="Courier New" w:eastAsia="Courier New" w:hAnsi="Courier New"/>
          <w:sz w:val="13"/>
          <w:szCs w:val="13"/>
          <w:color w:val="auto"/>
        </w:rPr>
        <w:t>comparable period last year.</w:t>
      </w:r>
    </w:p>
    <w:p>
      <w:pPr>
        <w:spacing w:after="0" w:line="161"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Operating expenses of $74,090,000 increased by $15,608,000 or approximately 26.7%. The</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increase was caused in significant part by the inclusion of Sierra operating expenses this year.</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The increase was also caused, to a lesser degree by increased freight costs due to higher sales</w:t>
      </w:r>
    </w:p>
    <w:p>
      <w:pPr>
        <w:ind w:left="80" w:right="4459" w:hanging="79"/>
        <w:spacing w:after="0" w:line="251" w:lineRule="auto"/>
        <w:rPr>
          <w:sz w:val="20"/>
          <w:szCs w:val="20"/>
          <w:color w:val="auto"/>
        </w:rPr>
      </w:pPr>
      <w:r>
        <w:rPr>
          <w:rFonts w:ascii="Courier New" w:cs="Courier New" w:eastAsia="Courier New" w:hAnsi="Courier New"/>
          <w:sz w:val="13"/>
          <w:szCs w:val="13"/>
          <w:color w:val="auto"/>
        </w:rPr>
        <w:t>and by higher marketing expenses which reflected the Company's increased spending for national</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advertising and promotion programs.</w:t>
      </w:r>
      <w:r>
        <w:rPr>
          <w:sz w:val="20"/>
          <w:szCs w:val="20"/>
          <w:color w:val="auto"/>
        </w:rPr>
        <w:t xml:space="preserve"> </w:t>
      </w:r>
      <w:r>
        <w:rPr>
          <w:rFonts w:ascii="Courier New" w:cs="Courier New" w:eastAsia="Courier New" w:hAnsi="Courier New"/>
          <w:sz w:val="13"/>
          <w:szCs w:val="13"/>
          <w:color w:val="auto"/>
        </w:rPr>
        <w:t>The increase was partly offset by reduced general and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administrative expenses, exclusive of Sierra expenses, for the quarter.</w:t>
      </w:r>
    </w:p>
    <w:p>
      <w:pPr>
        <w:spacing w:after="0" w:line="161"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Interest expense of $4,749,000 increased by $2,384,000 or approximately 100.8%, principally due</w:t>
      </w:r>
    </w:p>
    <w:p>
      <w:pPr>
        <w:ind w:left="80" w:right="4219" w:hanging="79"/>
        <w:spacing w:after="0" w:line="254" w:lineRule="auto"/>
        <w:rPr>
          <w:sz w:val="20"/>
          <w:szCs w:val="20"/>
          <w:color w:val="auto"/>
        </w:rPr>
      </w:pPr>
      <w:r>
        <w:rPr>
          <w:rFonts w:ascii="Courier New" w:cs="Courier New" w:eastAsia="Courier New" w:hAnsi="Courier New"/>
          <w:sz w:val="13"/>
          <w:szCs w:val="13"/>
          <w:color w:val="auto"/>
        </w:rPr>
        <w:t>an increase in borrowing levels resulting from the acquisition of Sierra in December, 1993.</w:t>
      </w:r>
    </w:p>
    <w:p>
      <w:pPr>
        <w:spacing w:after="0" w:line="151" w:lineRule="exact"/>
        <w:rPr>
          <w:sz w:val="20"/>
          <w:szCs w:val="20"/>
          <w:color w:val="auto"/>
        </w:rPr>
      </w:pPr>
    </w:p>
    <w:p>
      <w:pPr>
        <w:ind w:left="80" w:right="4059" w:hanging="79"/>
        <w:spacing w:after="0" w:line="247" w:lineRule="auto"/>
        <w:rPr>
          <w:sz w:val="20"/>
          <w:szCs w:val="20"/>
          <w:color w:val="auto"/>
        </w:rPr>
      </w:pPr>
      <w:r>
        <w:rPr>
          <w:rFonts w:ascii="Courier New" w:cs="Courier New" w:eastAsia="Courier New" w:hAnsi="Courier New"/>
          <w:sz w:val="13"/>
          <w:szCs w:val="13"/>
          <w:color w:val="auto"/>
        </w:rPr>
        <w:t>Net income of $9,405,000 increased by $1,419,000 or approximately 17.8%.</w:t>
      </w:r>
      <w:r>
        <w:rPr>
          <w:sz w:val="20"/>
          <w:szCs w:val="20"/>
          <w:color w:val="auto"/>
        </w:rPr>
        <w:t xml:space="preserve"> </w:t>
      </w:r>
      <w:r>
        <w:rPr>
          <w:rFonts w:ascii="Courier New" w:cs="Courier New" w:eastAsia="Courier New" w:hAnsi="Courier New"/>
          <w:sz w:val="13"/>
          <w:szCs w:val="13"/>
          <w:color w:val="auto"/>
        </w:rPr>
        <w:t>The increase was</w:t>
      </w:r>
    </w:p>
    <w:p>
      <w:pPr>
        <w:spacing w:after="0" w:line="157"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primarily attributable to increased operating income this year which was partly offset by higher</w:t>
      </w:r>
    </w:p>
    <w:p>
      <w:pPr>
        <w:spacing w:after="0"/>
        <w:rPr>
          <w:sz w:val="20"/>
          <w:szCs w:val="20"/>
          <w:color w:val="auto"/>
        </w:rPr>
      </w:pPr>
      <w:r>
        <w:rPr>
          <w:rFonts w:ascii="Courier New" w:cs="Courier New" w:eastAsia="Courier New" w:hAnsi="Courier New"/>
          <w:sz w:val="13"/>
          <w:szCs w:val="13"/>
          <w:color w:val="auto"/>
        </w:rPr>
        <w:t>interest expense and income taxes.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Nine Months Ended July 2, 1994 versus Nine Months Ended July 3, 1993.</w:t>
      </w:r>
    </w:p>
    <w:p>
      <w:pPr>
        <w:spacing w:after="0" w:line="161" w:lineRule="exact"/>
        <w:rPr>
          <w:sz w:val="20"/>
          <w:szCs w:val="20"/>
          <w:color w:val="auto"/>
        </w:rPr>
      </w:pPr>
    </w:p>
    <w:p>
      <w:pPr>
        <w:ind w:left="80" w:right="4379" w:hanging="79"/>
        <w:spacing w:after="0" w:line="251" w:lineRule="auto"/>
        <w:rPr>
          <w:sz w:val="20"/>
          <w:szCs w:val="20"/>
          <w:color w:val="auto"/>
        </w:rPr>
      </w:pPr>
      <w:r>
        <w:rPr>
          <w:rFonts w:ascii="Courier New" w:cs="Courier New" w:eastAsia="Courier New" w:hAnsi="Courier New"/>
          <w:sz w:val="13"/>
          <w:szCs w:val="13"/>
          <w:color w:val="auto"/>
        </w:rPr>
        <w:t>Net sales of $476,665,000 increased by $91,479,000 or approximately 23.7% primarily due to</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increased volume.</w:t>
      </w:r>
      <w:r>
        <w:rPr>
          <w:sz w:val="20"/>
          <w:szCs w:val="20"/>
          <w:color w:val="auto"/>
        </w:rPr>
        <w:t xml:space="preserve"> </w:t>
      </w:r>
      <w:r>
        <w:rPr>
          <w:rFonts w:ascii="Courier New" w:cs="Courier New" w:eastAsia="Courier New" w:hAnsi="Courier New"/>
          <w:sz w:val="13"/>
          <w:szCs w:val="13"/>
          <w:color w:val="auto"/>
        </w:rPr>
        <w:t>The increase included $76,594,000 of sales from Sierra. On a proforma basis</w:t>
      </w:r>
    </w:p>
    <w:p>
      <w:pPr>
        <w:spacing w:after="0" w:line="15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that includes Sierra sales on a historical basis and assuming the acquisition had occurred on</w:t>
      </w:r>
    </w:p>
    <w:p>
      <w:pPr>
        <w:ind w:left="80" w:right="4539" w:hanging="79"/>
        <w:spacing w:after="0" w:line="247" w:lineRule="auto"/>
        <w:rPr>
          <w:sz w:val="20"/>
          <w:szCs w:val="20"/>
          <w:color w:val="auto"/>
        </w:rPr>
      </w:pPr>
      <w:r>
        <w:rPr>
          <w:rFonts w:ascii="Courier New" w:cs="Courier New" w:eastAsia="Courier New" w:hAnsi="Courier New"/>
          <w:sz w:val="13"/>
          <w:szCs w:val="13"/>
          <w:color w:val="auto"/>
        </w:rPr>
        <w:t>October 1, 1992, sales for the nine months increased by 4.3%.</w:t>
      </w:r>
      <w:r>
        <w:rPr>
          <w:sz w:val="20"/>
          <w:szCs w:val="20"/>
          <w:color w:val="auto"/>
        </w:rPr>
        <w:t xml:space="preserve"> </w:t>
      </w:r>
      <w:r>
        <w:rPr>
          <w:rFonts w:ascii="Courier New" w:cs="Courier New" w:eastAsia="Courier New" w:hAnsi="Courier New"/>
          <w:sz w:val="13"/>
          <w:szCs w:val="13"/>
          <w:color w:val="auto"/>
        </w:rPr>
        <w:t>Consumer Business Group sales</w:t>
      </w:r>
    </w:p>
    <w:p>
      <w:pPr>
        <w:spacing w:after="0" w:line="157" w:lineRule="exact"/>
        <w:rPr>
          <w:sz w:val="20"/>
          <w:szCs w:val="20"/>
          <w:color w:val="auto"/>
        </w:rPr>
      </w:pPr>
    </w:p>
    <w:p>
      <w:pPr>
        <w:ind w:left="80" w:right="4619" w:hanging="79"/>
        <w:spacing w:after="0" w:line="247" w:lineRule="auto"/>
        <w:rPr>
          <w:sz w:val="20"/>
          <w:szCs w:val="20"/>
          <w:color w:val="auto"/>
        </w:rPr>
      </w:pPr>
      <w:r>
        <w:rPr>
          <w:rFonts w:ascii="Courier New" w:cs="Courier New" w:eastAsia="Courier New" w:hAnsi="Courier New"/>
          <w:sz w:val="13"/>
          <w:szCs w:val="13"/>
          <w:color w:val="auto"/>
        </w:rPr>
        <w:t>increased by 4.1% to $339,875,000.</w:t>
      </w:r>
      <w:r>
        <w:rPr>
          <w:sz w:val="20"/>
          <w:szCs w:val="20"/>
          <w:color w:val="auto"/>
        </w:rPr>
        <w:t xml:space="preserve"> </w:t>
      </w:r>
      <w:r>
        <w:rPr>
          <w:rFonts w:ascii="Courier New" w:cs="Courier New" w:eastAsia="Courier New" w:hAnsi="Courier New"/>
          <w:sz w:val="13"/>
          <w:szCs w:val="13"/>
          <w:color w:val="auto"/>
        </w:rPr>
        <w:t>Sales continued to be particularly strong through mass</w:t>
      </w:r>
    </w:p>
    <w:p>
      <w:pPr>
        <w:spacing w:after="0" w:line="15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merchandisers, with sales for the nine months up 15.2% in the three largest national accounts and</w:t>
      </w:r>
    </w:p>
    <w:p>
      <w:pPr>
        <w:ind w:left="80" w:right="4059" w:hanging="79"/>
        <w:spacing w:after="0" w:line="247" w:lineRule="auto"/>
        <w:rPr>
          <w:sz w:val="20"/>
          <w:szCs w:val="20"/>
          <w:color w:val="auto"/>
        </w:rPr>
      </w:pPr>
      <w:r>
        <w:rPr>
          <w:rFonts w:ascii="Courier New" w:cs="Courier New" w:eastAsia="Courier New" w:hAnsi="Courier New"/>
          <w:sz w:val="13"/>
          <w:szCs w:val="13"/>
          <w:color w:val="auto"/>
        </w:rPr>
        <w:t>9.6% in the ten largest national accounts.</w:t>
      </w:r>
      <w:r>
        <w:rPr>
          <w:sz w:val="20"/>
          <w:szCs w:val="20"/>
          <w:color w:val="auto"/>
        </w:rPr>
        <w:t xml:space="preserve"> </w:t>
      </w:r>
      <w:r>
        <w:rPr>
          <w:rFonts w:ascii="Courier New" w:cs="Courier New" w:eastAsia="Courier New" w:hAnsi="Courier New"/>
          <w:sz w:val="13"/>
          <w:szCs w:val="13"/>
          <w:color w:val="auto"/>
        </w:rPr>
        <w:t>Professional Business Group sales of $56,662,000</w:t>
      </w:r>
    </w:p>
    <w:p>
      <w:pPr>
        <w:spacing w:after="0" w:line="15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were down just slightly from $57,024,000 for the comparable period last year due to a steady</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increase in sales over the second and third fiscal quarters offsetting lower than expected sales in</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the first quarter.</w:t>
      </w:r>
      <w:r>
        <w:rPr>
          <w:sz w:val="20"/>
          <w:szCs w:val="20"/>
          <w:color w:val="auto"/>
        </w:rPr>
        <w:t xml:space="preserve"> </w:t>
      </w:r>
      <w:r>
        <w:rPr>
          <w:rFonts w:ascii="Courier New" w:cs="Courier New" w:eastAsia="Courier New" w:hAnsi="Courier New"/>
          <w:sz w:val="13"/>
          <w:szCs w:val="13"/>
          <w:color w:val="auto"/>
        </w:rPr>
        <w:t>Composting revenues of $3,534,000 increased by $1,951,000, a 123.2%</w:t>
      </w:r>
    </w:p>
    <w:p>
      <w:pPr>
        <w:spacing w:after="0" w:line="157" w:lineRule="exact"/>
        <w:rPr>
          <w:sz w:val="20"/>
          <w:szCs w:val="20"/>
          <w:color w:val="auto"/>
        </w:rPr>
      </w:pPr>
    </w:p>
    <w:p>
      <w:pPr>
        <w:ind w:left="80" w:right="3979" w:hanging="79"/>
        <w:spacing w:after="0" w:line="254" w:lineRule="auto"/>
        <w:rPr>
          <w:sz w:val="20"/>
          <w:szCs w:val="20"/>
          <w:color w:val="auto"/>
        </w:rPr>
      </w:pPr>
      <w:r>
        <w:rPr>
          <w:rFonts w:ascii="Courier New" w:cs="Courier New" w:eastAsia="Courier New" w:hAnsi="Courier New"/>
          <w:sz w:val="13"/>
          <w:szCs w:val="13"/>
          <w:color w:val="auto"/>
        </w:rPr>
        <w:t>increase from last year, reflecting the increase in composting sites which are now in operation.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Cost of sales represented 52.7% of net sales compared with 52.2% last year.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The increase was</w:t>
      </w:r>
    </w:p>
    <w:p>
      <w:pPr>
        <w:spacing w:after="0" w:line="7" w:lineRule="exact"/>
        <w:rPr>
          <w:sz w:val="20"/>
          <w:szCs w:val="20"/>
          <w:color w:val="auto"/>
        </w:rPr>
      </w:pPr>
    </w:p>
    <w:p>
      <w:pPr>
        <w:ind w:left="80" w:right="3979" w:hanging="79"/>
        <w:spacing w:after="0" w:line="251" w:lineRule="auto"/>
        <w:rPr>
          <w:sz w:val="20"/>
          <w:szCs w:val="20"/>
          <w:color w:val="auto"/>
        </w:rPr>
      </w:pPr>
      <w:r>
        <w:rPr>
          <w:rFonts w:ascii="Courier New" w:cs="Courier New" w:eastAsia="Courier New" w:hAnsi="Courier New"/>
          <w:sz w:val="13"/>
          <w:szCs w:val="13"/>
          <w:color w:val="auto"/>
        </w:rPr>
        <w:t>principally caused by a delay in the start-up of a new line of spreaders which affected margins in</w:t>
      </w:r>
    </w:p>
    <w:p>
      <w:pPr>
        <w:ind w:left="80" w:right="4379" w:hanging="79"/>
        <w:spacing w:after="0" w:line="247" w:lineRule="auto"/>
        <w:rPr>
          <w:sz w:val="20"/>
          <w:szCs w:val="20"/>
          <w:color w:val="auto"/>
        </w:rPr>
      </w:pPr>
      <w:r>
        <w:rPr>
          <w:rFonts w:ascii="Courier New" w:cs="Courier New" w:eastAsia="Courier New" w:hAnsi="Courier New"/>
          <w:sz w:val="13"/>
          <w:szCs w:val="13"/>
          <w:color w:val="auto"/>
        </w:rPr>
        <w:t>the first two fiscal quarters.</w:t>
      </w:r>
      <w:r>
        <w:rPr>
          <w:sz w:val="20"/>
          <w:szCs w:val="20"/>
          <w:color w:val="auto"/>
        </w:rPr>
        <w:t xml:space="preserve"> </w:t>
      </w:r>
      <w:r>
        <w:rPr>
          <w:rFonts w:ascii="Courier New" w:cs="Courier New" w:eastAsia="Courier New" w:hAnsi="Courier New"/>
          <w:sz w:val="13"/>
          <w:szCs w:val="13"/>
          <w:color w:val="auto"/>
        </w:rPr>
        <w:t>These initial start-up problems have been resolved and production of</w:t>
      </w:r>
    </w:p>
    <w:p>
      <w:pPr>
        <w:spacing w:after="0" w:line="157" w:lineRule="exact"/>
        <w:rPr>
          <w:sz w:val="20"/>
          <w:szCs w:val="20"/>
          <w:color w:val="auto"/>
        </w:rPr>
      </w:pPr>
    </w:p>
    <w:p>
      <w:pPr>
        <w:ind w:left="80" w:right="4139" w:hanging="79"/>
        <w:spacing w:after="0" w:line="247" w:lineRule="auto"/>
        <w:rPr>
          <w:sz w:val="20"/>
          <w:szCs w:val="20"/>
          <w:color w:val="auto"/>
        </w:rPr>
      </w:pPr>
      <w:r>
        <w:rPr>
          <w:rFonts w:ascii="Courier New" w:cs="Courier New" w:eastAsia="Courier New" w:hAnsi="Courier New"/>
          <w:sz w:val="13"/>
          <w:szCs w:val="13"/>
          <w:color w:val="auto"/>
        </w:rPr>
        <w:t>the new line of spreaders is proceeding according to plan.</w:t>
      </w:r>
      <w:r>
        <w:rPr>
          <w:sz w:val="20"/>
          <w:szCs w:val="20"/>
          <w:color w:val="auto"/>
        </w:rPr>
        <w:t xml:space="preserve"> </w:t>
      </w:r>
      <w:r>
        <w:rPr>
          <w:rFonts w:ascii="Courier New" w:cs="Courier New" w:eastAsia="Courier New" w:hAnsi="Courier New"/>
          <w:sz w:val="13"/>
          <w:szCs w:val="13"/>
          <w:color w:val="auto"/>
        </w:rPr>
        <w:t>The increase was also caused, in part,</w:t>
      </w:r>
    </w:p>
    <w:p>
      <w:pPr>
        <w:spacing w:after="0" w:line="15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by lower than expected margins due to unfavorable price and mix of organics products sold earlier</w:t>
      </w:r>
    </w:p>
    <w:p>
      <w:pPr>
        <w:spacing w:after="0"/>
        <w:rPr>
          <w:sz w:val="20"/>
          <w:szCs w:val="20"/>
          <w:color w:val="auto"/>
        </w:rPr>
      </w:pPr>
      <w:r>
        <w:rPr>
          <w:rFonts w:ascii="Courier New" w:cs="Courier New" w:eastAsia="Courier New" w:hAnsi="Courier New"/>
          <w:sz w:val="13"/>
          <w:szCs w:val="13"/>
          <w:color w:val="auto"/>
        </w:rPr>
        <w:t>in the year.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11</w:t>
      </w:r>
    </w:p>
    <w:p>
      <w:pPr>
        <w:spacing w:after="0" w:line="200" w:lineRule="exact"/>
        <w:rPr>
          <w:sz w:val="20"/>
          <w:szCs w:val="20"/>
          <w:color w:val="auto"/>
        </w:rPr>
      </w:pPr>
    </w:p>
    <w:p>
      <w:pPr>
        <w:spacing w:after="0" w:line="270"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Operating expenses of $175,144,000 increased by $30,139,000 or approximately 20.8%. The</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increase was caused in significant part by the inclusion of Sierra operating expenses this year.</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The increase was also caused to a lesser degree by increased freight costs due to higher sales</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for the period and by increased spending for national advertising programs and was offset in part</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by decreased general and administrative expenses, exclusive of Sierra expenses, which were</w:t>
      </w:r>
    </w:p>
    <w:p>
      <w:pPr>
        <w:spacing w:after="0"/>
        <w:rPr>
          <w:sz w:val="20"/>
          <w:szCs w:val="20"/>
          <w:color w:val="auto"/>
        </w:rPr>
      </w:pPr>
      <w:r>
        <w:rPr>
          <w:rFonts w:ascii="Courier New" w:cs="Courier New" w:eastAsia="Courier New" w:hAnsi="Courier New"/>
          <w:sz w:val="13"/>
          <w:szCs w:val="13"/>
          <w:color w:val="auto"/>
        </w:rPr>
        <w:t>managed at a lower level this year.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Interest expense of $12,306,000 increased by $5,498,000 or approximately 80.8%.</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The increase</w:t>
      </w:r>
    </w:p>
    <w:p>
      <w:pPr>
        <w:spacing w:after="0" w:line="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was principally due to increased borrowing levels for the Sierra acquisition and also caused, in</w:t>
      </w:r>
    </w:p>
    <w:p>
      <w:pPr>
        <w:ind w:left="80" w:right="4059" w:hanging="79"/>
        <w:spacing w:after="0" w:line="254" w:lineRule="auto"/>
        <w:rPr>
          <w:sz w:val="20"/>
          <w:szCs w:val="20"/>
          <w:color w:val="auto"/>
        </w:rPr>
      </w:pPr>
      <w:r>
        <w:rPr>
          <w:rFonts w:ascii="Courier New" w:cs="Courier New" w:eastAsia="Courier New" w:hAnsi="Courier New"/>
          <w:sz w:val="13"/>
          <w:szCs w:val="13"/>
          <w:color w:val="auto"/>
        </w:rPr>
        <w:t>part, by purchase of a block of Scotts' Class A Common Stock in February 1993 (as discussed in</w:t>
      </w:r>
    </w:p>
    <w:p>
      <w:pPr>
        <w:sectPr>
          <w:pgSz w:w="11900" w:h="16846" w:orient="portrait"/>
          <w:cols w:equalWidth="0" w:num="1">
            <w:col w:w="10239"/>
          </w:cols>
          <w:pgMar w:left="220" w:top="141"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3"/>
          <w:szCs w:val="13"/>
          <w:color w:val="auto"/>
        </w:rPr>
        <w:t>the Company's annual report for the year ended September 30, 1993).</w:t>
      </w:r>
    </w:p>
    <w:p>
      <w:pPr>
        <w:spacing w:after="0" w:line="161" w:lineRule="exact"/>
        <w:rPr>
          <w:sz w:val="20"/>
          <w:szCs w:val="20"/>
          <w:color w:val="auto"/>
        </w:rPr>
      </w:pPr>
    </w:p>
    <w:p>
      <w:pPr>
        <w:ind w:right="4619"/>
        <w:spacing w:after="0" w:line="251" w:lineRule="auto"/>
        <w:rPr>
          <w:sz w:val="20"/>
          <w:szCs w:val="20"/>
          <w:color w:val="auto"/>
        </w:rPr>
      </w:pPr>
      <w:r>
        <w:rPr>
          <w:rFonts w:ascii="Courier New" w:cs="Courier New" w:eastAsia="Courier New" w:hAnsi="Courier New"/>
          <w:sz w:val="13"/>
          <w:szCs w:val="13"/>
          <w:color w:val="auto"/>
        </w:rPr>
        <w:t>Income before the cumulative effect of accounting changes increased by $2,499,000 to</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$20,861,000.</w:t>
      </w:r>
      <w:r>
        <w:rPr>
          <w:sz w:val="20"/>
          <w:szCs w:val="20"/>
          <w:color w:val="auto"/>
        </w:rPr>
        <w:t xml:space="preserve"> </w:t>
      </w:r>
      <w:r>
        <w:rPr>
          <w:rFonts w:ascii="Courier New" w:cs="Courier New" w:eastAsia="Courier New" w:hAnsi="Courier New"/>
          <w:sz w:val="13"/>
          <w:szCs w:val="13"/>
          <w:color w:val="auto"/>
        </w:rPr>
        <w:t>The increase was principally attributable to increased operating income which was</w:t>
      </w:r>
    </w:p>
    <w:p>
      <w:pPr>
        <w:spacing w:after="0"/>
        <w:rPr>
          <w:sz w:val="20"/>
          <w:szCs w:val="20"/>
          <w:color w:val="auto"/>
        </w:rPr>
      </w:pPr>
      <w:r>
        <w:rPr>
          <w:rFonts w:ascii="Courier New" w:cs="Courier New" w:eastAsia="Courier New" w:hAnsi="Courier New"/>
          <w:sz w:val="13"/>
          <w:szCs w:val="13"/>
          <w:color w:val="auto"/>
        </w:rPr>
        <w:t>partly offset by higher interest expense and income taxes.</w:t>
      </w:r>
    </w:p>
    <w:p>
      <w:pPr>
        <w:spacing w:after="0" w:line="161" w:lineRule="exact"/>
        <w:rPr>
          <w:sz w:val="20"/>
          <w:szCs w:val="20"/>
          <w:color w:val="auto"/>
        </w:rPr>
      </w:pPr>
    </w:p>
    <w:p>
      <w:pPr>
        <w:ind w:left="80" w:right="4699" w:hanging="79"/>
        <w:spacing w:after="0" w:line="251" w:lineRule="auto"/>
        <w:rPr>
          <w:sz w:val="20"/>
          <w:szCs w:val="20"/>
          <w:color w:val="auto"/>
        </w:rPr>
      </w:pPr>
      <w:r>
        <w:rPr>
          <w:rFonts w:ascii="Courier New" w:cs="Courier New" w:eastAsia="Courier New" w:hAnsi="Courier New"/>
          <w:sz w:val="13"/>
          <w:szCs w:val="13"/>
          <w:color w:val="auto"/>
        </w:rPr>
        <w:t>Net income of $20,861,000 increased by $15,656,000 from net income of $5,205,000 last year.</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The increase was primarily attributable to a prior period non-recurring charge of $13,157,000 for</w:t>
      </w:r>
    </w:p>
    <w:p>
      <w:pPr>
        <w:spacing w:after="0"/>
        <w:rPr>
          <w:sz w:val="20"/>
          <w:szCs w:val="20"/>
          <w:color w:val="auto"/>
        </w:rPr>
      </w:pPr>
      <w:r>
        <w:rPr>
          <w:rFonts w:ascii="Courier New" w:cs="Courier New" w:eastAsia="Courier New" w:hAnsi="Courier New"/>
          <w:sz w:val="13"/>
          <w:szCs w:val="13"/>
          <w:color w:val="auto"/>
        </w:rPr>
        <w:t>the cumulative effect of changes in accounting for postretirement benefits.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net of tax and income</w:t>
      </w:r>
    </w:p>
    <w:p>
      <w:pPr>
        <w:spacing w:after="0" w:line="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taxes as well as increased operating income partly offset by higher interest expense and income</w:t>
      </w:r>
    </w:p>
    <w:p>
      <w:pPr>
        <w:spacing w:after="0"/>
        <w:rPr>
          <w:sz w:val="20"/>
          <w:szCs w:val="20"/>
          <w:color w:val="auto"/>
        </w:rPr>
      </w:pPr>
      <w:r>
        <w:rPr>
          <w:rFonts w:ascii="Courier New" w:cs="Courier New" w:eastAsia="Courier New" w:hAnsi="Courier New"/>
          <w:sz w:val="13"/>
          <w:szCs w:val="13"/>
          <w:color w:val="auto"/>
        </w:rPr>
        <w:t>taxes.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Financial Position as at July 2, 1994.</w:t>
      </w:r>
    </w:p>
    <w:p>
      <w:pPr>
        <w:spacing w:after="0" w:line="161"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Capital expenditures for the fiscal year ending September 30, 1994 are expected to be</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approximately $31,500,000 including capital expenditures of Sierra.</w:t>
      </w:r>
      <w:r>
        <w:rPr>
          <w:sz w:val="20"/>
          <w:szCs w:val="20"/>
          <w:color w:val="auto"/>
        </w:rPr>
        <w:t xml:space="preserve"> </w:t>
      </w:r>
      <w:r>
        <w:rPr>
          <w:rFonts w:ascii="Courier New" w:cs="Courier New" w:eastAsia="Courier New" w:hAnsi="Courier New"/>
          <w:sz w:val="13"/>
          <w:szCs w:val="13"/>
          <w:color w:val="auto"/>
        </w:rPr>
        <w:t>The key capital project is a</w:t>
      </w:r>
    </w:p>
    <w:p>
      <w:pPr>
        <w:spacing w:after="0" w:line="15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$13,000,000 investment in a new production facility to increase capacity to meet demand for the</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Company's Poly-S (R) controlled-release fertilizers.</w:t>
      </w:r>
      <w:r>
        <w:rPr>
          <w:sz w:val="20"/>
          <w:szCs w:val="20"/>
          <w:color w:val="auto"/>
        </w:rPr>
        <w:t xml:space="preserve"> </w:t>
      </w:r>
      <w:r>
        <w:rPr>
          <w:rFonts w:ascii="Courier New" w:cs="Courier New" w:eastAsia="Courier New" w:hAnsi="Courier New"/>
          <w:sz w:val="13"/>
          <w:szCs w:val="13"/>
          <w:color w:val="auto"/>
        </w:rPr>
        <w:t>Capital expenditures will be financed with cash</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provided by operations and utilization of existing credit facilities.</w:t>
      </w:r>
    </w:p>
    <w:p>
      <w:pPr>
        <w:spacing w:after="0" w:line="161"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Current assets of $212,466,000 increased by $68,724,000 compared with current assets at</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September 30, 1993 and by $80,640,000 compared with current assets at July 3, 1993. The</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increases were partly attributable to the inclusion of Sierra's current assets this year which</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amounted to $32,038,000.</w:t>
      </w:r>
      <w:r>
        <w:rPr>
          <w:sz w:val="20"/>
          <w:szCs w:val="20"/>
          <w:color w:val="auto"/>
        </w:rPr>
        <w:t xml:space="preserve"> </w:t>
      </w:r>
      <w:r>
        <w:rPr>
          <w:rFonts w:ascii="Courier New" w:cs="Courier New" w:eastAsia="Courier New" w:hAnsi="Courier New"/>
          <w:sz w:val="13"/>
          <w:szCs w:val="13"/>
          <w:color w:val="auto"/>
        </w:rPr>
        <w:t>The increases were also caused, in part, by higher inventory levels</w:t>
      </w:r>
    </w:p>
    <w:p>
      <w:pPr>
        <w:spacing w:after="0" w:line="15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this year, which were principally due to the inclusion of planned inventories of spreaders which the</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Company now produces and organic products prepacked in anticipation of seasonal sales and by</w:t>
      </w:r>
    </w:p>
    <w:p>
      <w:pPr>
        <w:spacing w:after="0"/>
        <w:rPr>
          <w:sz w:val="20"/>
          <w:szCs w:val="20"/>
          <w:color w:val="auto"/>
        </w:rPr>
      </w:pPr>
      <w:r>
        <w:rPr>
          <w:rFonts w:ascii="Courier New" w:cs="Courier New" w:eastAsia="Courier New" w:hAnsi="Courier New"/>
          <w:sz w:val="13"/>
          <w:szCs w:val="13"/>
          <w:color w:val="auto"/>
        </w:rPr>
        <w:t>a higher level of accounts receivable this year due to increased sales.</w:t>
      </w:r>
    </w:p>
    <w:p>
      <w:pPr>
        <w:spacing w:after="0" w:line="161" w:lineRule="exact"/>
        <w:rPr>
          <w:sz w:val="20"/>
          <w:szCs w:val="20"/>
          <w:color w:val="auto"/>
        </w:rPr>
      </w:pPr>
    </w:p>
    <w:p>
      <w:pPr>
        <w:ind w:left="80" w:right="3979" w:hanging="79"/>
        <w:spacing w:after="0" w:line="251" w:lineRule="auto"/>
        <w:rPr>
          <w:sz w:val="20"/>
          <w:szCs w:val="20"/>
          <w:color w:val="auto"/>
        </w:rPr>
      </w:pPr>
      <w:r>
        <w:rPr>
          <w:rFonts w:ascii="Courier New" w:cs="Courier New" w:eastAsia="Courier New" w:hAnsi="Courier New"/>
          <w:sz w:val="13"/>
          <w:szCs w:val="13"/>
          <w:color w:val="auto"/>
        </w:rPr>
        <w:t>Total assets of $496,412,000 increased by $174,822,000 compared with September 30, 1993 and</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by $188,262,000 compared with July 3, 1993.</w:t>
      </w:r>
      <w:r>
        <w:rPr>
          <w:sz w:val="20"/>
          <w:szCs w:val="20"/>
          <w:color w:val="auto"/>
        </w:rPr>
        <w:t xml:space="preserve"> </w:t>
      </w:r>
      <w:r>
        <w:rPr>
          <w:rFonts w:ascii="Courier New" w:cs="Courier New" w:eastAsia="Courier New" w:hAnsi="Courier New"/>
          <w:sz w:val="13"/>
          <w:szCs w:val="13"/>
          <w:color w:val="auto"/>
        </w:rPr>
        <w:t>The increases are principally due to the inclusion</w:t>
      </w:r>
    </w:p>
    <w:p>
      <w:pPr>
        <w:spacing w:after="0" w:line="15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of Sierra's total assets which amounted to $131,270,000 including goodwill of $65,987,000.</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The increases are also caused, in part, by increases in accounts receivable and inventory levels</w:t>
      </w:r>
    </w:p>
    <w:p>
      <w:pPr>
        <w:spacing w:after="0"/>
        <w:rPr>
          <w:sz w:val="20"/>
          <w:szCs w:val="20"/>
          <w:color w:val="auto"/>
        </w:rPr>
      </w:pPr>
      <w:r>
        <w:rPr>
          <w:rFonts w:ascii="Courier New" w:cs="Courier New" w:eastAsia="Courier New" w:hAnsi="Courier New"/>
          <w:sz w:val="13"/>
          <w:szCs w:val="13"/>
          <w:color w:val="auto"/>
        </w:rPr>
        <w:t>which are mentioned above.</w:t>
      </w:r>
    </w:p>
    <w:p>
      <w:pPr>
        <w:spacing w:after="0" w:line="161"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Total liabilities of $330,670,000 increased by $152,093,000 compared with total liabilities at</w:t>
      </w:r>
    </w:p>
    <w:p>
      <w:pPr>
        <w:ind w:left="80" w:right="4539" w:hanging="79"/>
        <w:spacing w:after="0" w:line="247" w:lineRule="auto"/>
        <w:rPr>
          <w:sz w:val="20"/>
          <w:szCs w:val="20"/>
          <w:color w:val="auto"/>
        </w:rPr>
      </w:pPr>
      <w:r>
        <w:rPr>
          <w:rFonts w:ascii="Courier New" w:cs="Courier New" w:eastAsia="Courier New" w:hAnsi="Courier New"/>
          <w:sz w:val="13"/>
          <w:szCs w:val="13"/>
          <w:color w:val="auto"/>
        </w:rPr>
        <w:t>September 30, 1993 and by $162,553,000 compared with July 3, 1993.</w:t>
      </w:r>
      <w:r>
        <w:rPr>
          <w:sz w:val="20"/>
          <w:szCs w:val="20"/>
          <w:color w:val="auto"/>
        </w:rPr>
        <w:t xml:space="preserve"> </w:t>
      </w:r>
      <w:r>
        <w:rPr>
          <w:rFonts w:ascii="Courier New" w:cs="Courier New" w:eastAsia="Courier New" w:hAnsi="Courier New"/>
          <w:sz w:val="13"/>
          <w:szCs w:val="13"/>
          <w:color w:val="auto"/>
        </w:rPr>
        <w:t>The increases were</w:t>
      </w:r>
    </w:p>
    <w:p>
      <w:pPr>
        <w:spacing w:after="0" w:line="15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principally caused by $125,000,000 of term debt incurred in December 1993 to facilitate the</w:t>
      </w:r>
    </w:p>
    <w:p>
      <w:pPr>
        <w:ind w:left="80" w:right="4299" w:hanging="79"/>
        <w:spacing w:after="0" w:line="254" w:lineRule="auto"/>
        <w:rPr>
          <w:sz w:val="20"/>
          <w:szCs w:val="20"/>
          <w:color w:val="auto"/>
        </w:rPr>
      </w:pPr>
      <w:r>
        <w:rPr>
          <w:rFonts w:ascii="Courier New" w:cs="Courier New" w:eastAsia="Courier New" w:hAnsi="Courier New"/>
          <w:sz w:val="13"/>
          <w:szCs w:val="13"/>
          <w:color w:val="auto"/>
        </w:rPr>
        <w:t>acquisition of Sierra and by inclusion of Sierra's total liabilities which amounted to $22,272,000.</w:t>
      </w:r>
    </w:p>
    <w:p>
      <w:pPr>
        <w:spacing w:after="0" w:line="151"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Shareholders' equity of $165,742,000 increased by $22,729,000 compared with September 30,</w:t>
      </w:r>
    </w:p>
    <w:p>
      <w:pPr>
        <w:spacing w:after="0"/>
        <w:rPr>
          <w:sz w:val="20"/>
          <w:szCs w:val="20"/>
          <w:color w:val="auto"/>
        </w:rPr>
      </w:pPr>
      <w:r>
        <w:rPr>
          <w:rFonts w:ascii="Courier New" w:cs="Courier New" w:eastAsia="Courier New" w:hAnsi="Courier New"/>
          <w:sz w:val="13"/>
          <w:szCs w:val="13"/>
          <w:color w:val="auto"/>
        </w:rPr>
        <w:t>1993, primarily due to $20,861,000 of net income for the nine months ended July</w:t>
      </w:r>
    </w:p>
    <w:p>
      <w:pPr>
        <w:spacing w:after="0" w:line="7" w:lineRule="exact"/>
        <w:rPr>
          <w:sz w:val="20"/>
          <w:szCs w:val="20"/>
          <w:color w:val="auto"/>
        </w:rPr>
      </w:pPr>
    </w:p>
    <w:p>
      <w:pPr>
        <w:ind w:left="80"/>
        <w:spacing w:after="0"/>
        <w:tabs>
          <w:tab w:leader="none" w:pos="860" w:val="left"/>
        </w:tabs>
        <w:rPr>
          <w:sz w:val="20"/>
          <w:szCs w:val="20"/>
          <w:color w:val="auto"/>
        </w:rPr>
      </w:pPr>
      <w:r>
        <w:rPr>
          <w:rFonts w:ascii="Courier New" w:cs="Courier New" w:eastAsia="Courier New" w:hAnsi="Courier New"/>
          <w:sz w:val="13"/>
          <w:szCs w:val="13"/>
          <w:color w:val="auto"/>
        </w:rPr>
        <w:t>2, 1994.</w:t>
        <w:tab/>
        <w:t>The</w:t>
      </w:r>
    </w:p>
    <w:p>
      <w:pPr>
        <w:spacing w:after="0" w:line="7"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increase was also caused, in part, by a cumulative foreign currency translation adjustment of</w:t>
      </w:r>
    </w:p>
    <w:p>
      <w:pPr>
        <w:ind w:left="80" w:right="4459" w:hanging="79"/>
        <w:spacing w:after="0" w:line="251" w:lineRule="auto"/>
        <w:rPr>
          <w:sz w:val="20"/>
          <w:szCs w:val="20"/>
          <w:color w:val="auto"/>
        </w:rPr>
      </w:pPr>
      <w:r>
        <w:rPr>
          <w:rFonts w:ascii="Courier New" w:cs="Courier New" w:eastAsia="Courier New" w:hAnsi="Courier New"/>
          <w:sz w:val="13"/>
          <w:szCs w:val="13"/>
          <w:color w:val="auto"/>
        </w:rPr>
        <w:t>$1,395,000 related to translating the assets and liabilities of Sierra's foreign subsidiaries to U.S.</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dollars.</w:t>
      </w:r>
      <w:r>
        <w:rPr>
          <w:sz w:val="20"/>
          <w:szCs w:val="20"/>
          <w:color w:val="auto"/>
        </w:rPr>
        <w:t xml:space="preserve"> </w:t>
      </w:r>
      <w:r>
        <w:rPr>
          <w:rFonts w:ascii="Courier New" w:cs="Courier New" w:eastAsia="Courier New" w:hAnsi="Courier New"/>
          <w:sz w:val="13"/>
          <w:szCs w:val="13"/>
          <w:color w:val="auto"/>
        </w:rPr>
        <w:t>Shareholders' equity increased by $25,709,000 compared with July 3, 1993 principally</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due to net income of $23,546,000 for the twelve months ended July 2, 1994 and partly by the</w:t>
      </w:r>
    </w:p>
    <w:p>
      <w:pPr>
        <w:spacing w:after="0"/>
        <w:rPr>
          <w:sz w:val="20"/>
          <w:szCs w:val="20"/>
          <w:color w:val="auto"/>
        </w:rPr>
      </w:pPr>
      <w:r>
        <w:rPr>
          <w:rFonts w:ascii="Courier New" w:cs="Courier New" w:eastAsia="Courier New" w:hAnsi="Courier New"/>
          <w:sz w:val="13"/>
          <w:szCs w:val="13"/>
          <w:color w:val="auto"/>
        </w:rPr>
        <w:t>foreign currency translation adjustment mentioned above.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12</w:t>
      </w:r>
    </w:p>
    <w:p>
      <w:pPr>
        <w:spacing w:after="0" w:line="200" w:lineRule="exact"/>
        <w:rPr>
          <w:sz w:val="20"/>
          <w:szCs w:val="20"/>
          <w:color w:val="auto"/>
        </w:rPr>
      </w:pPr>
    </w:p>
    <w:p>
      <w:pPr>
        <w:spacing w:after="0" w:line="270" w:lineRule="exact"/>
        <w:rPr>
          <w:sz w:val="20"/>
          <w:szCs w:val="20"/>
          <w:color w:val="auto"/>
        </w:rPr>
      </w:pPr>
    </w:p>
    <w:p>
      <w:pPr>
        <w:ind w:left="80" w:right="4539" w:hanging="79"/>
        <w:spacing w:after="0" w:line="251" w:lineRule="auto"/>
        <w:rPr>
          <w:sz w:val="20"/>
          <w:szCs w:val="20"/>
          <w:color w:val="auto"/>
        </w:rPr>
      </w:pPr>
      <w:r>
        <w:rPr>
          <w:rFonts w:ascii="Courier New" w:cs="Courier New" w:eastAsia="Courier New" w:hAnsi="Courier New"/>
          <w:sz w:val="13"/>
          <w:szCs w:val="13"/>
          <w:color w:val="auto"/>
        </w:rPr>
        <w:t>The primary sources of liquidity for the Company's operations are funds generated by operations</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and borrowings under the Company's Third Amended and Restated Credit Agreement ("Credit Agreement"). The Credit Agreement was amended in December 1993 to provide financing for</w:t>
      </w:r>
    </w:p>
    <w:p>
      <w:pPr>
        <w:spacing w:after="0" w:line="1" w:lineRule="exact"/>
        <w:rPr>
          <w:sz w:val="20"/>
          <w:szCs w:val="20"/>
          <w:color w:val="auto"/>
        </w:rPr>
      </w:pPr>
    </w:p>
    <w:p>
      <w:pPr>
        <w:ind w:left="80" w:right="4539" w:hanging="79"/>
        <w:spacing w:after="0" w:line="247" w:lineRule="auto"/>
        <w:rPr>
          <w:sz w:val="20"/>
          <w:szCs w:val="20"/>
          <w:color w:val="auto"/>
        </w:rPr>
      </w:pPr>
      <w:r>
        <w:rPr>
          <w:rFonts w:ascii="Courier New" w:cs="Courier New" w:eastAsia="Courier New" w:hAnsi="Courier New"/>
          <w:sz w:val="13"/>
          <w:szCs w:val="13"/>
          <w:color w:val="auto"/>
        </w:rPr>
        <w:t>and permit the acquisition of Sierra.</w:t>
      </w:r>
      <w:r>
        <w:rPr>
          <w:sz w:val="20"/>
          <w:szCs w:val="20"/>
          <w:color w:val="auto"/>
        </w:rPr>
        <w:t xml:space="preserve"> </w:t>
      </w:r>
      <w:r>
        <w:rPr>
          <w:rFonts w:ascii="Courier New" w:cs="Courier New" w:eastAsia="Courier New" w:hAnsi="Courier New"/>
          <w:sz w:val="13"/>
          <w:szCs w:val="13"/>
          <w:color w:val="auto"/>
        </w:rPr>
        <w:t>As amended, the Credit Agreement provides a revolving</w:t>
      </w:r>
    </w:p>
    <w:p>
      <w:pPr>
        <w:spacing w:after="0" w:line="157" w:lineRule="exact"/>
        <w:rPr>
          <w:sz w:val="20"/>
          <w:szCs w:val="20"/>
          <w:color w:val="auto"/>
        </w:rPr>
      </w:pPr>
    </w:p>
    <w:p>
      <w:pPr>
        <w:ind w:left="80" w:right="4699" w:hanging="79"/>
        <w:spacing w:after="0" w:line="251" w:lineRule="auto"/>
        <w:rPr>
          <w:sz w:val="20"/>
          <w:szCs w:val="20"/>
          <w:color w:val="auto"/>
        </w:rPr>
      </w:pPr>
      <w:r>
        <w:rPr>
          <w:rFonts w:ascii="Courier New" w:cs="Courier New" w:eastAsia="Courier New" w:hAnsi="Courier New"/>
          <w:sz w:val="13"/>
          <w:szCs w:val="13"/>
          <w:color w:val="auto"/>
        </w:rPr>
        <w:t>credit commitment of $150,000,000 through March 31, 1996 and provided $195,000,000 of term</w:t>
      </w:r>
    </w:p>
    <w:p>
      <w:pPr>
        <w:ind w:left="80" w:right="4459" w:hanging="79"/>
        <w:spacing w:after="0" w:line="247" w:lineRule="auto"/>
        <w:rPr>
          <w:sz w:val="20"/>
          <w:szCs w:val="20"/>
          <w:color w:val="auto"/>
        </w:rPr>
      </w:pPr>
      <w:r>
        <w:rPr>
          <w:rFonts w:ascii="Courier New" w:cs="Courier New" w:eastAsia="Courier New" w:hAnsi="Courier New"/>
          <w:sz w:val="13"/>
          <w:szCs w:val="13"/>
          <w:color w:val="auto"/>
        </w:rPr>
        <w:t>debt with scheduled maturities extending through September 30, 2000.</w:t>
      </w:r>
      <w:r>
        <w:rPr>
          <w:sz w:val="20"/>
          <w:szCs w:val="20"/>
          <w:color w:val="auto"/>
        </w:rPr>
        <w:t xml:space="preserve"> </w:t>
      </w:r>
      <w:r>
        <w:rPr>
          <w:rFonts w:ascii="Courier New" w:cs="Courier New" w:eastAsia="Courier New" w:hAnsi="Courier New"/>
          <w:sz w:val="13"/>
          <w:szCs w:val="13"/>
          <w:color w:val="auto"/>
        </w:rPr>
        <w:t>On July 2, 1994 there</w:t>
      </w:r>
    </w:p>
    <w:p>
      <w:pPr>
        <w:spacing w:after="0" w:line="157" w:lineRule="exact"/>
        <w:rPr>
          <w:sz w:val="20"/>
          <w:szCs w:val="20"/>
          <w:color w:val="auto"/>
        </w:rPr>
      </w:pPr>
    </w:p>
    <w:p>
      <w:pPr>
        <w:ind w:left="80" w:right="4539" w:hanging="79"/>
        <w:spacing w:after="0" w:line="247" w:lineRule="auto"/>
        <w:rPr>
          <w:sz w:val="20"/>
          <w:szCs w:val="20"/>
          <w:color w:val="auto"/>
        </w:rPr>
      </w:pPr>
      <w:r>
        <w:rPr>
          <w:rFonts w:ascii="Courier New" w:cs="Courier New" w:eastAsia="Courier New" w:hAnsi="Courier New"/>
          <w:sz w:val="13"/>
          <w:szCs w:val="13"/>
          <w:color w:val="auto"/>
        </w:rPr>
        <w:t>was $190,000,000 outstanding under the Credit Agreement.</w:t>
      </w:r>
      <w:r>
        <w:rPr>
          <w:sz w:val="20"/>
          <w:szCs w:val="20"/>
          <w:color w:val="auto"/>
        </w:rPr>
        <w:t xml:space="preserve"> </w:t>
      </w:r>
      <w:r>
        <w:rPr>
          <w:rFonts w:ascii="Courier New" w:cs="Courier New" w:eastAsia="Courier New" w:hAnsi="Courier New"/>
          <w:sz w:val="13"/>
          <w:szCs w:val="13"/>
          <w:color w:val="auto"/>
        </w:rPr>
        <w:t>In July 1994, $96,402,000 of the</w:t>
      </w:r>
    </w:p>
    <w:p>
      <w:pPr>
        <w:spacing w:after="0" w:line="157" w:lineRule="exact"/>
        <w:rPr>
          <w:sz w:val="20"/>
          <w:szCs w:val="20"/>
          <w:color w:val="auto"/>
        </w:rPr>
      </w:pPr>
    </w:p>
    <w:p>
      <w:pPr>
        <w:ind w:left="80" w:right="4379" w:hanging="79"/>
        <w:spacing w:after="0" w:line="251" w:lineRule="auto"/>
        <w:rPr>
          <w:sz w:val="20"/>
          <w:szCs w:val="20"/>
          <w:color w:val="auto"/>
        </w:rPr>
      </w:pPr>
      <w:r>
        <w:rPr>
          <w:rFonts w:ascii="Courier New" w:cs="Courier New" w:eastAsia="Courier New" w:hAnsi="Courier New"/>
          <w:sz w:val="13"/>
          <w:szCs w:val="13"/>
          <w:color w:val="auto"/>
        </w:rPr>
        <w:t>term debt was prepaid with the net proceeds of a Senior Subordinated Note offering which is</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described below.</w:t>
      </w:r>
      <w:r>
        <w:rPr>
          <w:sz w:val="20"/>
          <w:szCs w:val="20"/>
          <w:color w:val="auto"/>
        </w:rPr>
        <w:t xml:space="preserve"> </w:t>
      </w:r>
      <w:r>
        <w:rPr>
          <w:rFonts w:ascii="Courier New" w:cs="Courier New" w:eastAsia="Courier New" w:hAnsi="Courier New"/>
          <w:sz w:val="13"/>
          <w:szCs w:val="13"/>
          <w:color w:val="auto"/>
        </w:rPr>
        <w:t>As of the date of this report, the Credit Agreement provides $93,598,000 of term</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debt.</w:t>
      </w:r>
      <w:r>
        <w:rPr>
          <w:sz w:val="20"/>
          <w:szCs w:val="20"/>
          <w:color w:val="auto"/>
        </w:rPr>
        <w:t xml:space="preserve"> </w:t>
      </w:r>
      <w:r>
        <w:rPr>
          <w:rFonts w:ascii="Courier New" w:cs="Courier New" w:eastAsia="Courier New" w:hAnsi="Courier New"/>
          <w:sz w:val="13"/>
          <w:szCs w:val="13"/>
          <w:color w:val="auto"/>
        </w:rPr>
        <w:t>The Credit Agreement contains financial covenants which, among other things, limit capital</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expenditures, require maintenance of Adjusted Operating Profit, Consolidated Net Worth and</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Interest Coverage (each as defined therein) and require the Company to reduce revolving credit</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borrowings to no more than $30,000,000 for 30 consecutive days each year.</w:t>
      </w:r>
      <w:r>
        <w:rPr>
          <w:sz w:val="20"/>
          <w:szCs w:val="20"/>
          <w:color w:val="auto"/>
        </w:rPr>
        <w:t xml:space="preserve"> </w:t>
      </w:r>
      <w:r>
        <w:rPr>
          <w:rFonts w:ascii="Courier New" w:cs="Courier New" w:eastAsia="Courier New" w:hAnsi="Courier New"/>
          <w:sz w:val="13"/>
          <w:szCs w:val="13"/>
          <w:color w:val="auto"/>
        </w:rPr>
        <w:t>The covenant to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reduce borrowings for 30 consecutive days was satisfied for fiscal 1994 during</w:t>
      </w:r>
    </w:p>
    <w:p>
      <w:pPr>
        <w:sectPr>
          <w:pgSz w:w="11900" w:h="16838" w:orient="portrait"/>
          <w:cols w:equalWidth="0" w:num="1">
            <w:col w:w="10239"/>
          </w:cols>
          <w:pgMar w:left="220" w:top="141" w:right="1440" w:bottom="0" w:gutter="0" w:footer="0" w:header="0"/>
        </w:sectPr>
      </w:pPr>
    </w:p>
    <w:bookmarkStart w:id="9" w:name="page10"/>
    <w:bookmarkEnd w:id="9"/>
    <w:p>
      <w:pPr>
        <w:ind w:left="80"/>
        <w:spacing w:after="0"/>
        <w:rPr>
          <w:sz w:val="20"/>
          <w:szCs w:val="20"/>
          <w:color w:val="auto"/>
        </w:rPr>
      </w:pPr>
      <w:r>
        <w:rPr>
          <w:rFonts w:ascii="Courier New" w:cs="Courier New" w:eastAsia="Courier New" w:hAnsi="Courier New"/>
          <w:sz w:val="13"/>
          <w:szCs w:val="13"/>
          <w:color w:val="auto"/>
        </w:rPr>
        <w:t>July.</w:t>
      </w:r>
    </w:p>
    <w:p>
      <w:pPr>
        <w:spacing w:after="0" w:line="161"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On July 19, 1994 Scotts and OMS jointly issued $100,000,000 of 9 7/8% Senior Subordinated</w:t>
      </w:r>
    </w:p>
    <w:p>
      <w:pPr>
        <w:ind w:left="80" w:right="3979" w:hanging="79"/>
        <w:spacing w:after="0" w:line="247" w:lineRule="auto"/>
        <w:rPr>
          <w:sz w:val="20"/>
          <w:szCs w:val="20"/>
          <w:color w:val="auto"/>
        </w:rPr>
      </w:pPr>
      <w:r>
        <w:rPr>
          <w:rFonts w:ascii="Courier New" w:cs="Courier New" w:eastAsia="Courier New" w:hAnsi="Courier New"/>
          <w:sz w:val="13"/>
          <w:szCs w:val="13"/>
          <w:color w:val="auto"/>
        </w:rPr>
        <w:t>Notes due August 1, 2004 ("Notes") at 99.212% of face value.</w:t>
      </w:r>
      <w:r>
        <w:rPr>
          <w:sz w:val="20"/>
          <w:szCs w:val="20"/>
          <w:color w:val="auto"/>
        </w:rPr>
        <w:t xml:space="preserve"> </w:t>
      </w:r>
      <w:r>
        <w:rPr>
          <w:rFonts w:ascii="Courier New" w:cs="Courier New" w:eastAsia="Courier New" w:hAnsi="Courier New"/>
          <w:sz w:val="13"/>
          <w:szCs w:val="13"/>
          <w:color w:val="auto"/>
        </w:rPr>
        <w:t>The net proceeds of the offering</w:t>
      </w:r>
    </w:p>
    <w:p>
      <w:pPr>
        <w:spacing w:after="0" w:line="15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were $96,402,000 after underwriting discount and estimated expenses and this amount was used</w:t>
      </w:r>
    </w:p>
    <w:p>
      <w:pPr>
        <w:ind w:left="80" w:right="4219" w:hanging="79"/>
        <w:spacing w:after="0" w:line="247" w:lineRule="auto"/>
        <w:rPr>
          <w:sz w:val="20"/>
          <w:szCs w:val="20"/>
          <w:color w:val="auto"/>
        </w:rPr>
      </w:pPr>
      <w:r>
        <w:rPr>
          <w:rFonts w:ascii="Courier New" w:cs="Courier New" w:eastAsia="Courier New" w:hAnsi="Courier New"/>
          <w:sz w:val="13"/>
          <w:szCs w:val="13"/>
          <w:color w:val="auto"/>
        </w:rPr>
        <w:t>to prepay term debt outstanding under the Credit Agreement.</w:t>
      </w:r>
      <w:r>
        <w:rPr>
          <w:sz w:val="20"/>
          <w:szCs w:val="20"/>
          <w:color w:val="auto"/>
        </w:rPr>
        <w:t xml:space="preserve"> </w:t>
      </w:r>
      <w:r>
        <w:rPr>
          <w:rFonts w:ascii="Courier New" w:cs="Courier New" w:eastAsia="Courier New" w:hAnsi="Courier New"/>
          <w:sz w:val="13"/>
          <w:szCs w:val="13"/>
          <w:color w:val="auto"/>
        </w:rPr>
        <w:t>Scheduled term debt maturities</w:t>
      </w:r>
    </w:p>
    <w:p>
      <w:pPr>
        <w:spacing w:after="0" w:line="15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were adjusted to reflect the prepayment in accordance with the terms of the Credit Agreement. All</w:t>
      </w:r>
    </w:p>
    <w:p>
      <w:pPr>
        <w:spacing w:after="0"/>
        <w:rPr>
          <w:sz w:val="20"/>
          <w:szCs w:val="20"/>
          <w:color w:val="auto"/>
        </w:rPr>
      </w:pPr>
      <w:r>
        <w:rPr>
          <w:rFonts w:ascii="Courier New" w:cs="Courier New" w:eastAsia="Courier New" w:hAnsi="Courier New"/>
          <w:sz w:val="13"/>
          <w:szCs w:val="13"/>
          <w:color w:val="auto"/>
        </w:rPr>
        <w:t>of the Notes are subordinated to other outstanding debt, principally to banks.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The Notes are</w:t>
      </w:r>
    </w:p>
    <w:p>
      <w:pPr>
        <w:spacing w:after="0" w:line="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subject to redemption, at the Company's option, in whole or in part, at any time after August 1,</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1999 at redemption prices specified in the Notes indenture.</w:t>
      </w:r>
      <w:r>
        <w:rPr>
          <w:sz w:val="20"/>
          <w:szCs w:val="20"/>
          <w:color w:val="auto"/>
        </w:rPr>
        <w:t xml:space="preserve"> </w:t>
      </w:r>
      <w:r>
        <w:rPr>
          <w:rFonts w:ascii="Courier New" w:cs="Courier New" w:eastAsia="Courier New" w:hAnsi="Courier New"/>
          <w:sz w:val="13"/>
          <w:szCs w:val="13"/>
          <w:color w:val="auto"/>
        </w:rPr>
        <w:t>In order to redeem the Notes, the</w:t>
      </w:r>
    </w:p>
    <w:p>
      <w:pPr>
        <w:spacing w:after="0" w:line="157"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Company must obtain approval of the banks party to the Credit Agreement as specified therein.</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The Notes require a limited number of financial covenants which are generally less restrictive than</w:t>
      </w:r>
    </w:p>
    <w:p>
      <w:pPr>
        <w:ind w:left="80" w:right="4299" w:hanging="79"/>
        <w:spacing w:after="0" w:line="247" w:lineRule="auto"/>
        <w:rPr>
          <w:sz w:val="20"/>
          <w:szCs w:val="20"/>
          <w:color w:val="auto"/>
        </w:rPr>
      </w:pPr>
      <w:r>
        <w:rPr>
          <w:rFonts w:ascii="Courier New" w:cs="Courier New" w:eastAsia="Courier New" w:hAnsi="Courier New"/>
          <w:sz w:val="13"/>
          <w:szCs w:val="13"/>
          <w:color w:val="auto"/>
        </w:rPr>
        <w:t>the financial covenants contained in the Credit Agreement.</w:t>
      </w:r>
      <w:r>
        <w:rPr>
          <w:sz w:val="20"/>
          <w:szCs w:val="20"/>
          <w:color w:val="auto"/>
        </w:rPr>
        <w:t xml:space="preserve"> </w:t>
      </w:r>
      <w:r>
        <w:rPr>
          <w:rFonts w:ascii="Courier New" w:cs="Courier New" w:eastAsia="Courier New" w:hAnsi="Courier New"/>
          <w:sz w:val="13"/>
          <w:szCs w:val="13"/>
          <w:color w:val="auto"/>
        </w:rPr>
        <w:t>As a result of issuing the Notes, the</w:t>
      </w:r>
    </w:p>
    <w:p>
      <w:pPr>
        <w:spacing w:after="0" w:line="157" w:lineRule="exact"/>
        <w:rPr>
          <w:sz w:val="20"/>
          <w:szCs w:val="20"/>
          <w:color w:val="auto"/>
        </w:rPr>
      </w:pPr>
    </w:p>
    <w:p>
      <w:pPr>
        <w:ind w:left="80" w:right="4859" w:hanging="79"/>
        <w:spacing w:after="0" w:line="251" w:lineRule="auto"/>
        <w:rPr>
          <w:sz w:val="20"/>
          <w:szCs w:val="20"/>
          <w:color w:val="auto"/>
        </w:rPr>
      </w:pPr>
      <w:r>
        <w:rPr>
          <w:rFonts w:ascii="Courier New" w:cs="Courier New" w:eastAsia="Courier New" w:hAnsi="Courier New"/>
          <w:sz w:val="13"/>
          <w:szCs w:val="13"/>
          <w:color w:val="auto"/>
        </w:rPr>
        <w:t>Company will experience a one-time extraordinary non-cash charge of approximately $1.1 million</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net of tax for unamortized deferred financing costs related to the prepayment of the term debt. In</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addition, the Notes fixed interest rate of 9 7/8% is higher than the floating interest rate paid on the</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term debt which will cause an increase in interest expense, at least in the near term. Company</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management however, believed it was prudent to have obtained what they consider to be</w:t>
      </w:r>
    </w:p>
    <w:p>
      <w:pPr>
        <w:ind w:left="80" w:right="4299" w:hanging="79"/>
        <w:spacing w:after="0" w:line="254" w:lineRule="auto"/>
        <w:rPr>
          <w:sz w:val="20"/>
          <w:szCs w:val="20"/>
          <w:color w:val="auto"/>
        </w:rPr>
      </w:pPr>
      <w:r>
        <w:rPr>
          <w:rFonts w:ascii="Courier New" w:cs="Courier New" w:eastAsia="Courier New" w:hAnsi="Courier New"/>
          <w:sz w:val="13"/>
          <w:szCs w:val="13"/>
          <w:color w:val="auto"/>
        </w:rPr>
        <w:t>attractive fixed rate, ten year financing to replace part of the Company's floating rate borrowings.</w:t>
      </w:r>
    </w:p>
    <w:p>
      <w:pPr>
        <w:spacing w:after="0" w:line="151"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The Company's business is highly seasonal which is reflected in working capital requirements.</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Working capital requirements are greatest from November through May, the peak production</w:t>
      </w:r>
    </w:p>
    <w:p>
      <w:pPr>
        <w:ind w:left="80" w:right="4699" w:hanging="79"/>
        <w:spacing w:after="0" w:line="247" w:lineRule="auto"/>
        <w:rPr>
          <w:sz w:val="20"/>
          <w:szCs w:val="20"/>
          <w:color w:val="auto"/>
        </w:rPr>
      </w:pPr>
      <w:r>
        <w:rPr>
          <w:rFonts w:ascii="Courier New" w:cs="Courier New" w:eastAsia="Courier New" w:hAnsi="Courier New"/>
          <w:sz w:val="13"/>
          <w:szCs w:val="13"/>
          <w:color w:val="auto"/>
        </w:rPr>
        <w:t>period, and are at their highest in March.</w:t>
      </w:r>
      <w:r>
        <w:rPr>
          <w:sz w:val="20"/>
          <w:szCs w:val="20"/>
          <w:color w:val="auto"/>
        </w:rPr>
        <w:t xml:space="preserve"> </w:t>
      </w:r>
      <w:r>
        <w:rPr>
          <w:rFonts w:ascii="Courier New" w:cs="Courier New" w:eastAsia="Courier New" w:hAnsi="Courier New"/>
          <w:sz w:val="13"/>
          <w:szCs w:val="13"/>
          <w:color w:val="auto"/>
        </w:rPr>
        <w:t>Working capital needs are relatively low in the summer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months.</w:t>
      </w:r>
    </w:p>
    <w:p>
      <w:pPr>
        <w:spacing w:after="0" w:line="161"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In the opinion of Scotts management, cash flows from operations and capital resources will be</w:t>
      </w:r>
    </w:p>
    <w:p>
      <w:pPr>
        <w:spacing w:after="0"/>
        <w:rPr>
          <w:sz w:val="20"/>
          <w:szCs w:val="20"/>
          <w:color w:val="auto"/>
        </w:rPr>
      </w:pPr>
      <w:r>
        <w:rPr>
          <w:rFonts w:ascii="Courier New" w:cs="Courier New" w:eastAsia="Courier New" w:hAnsi="Courier New"/>
          <w:sz w:val="13"/>
          <w:szCs w:val="13"/>
          <w:color w:val="auto"/>
        </w:rPr>
        <w:t>sufficient to meet future debt service and working capital needs.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Accounting Issues</w:t>
      </w:r>
    </w:p>
    <w:p>
      <w:pPr>
        <w:spacing w:after="0" w:line="161" w:lineRule="exact"/>
        <w:rPr>
          <w:sz w:val="20"/>
          <w:szCs w:val="20"/>
          <w:color w:val="auto"/>
        </w:rPr>
      </w:pPr>
    </w:p>
    <w:p>
      <w:pPr>
        <w:ind w:left="80" w:right="3979" w:hanging="79"/>
        <w:spacing w:after="0" w:line="251" w:lineRule="auto"/>
        <w:rPr>
          <w:sz w:val="20"/>
          <w:szCs w:val="20"/>
          <w:color w:val="auto"/>
        </w:rPr>
      </w:pPr>
      <w:r>
        <w:rPr>
          <w:rFonts w:ascii="Courier New" w:cs="Courier New" w:eastAsia="Courier New" w:hAnsi="Courier New"/>
          <w:sz w:val="13"/>
          <w:szCs w:val="13"/>
          <w:color w:val="auto"/>
        </w:rPr>
        <w:t>In November 1992, the Financial Accounting Standards Board issued Statement of Financial</w:t>
      </w:r>
    </w:p>
    <w:p>
      <w:pPr>
        <w:ind w:left="80" w:right="4539" w:hanging="79"/>
        <w:spacing w:after="0" w:line="251" w:lineRule="auto"/>
        <w:rPr>
          <w:sz w:val="20"/>
          <w:szCs w:val="20"/>
          <w:color w:val="auto"/>
        </w:rPr>
      </w:pPr>
      <w:r>
        <w:rPr>
          <w:rFonts w:ascii="Courier New" w:cs="Courier New" w:eastAsia="Courier New" w:hAnsi="Courier New"/>
          <w:sz w:val="13"/>
          <w:szCs w:val="13"/>
          <w:color w:val="auto"/>
        </w:rPr>
        <w:t>Accounting Standards No. 112, "Employers' Accounting for Postemployment Benefits" ("SFAS</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112"), which changes the prevalent method of accounting for benefits provided after employment</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but before retirement.</w:t>
      </w:r>
      <w:r>
        <w:rPr>
          <w:sz w:val="20"/>
          <w:szCs w:val="20"/>
          <w:color w:val="auto"/>
        </w:rPr>
        <w:t xml:space="preserve"> </w:t>
      </w:r>
      <w:r>
        <w:rPr>
          <w:rFonts w:ascii="Courier New" w:cs="Courier New" w:eastAsia="Courier New" w:hAnsi="Courier New"/>
          <w:sz w:val="13"/>
          <w:szCs w:val="13"/>
          <w:color w:val="auto"/>
        </w:rPr>
        <w:t>The Company must adopt SFAS 112 no later than the first quarter of fiscal</w:t>
      </w:r>
    </w:p>
    <w:p>
      <w:pPr>
        <w:spacing w:after="0" w:line="15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1995.</w:t>
      </w:r>
      <w:r>
        <w:rPr>
          <w:sz w:val="20"/>
          <w:szCs w:val="20"/>
          <w:color w:val="auto"/>
        </w:rPr>
        <w:t xml:space="preserve"> </w:t>
      </w:r>
      <w:r>
        <w:rPr>
          <w:rFonts w:ascii="Courier New" w:cs="Courier New" w:eastAsia="Courier New" w:hAnsi="Courier New"/>
          <w:sz w:val="13"/>
          <w:szCs w:val="13"/>
          <w:color w:val="auto"/>
        </w:rPr>
        <w:t>Management is currently evaluating the provisions of SFAS 112 and, at this time, the effect</w:t>
      </w:r>
    </w:p>
    <w:p>
      <w:pPr>
        <w:spacing w:after="0"/>
        <w:rPr>
          <w:sz w:val="20"/>
          <w:szCs w:val="20"/>
          <w:color w:val="auto"/>
        </w:rPr>
      </w:pPr>
      <w:r>
        <w:rPr>
          <w:rFonts w:ascii="Courier New" w:cs="Courier New" w:eastAsia="Courier New" w:hAnsi="Courier New"/>
          <w:sz w:val="13"/>
          <w:szCs w:val="13"/>
          <w:color w:val="auto"/>
        </w:rPr>
        <w:t>of adopting SFAS 112 has not been determined.</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Contingencies</w:t>
      </w:r>
    </w:p>
    <w:p>
      <w:pPr>
        <w:spacing w:after="0" w:line="161"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The Company is involved in various lawsuits and claims that arise in the normal course of</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business.</w:t>
      </w:r>
      <w:r>
        <w:rPr>
          <w:sz w:val="20"/>
          <w:szCs w:val="20"/>
          <w:color w:val="auto"/>
        </w:rPr>
        <w:t xml:space="preserve"> </w:t>
      </w:r>
      <w:r>
        <w:rPr>
          <w:rFonts w:ascii="Courier New" w:cs="Courier New" w:eastAsia="Courier New" w:hAnsi="Courier New"/>
          <w:sz w:val="13"/>
          <w:szCs w:val="13"/>
          <w:color w:val="auto"/>
        </w:rPr>
        <w:t>In the opinion of management, these claims individually and in the aggregate are not</w:t>
      </w:r>
    </w:p>
    <w:p>
      <w:pPr>
        <w:ind w:left="80" w:right="4299" w:hanging="79"/>
        <w:spacing w:after="0" w:line="251" w:lineRule="auto"/>
        <w:rPr>
          <w:sz w:val="20"/>
          <w:szCs w:val="20"/>
          <w:color w:val="auto"/>
        </w:rPr>
      </w:pPr>
      <w:r>
        <w:rPr>
          <w:rFonts w:ascii="Courier New" w:cs="Courier New" w:eastAsia="Courier New" w:hAnsi="Courier New"/>
          <w:sz w:val="13"/>
          <w:szCs w:val="13"/>
          <w:color w:val="auto"/>
        </w:rPr>
        <w:t>expected to result in a material adverse effect on the Company's financial position or results of</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operations;</w:t>
      </w:r>
      <w:r>
        <w:rPr>
          <w:sz w:val="20"/>
          <w:szCs w:val="20"/>
          <w:color w:val="auto"/>
        </w:rPr>
        <w:t xml:space="preserve"> </w:t>
      </w:r>
      <w:r>
        <w:rPr>
          <w:rFonts w:ascii="Courier New" w:cs="Courier New" w:eastAsia="Courier New" w:hAnsi="Courier New"/>
          <w:sz w:val="13"/>
          <w:szCs w:val="13"/>
          <w:color w:val="auto"/>
        </w:rPr>
        <w:t>however, there can be no assurance that future quarterly or annual operating results</w:t>
      </w:r>
    </w:p>
    <w:p>
      <w:pPr>
        <w:ind w:left="80" w:right="4299" w:hanging="79"/>
        <w:spacing w:after="0" w:line="247" w:lineRule="auto"/>
        <w:rPr>
          <w:sz w:val="20"/>
          <w:szCs w:val="20"/>
          <w:color w:val="auto"/>
        </w:rPr>
      </w:pPr>
      <w:r>
        <w:rPr>
          <w:rFonts w:ascii="Courier New" w:cs="Courier New" w:eastAsia="Courier New" w:hAnsi="Courier New"/>
          <w:sz w:val="13"/>
          <w:szCs w:val="13"/>
          <w:color w:val="auto"/>
        </w:rPr>
        <w:t>will not be materially affected by final resolution of these matters.</w:t>
      </w:r>
      <w:r>
        <w:rPr>
          <w:sz w:val="20"/>
          <w:szCs w:val="20"/>
          <w:color w:val="auto"/>
        </w:rPr>
        <w:t xml:space="preserve"> </w:t>
      </w:r>
      <w:r>
        <w:rPr>
          <w:rFonts w:ascii="Courier New" w:cs="Courier New" w:eastAsia="Courier New" w:hAnsi="Courier New"/>
          <w:sz w:val="13"/>
          <w:szCs w:val="13"/>
          <w:color w:val="auto"/>
        </w:rPr>
        <w:t>The following details the more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significant of these matters.</w:t>
      </w:r>
    </w:p>
    <w:p>
      <w:pPr>
        <w:spacing w:after="0" w:line="161" w:lineRule="exact"/>
        <w:rPr>
          <w:sz w:val="20"/>
          <w:szCs w:val="20"/>
          <w:color w:val="auto"/>
        </w:rPr>
      </w:pPr>
    </w:p>
    <w:p>
      <w:pPr>
        <w:ind w:left="80" w:right="3979" w:hanging="79"/>
        <w:spacing w:after="0" w:line="251" w:lineRule="auto"/>
        <w:rPr>
          <w:sz w:val="20"/>
          <w:szCs w:val="20"/>
          <w:color w:val="auto"/>
        </w:rPr>
      </w:pPr>
      <w:r>
        <w:rPr>
          <w:rFonts w:ascii="Courier New" w:cs="Courier New" w:eastAsia="Courier New" w:hAnsi="Courier New"/>
          <w:sz w:val="13"/>
          <w:szCs w:val="13"/>
          <w:color w:val="auto"/>
        </w:rPr>
        <w:t>The Company has been involved in studying a landfill into which it is believed some of the</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Company's solid waste had been hauled in the 1970's.</w:t>
      </w:r>
      <w:r>
        <w:rPr>
          <w:sz w:val="20"/>
          <w:szCs w:val="20"/>
          <w:color w:val="auto"/>
        </w:rPr>
        <w:t xml:space="preserve"> </w:t>
      </w:r>
      <w:r>
        <w:rPr>
          <w:rFonts w:ascii="Courier New" w:cs="Courier New" w:eastAsia="Courier New" w:hAnsi="Courier New"/>
          <w:sz w:val="13"/>
          <w:szCs w:val="13"/>
          <w:color w:val="auto"/>
        </w:rPr>
        <w:t>In September 1991, the Company was</w:t>
      </w:r>
    </w:p>
    <w:p>
      <w:pPr>
        <w:spacing w:after="0" w:line="157"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named by the Ohio Environmental Protection Agency ("Ohio EPA") as a Potentially Responsible</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Party )("PRP") with respect to this landfill.</w:t>
      </w:r>
      <w:r>
        <w:rPr>
          <w:sz w:val="20"/>
          <w:szCs w:val="20"/>
          <w:color w:val="auto"/>
        </w:rPr>
        <w:t xml:space="preserve"> </w:t>
      </w:r>
      <w:r>
        <w:rPr>
          <w:rFonts w:ascii="Courier New" w:cs="Courier New" w:eastAsia="Courier New" w:hAnsi="Courier New"/>
          <w:sz w:val="13"/>
          <w:szCs w:val="13"/>
          <w:color w:val="auto"/>
        </w:rPr>
        <w:t>Pursuant to a consent order with the Ohio EPA, the</w:t>
      </w:r>
    </w:p>
    <w:p>
      <w:pPr>
        <w:spacing w:after="0" w:line="15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Company, together with four other PRP's identified to date, is investigating the extent of</w:t>
      </w:r>
    </w:p>
    <w:p>
      <w:pPr>
        <w:spacing w:after="0"/>
        <w:rPr>
          <w:sz w:val="20"/>
          <w:szCs w:val="20"/>
          <w:color w:val="auto"/>
        </w:rPr>
      </w:pPr>
      <w:r>
        <w:rPr>
          <w:rFonts w:ascii="Courier New" w:cs="Courier New" w:eastAsia="Courier New" w:hAnsi="Courier New"/>
          <w:sz w:val="13"/>
          <w:szCs w:val="13"/>
          <w:color w:val="auto"/>
        </w:rPr>
        <w:t>contamination at the landfill and developing a remediation program.</w:t>
      </w:r>
    </w:p>
    <w:p>
      <w:pPr>
        <w:spacing w:after="0" w:line="161"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In July 1990, the Company was directed by the Army Corps of Engineers (the "Corps") to cease</w:t>
      </w:r>
    </w:p>
    <w:p>
      <w:pPr>
        <w:ind w:left="80" w:right="4059" w:hanging="79"/>
        <w:spacing w:after="0" w:line="247" w:lineRule="auto"/>
        <w:rPr>
          <w:sz w:val="20"/>
          <w:szCs w:val="20"/>
          <w:color w:val="auto"/>
        </w:rPr>
      </w:pPr>
      <w:r>
        <w:rPr>
          <w:rFonts w:ascii="Courier New" w:cs="Courier New" w:eastAsia="Courier New" w:hAnsi="Courier New"/>
          <w:sz w:val="13"/>
          <w:szCs w:val="13"/>
          <w:color w:val="auto"/>
        </w:rPr>
        <w:t>peat harvesting operations at its New Jersey facility.</w:t>
      </w:r>
      <w:r>
        <w:rPr>
          <w:sz w:val="20"/>
          <w:szCs w:val="20"/>
          <w:color w:val="auto"/>
        </w:rPr>
        <w:t xml:space="preserve"> </w:t>
      </w:r>
      <w:r>
        <w:rPr>
          <w:rFonts w:ascii="Courier New" w:cs="Courier New" w:eastAsia="Courier New" w:hAnsi="Courier New"/>
          <w:sz w:val="13"/>
          <w:szCs w:val="13"/>
          <w:color w:val="auto"/>
        </w:rPr>
        <w:t>The Corps has alleged that the peat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harvesting operations were in violation of the Clean Water Act ("CWA").</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The United States</w:t>
      </w:r>
    </w:p>
    <w:p>
      <w:pPr>
        <w:spacing w:after="0" w:line="7" w:lineRule="exact"/>
        <w:rPr>
          <w:sz w:val="20"/>
          <w:szCs w:val="20"/>
          <w:color w:val="auto"/>
        </w:rPr>
      </w:pPr>
    </w:p>
    <w:p>
      <w:pPr>
        <w:ind w:left="80" w:right="4619" w:hanging="79"/>
        <w:spacing w:after="0" w:line="251" w:lineRule="auto"/>
        <w:rPr>
          <w:sz w:val="20"/>
          <w:szCs w:val="20"/>
          <w:color w:val="auto"/>
        </w:rPr>
      </w:pPr>
      <w:r>
        <w:rPr>
          <w:rFonts w:ascii="Courier New" w:cs="Courier New" w:eastAsia="Courier New" w:hAnsi="Courier New"/>
          <w:sz w:val="13"/>
          <w:szCs w:val="13"/>
          <w:color w:val="auto"/>
        </w:rPr>
        <w:t>Department of Justice has commenced a legal action to seek a permanent injunction against peat</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harvesting at this facility and to recover civil penalties under the CWA.</w:t>
      </w:r>
      <w:r>
        <w:rPr>
          <w:sz w:val="20"/>
          <w:szCs w:val="20"/>
          <w:color w:val="auto"/>
        </w:rPr>
        <w:t xml:space="preserve"> </w:t>
      </w:r>
      <w:r>
        <w:rPr>
          <w:rFonts w:ascii="Courier New" w:cs="Courier New" w:eastAsia="Courier New" w:hAnsi="Courier New"/>
          <w:sz w:val="13"/>
          <w:szCs w:val="13"/>
          <w:color w:val="auto"/>
        </w:rPr>
        <w:t>This action had been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suspended while the parties engaged in discussion to resolve the dispute.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Those discussions did</w:t>
      </w:r>
    </w:p>
    <w:p>
      <w:pPr>
        <w:spacing w:after="0" w:line="7" w:lineRule="exact"/>
        <w:rPr>
          <w:sz w:val="20"/>
          <w:szCs w:val="20"/>
          <w:color w:val="auto"/>
        </w:rPr>
      </w:pPr>
    </w:p>
    <w:p>
      <w:pPr>
        <w:ind w:left="80" w:right="3899" w:hanging="79"/>
        <w:spacing w:after="0" w:line="247" w:lineRule="auto"/>
        <w:rPr>
          <w:sz w:val="20"/>
          <w:szCs w:val="20"/>
          <w:color w:val="auto"/>
        </w:rPr>
      </w:pPr>
      <w:r>
        <w:rPr>
          <w:rFonts w:ascii="Courier New" w:cs="Courier New" w:eastAsia="Courier New" w:hAnsi="Courier New"/>
          <w:sz w:val="13"/>
          <w:szCs w:val="13"/>
          <w:color w:val="auto"/>
        </w:rPr>
        <w:t>not result in a settlement and accordingly the action has been reinstated.</w:t>
      </w:r>
      <w:r>
        <w:rPr>
          <w:sz w:val="20"/>
          <w:szCs w:val="20"/>
          <w:color w:val="auto"/>
        </w:rPr>
        <w:t xml:space="preserve"> </w:t>
      </w:r>
      <w:r>
        <w:rPr>
          <w:rFonts w:ascii="Courier New" w:cs="Courier New" w:eastAsia="Courier New" w:hAnsi="Courier New"/>
          <w:sz w:val="13"/>
          <w:szCs w:val="13"/>
          <w:color w:val="auto"/>
        </w:rPr>
        <w:t>The Company intends</w:t>
      </w:r>
    </w:p>
    <w:p>
      <w:pPr>
        <w:spacing w:after="0" w:line="157" w:lineRule="exact"/>
        <w:rPr>
          <w:sz w:val="20"/>
          <w:szCs w:val="20"/>
          <w:color w:val="auto"/>
        </w:rPr>
      </w:pPr>
    </w:p>
    <w:p>
      <w:pPr>
        <w:ind w:left="80" w:right="4459" w:hanging="79"/>
        <w:spacing w:after="0" w:line="251" w:lineRule="auto"/>
        <w:rPr>
          <w:sz w:val="20"/>
          <w:szCs w:val="20"/>
          <w:color w:val="auto"/>
        </w:rPr>
      </w:pPr>
      <w:r>
        <w:rPr>
          <w:rFonts w:ascii="Courier New" w:cs="Courier New" w:eastAsia="Courier New" w:hAnsi="Courier New"/>
          <w:sz w:val="13"/>
          <w:szCs w:val="13"/>
          <w:color w:val="auto"/>
        </w:rPr>
        <w:t>to defend the action vigorously but if the Corps' position is upheld the Company could be</w:t>
      </w:r>
    </w:p>
    <w:p>
      <w:pPr>
        <w:spacing w:after="0"/>
        <w:rPr>
          <w:sz w:val="20"/>
          <w:szCs w:val="20"/>
          <w:color w:val="auto"/>
        </w:rPr>
      </w:pPr>
      <w:r>
        <w:rPr>
          <w:rFonts w:ascii="Courier New" w:cs="Courier New" w:eastAsia="Courier New" w:hAnsi="Courier New"/>
          <w:sz w:val="13"/>
          <w:szCs w:val="13"/>
          <w:color w:val="auto"/>
        </w:rPr>
        <w:t>prohibited from further harvesting of peat at this location and penalties could</w:t>
      </w:r>
    </w:p>
    <w:p>
      <w:pPr>
        <w:sectPr>
          <w:pgSz w:w="11900" w:h="16838" w:orient="portrait"/>
          <w:cols w:equalWidth="0" w:num="1">
            <w:col w:w="10239"/>
          </w:cols>
          <w:pgMar w:left="220" w:top="141" w:right="1440" w:bottom="0" w:gutter="0" w:footer="0" w:header="0"/>
        </w:sectPr>
      </w:pPr>
    </w:p>
    <w:bookmarkStart w:id="10" w:name="page11"/>
    <w:bookmarkEnd w:id="10"/>
    <w:p>
      <w:pPr>
        <w:ind w:left="80"/>
        <w:spacing w:after="0"/>
        <w:rPr>
          <w:sz w:val="20"/>
          <w:szCs w:val="20"/>
          <w:color w:val="auto"/>
        </w:rPr>
      </w:pPr>
      <w:r>
        <w:rPr>
          <w:rFonts w:ascii="Courier New" w:cs="Courier New" w:eastAsia="Courier New" w:hAnsi="Courier New"/>
          <w:sz w:val="13"/>
          <w:szCs w:val="13"/>
          <w:color w:val="auto"/>
        </w:rPr>
        <w:t>be assessed against</w:t>
      </w:r>
    </w:p>
    <w:p>
      <w:pPr>
        <w:spacing w:after="0" w:line="7"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the Company.</w:t>
      </w:r>
      <w:r>
        <w:rPr>
          <w:sz w:val="20"/>
          <w:szCs w:val="20"/>
          <w:color w:val="auto"/>
        </w:rPr>
        <w:t xml:space="preserve"> </w:t>
      </w:r>
      <w:r>
        <w:rPr>
          <w:rFonts w:ascii="Courier New" w:cs="Courier New" w:eastAsia="Courier New" w:hAnsi="Courier New"/>
          <w:sz w:val="13"/>
          <w:szCs w:val="13"/>
          <w:color w:val="auto"/>
        </w:rPr>
        <w:t>In the opinion of management, the outcome of this action will not have a material</w:t>
      </w:r>
    </w:p>
    <w:p>
      <w:pPr>
        <w:spacing w:after="0"/>
        <w:rPr>
          <w:sz w:val="20"/>
          <w:szCs w:val="20"/>
          <w:color w:val="auto"/>
        </w:rPr>
      </w:pPr>
      <w:r>
        <w:rPr>
          <w:rFonts w:ascii="Courier New" w:cs="Courier New" w:eastAsia="Courier New" w:hAnsi="Courier New"/>
          <w:sz w:val="13"/>
          <w:szCs w:val="13"/>
          <w:color w:val="auto"/>
        </w:rPr>
        <w:t>effect on the Company's financial position or results of operations.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Furthermore, management</w:t>
      </w:r>
    </w:p>
    <w:p>
      <w:pPr>
        <w:spacing w:after="0" w:line="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believes the Company has sufficient raw material supplies available such that service to</w:t>
      </w:r>
    </w:p>
    <w:p>
      <w:pPr>
        <w:ind w:left="80" w:right="4299" w:hanging="79"/>
        <w:spacing w:after="0" w:line="254" w:lineRule="auto"/>
        <w:rPr>
          <w:sz w:val="20"/>
          <w:szCs w:val="20"/>
          <w:color w:val="auto"/>
        </w:rPr>
      </w:pPr>
      <w:r>
        <w:rPr>
          <w:rFonts w:ascii="Courier New" w:cs="Courier New" w:eastAsia="Courier New" w:hAnsi="Courier New"/>
          <w:sz w:val="13"/>
          <w:szCs w:val="13"/>
          <w:color w:val="auto"/>
        </w:rPr>
        <w:t>customers will not be adversely affected by continued closure of this peat harvesting operation.</w:t>
      </w:r>
    </w:p>
    <w:p>
      <w:pPr>
        <w:spacing w:after="0" w:line="151"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Sierra is a PRP in connection with the Lorentz Barrel and Drum Superfund Site in California, as a</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result of its predecessor having shipped barrels to Lorentz for reconditioning or sale between</w:t>
      </w:r>
    </w:p>
    <w:p>
      <w:pPr>
        <w:ind w:left="80" w:right="4619" w:hanging="79"/>
        <w:spacing w:after="0" w:line="251" w:lineRule="auto"/>
        <w:rPr>
          <w:sz w:val="20"/>
          <w:szCs w:val="20"/>
          <w:color w:val="auto"/>
        </w:rPr>
      </w:pPr>
      <w:r>
        <w:rPr>
          <w:rFonts w:ascii="Courier New" w:cs="Courier New" w:eastAsia="Courier New" w:hAnsi="Courier New"/>
          <w:sz w:val="13"/>
          <w:szCs w:val="13"/>
          <w:color w:val="auto"/>
        </w:rPr>
        <w:t>1967 and 1972.</w:t>
      </w:r>
      <w:r>
        <w:rPr>
          <w:sz w:val="20"/>
          <w:szCs w:val="20"/>
          <w:color w:val="auto"/>
        </w:rPr>
        <w:t xml:space="preserve"> </w:t>
      </w:r>
      <w:r>
        <w:rPr>
          <w:rFonts w:ascii="Courier New" w:cs="Courier New" w:eastAsia="Courier New" w:hAnsi="Courier New"/>
          <w:sz w:val="13"/>
          <w:szCs w:val="13"/>
          <w:color w:val="auto"/>
        </w:rPr>
        <w:t>Although many other companies are participating in the remediation of this site,</w:t>
      </w:r>
    </w:p>
    <w:p>
      <w:pPr>
        <w:spacing w:after="0"/>
        <w:rPr>
          <w:sz w:val="20"/>
          <w:szCs w:val="20"/>
          <w:color w:val="auto"/>
        </w:rPr>
      </w:pPr>
      <w:r>
        <w:rPr>
          <w:rFonts w:ascii="Courier New" w:cs="Courier New" w:eastAsia="Courier New" w:hAnsi="Courier New"/>
          <w:sz w:val="13"/>
          <w:szCs w:val="13"/>
          <w:color w:val="auto"/>
        </w:rPr>
        <w:t>issues relating to the allocation of the costs have not yet been resolved.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Management estimates</w:t>
      </w:r>
    </w:p>
    <w:p>
      <w:pPr>
        <w:spacing w:after="0" w:line="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that the Company's share of remediation costs for this site will be less than $200,000. In addition,</w:t>
      </w:r>
    </w:p>
    <w:p>
      <w:pPr>
        <w:ind w:right="4059"/>
        <w:spacing w:after="0" w:line="251" w:lineRule="auto"/>
        <w:rPr>
          <w:sz w:val="20"/>
          <w:szCs w:val="20"/>
          <w:color w:val="auto"/>
        </w:rPr>
      </w:pPr>
      <w:r>
        <w:rPr>
          <w:rFonts w:ascii="Courier New" w:cs="Courier New" w:eastAsia="Courier New" w:hAnsi="Courier New"/>
          <w:sz w:val="13"/>
          <w:szCs w:val="13"/>
          <w:color w:val="auto"/>
        </w:rPr>
        <w:t>Sierra is a defendant in a private cost-recovery action relating to the Novak Sanitary Landfill,</w:t>
      </w:r>
    </w:p>
    <w:p>
      <w:pPr>
        <w:ind w:left="80" w:right="4219" w:hanging="79"/>
        <w:spacing w:after="0" w:line="247" w:lineRule="auto"/>
        <w:rPr>
          <w:sz w:val="20"/>
          <w:szCs w:val="20"/>
          <w:color w:val="auto"/>
        </w:rPr>
      </w:pPr>
      <w:r>
        <w:rPr>
          <w:rFonts w:ascii="Courier New" w:cs="Courier New" w:eastAsia="Courier New" w:hAnsi="Courier New"/>
          <w:sz w:val="13"/>
          <w:szCs w:val="13"/>
          <w:color w:val="auto"/>
        </w:rPr>
        <w:t>located near Allentown, Pennsylvania.</w:t>
      </w:r>
      <w:r>
        <w:rPr>
          <w:sz w:val="20"/>
          <w:szCs w:val="20"/>
          <w:color w:val="auto"/>
        </w:rPr>
        <w:t xml:space="preserve"> </w:t>
      </w:r>
      <w:r>
        <w:rPr>
          <w:rFonts w:ascii="Courier New" w:cs="Courier New" w:eastAsia="Courier New" w:hAnsi="Courier New"/>
          <w:sz w:val="13"/>
          <w:szCs w:val="13"/>
          <w:color w:val="auto"/>
        </w:rPr>
        <w:t>By agreement with W. R. Grace-Conn., Sierra's liability is</w:t>
      </w:r>
    </w:p>
    <w:p>
      <w:pPr>
        <w:spacing w:after="0" w:line="15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limited to a maximum of $200,000 with respect to this site and such amounts have been provided</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for in the accompanying financial statements.</w:t>
      </w:r>
      <w:r>
        <w:rPr>
          <w:sz w:val="20"/>
          <w:szCs w:val="20"/>
          <w:color w:val="auto"/>
        </w:rPr>
        <w:t xml:space="preserve"> </w:t>
      </w:r>
      <w:r>
        <w:rPr>
          <w:rFonts w:ascii="Courier New" w:cs="Courier New" w:eastAsia="Courier New" w:hAnsi="Courier New"/>
          <w:sz w:val="13"/>
          <w:szCs w:val="13"/>
          <w:color w:val="auto"/>
        </w:rPr>
        <w:t>The Company's management does not believe that</w:t>
      </w:r>
    </w:p>
    <w:p>
      <w:pPr>
        <w:spacing w:after="0" w:line="157" w:lineRule="exact"/>
        <w:rPr>
          <w:sz w:val="20"/>
          <w:szCs w:val="20"/>
          <w:color w:val="auto"/>
        </w:rPr>
      </w:pPr>
    </w:p>
    <w:p>
      <w:pPr>
        <w:ind w:left="80" w:right="3979" w:hanging="79"/>
        <w:spacing w:after="0" w:line="251" w:lineRule="auto"/>
        <w:rPr>
          <w:sz w:val="20"/>
          <w:szCs w:val="20"/>
          <w:color w:val="auto"/>
        </w:rPr>
      </w:pPr>
      <w:r>
        <w:rPr>
          <w:rFonts w:ascii="Courier New" w:cs="Courier New" w:eastAsia="Courier New" w:hAnsi="Courier New"/>
          <w:sz w:val="13"/>
          <w:szCs w:val="13"/>
          <w:color w:val="auto"/>
        </w:rPr>
        <w:t>the outcome of these proceedings will in the aggregate have a material adverse effect on its</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financial condition or results of operations.</w:t>
      </w:r>
      <w:r>
        <w:rPr>
          <w:sz w:val="20"/>
          <w:szCs w:val="20"/>
          <w:color w:val="auto"/>
        </w:rPr>
        <w:t xml:space="preserve"> </w:t>
      </w:r>
      <w:r>
        <w:rPr>
          <w:rFonts w:ascii="Courier New" w:cs="Courier New" w:eastAsia="Courier New" w:hAnsi="Courier New"/>
          <w:sz w:val="13"/>
          <w:szCs w:val="13"/>
          <w:color w:val="auto"/>
        </w:rPr>
        <w:t>In addition to being named as PRP's in the above</w:t>
      </w:r>
    </w:p>
    <w:p>
      <w:pPr>
        <w:spacing w:after="0" w:line="157" w:lineRule="exact"/>
        <w:rPr>
          <w:sz w:val="20"/>
          <w:szCs w:val="20"/>
          <w:color w:val="auto"/>
        </w:rPr>
      </w:pPr>
    </w:p>
    <w:p>
      <w:pPr>
        <w:ind w:left="80" w:right="3979" w:hanging="79"/>
        <w:spacing w:after="0" w:line="251" w:lineRule="auto"/>
        <w:rPr>
          <w:sz w:val="20"/>
          <w:szCs w:val="20"/>
          <w:color w:val="auto"/>
        </w:rPr>
      </w:pPr>
      <w:r>
        <w:rPr>
          <w:rFonts w:ascii="Courier New" w:cs="Courier New" w:eastAsia="Courier New" w:hAnsi="Courier New"/>
          <w:sz w:val="13"/>
          <w:szCs w:val="13"/>
          <w:color w:val="auto"/>
        </w:rPr>
        <w:t>noted situations, the Company is subject to potential fines in connection with certain EPA labeling</w:t>
      </w:r>
    </w:p>
    <w:p>
      <w:pPr>
        <w:spacing w:after="0"/>
        <w:rPr>
          <w:sz w:val="20"/>
          <w:szCs w:val="20"/>
          <w:color w:val="auto"/>
        </w:rPr>
      </w:pPr>
      <w:r>
        <w:rPr>
          <w:rFonts w:ascii="Courier New" w:cs="Courier New" w:eastAsia="Courier New" w:hAnsi="Courier New"/>
          <w:sz w:val="13"/>
          <w:szCs w:val="13"/>
          <w:color w:val="auto"/>
        </w:rPr>
        <w:t>violations under the Federal Insecticide, Fungicide and Rodenticide Act (FIFRA)</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relating to actions</w:t>
      </w:r>
    </w:p>
    <w:p>
      <w:pPr>
        <w:spacing w:after="0" w:line="7" w:lineRule="exact"/>
        <w:rPr>
          <w:sz w:val="20"/>
          <w:szCs w:val="20"/>
          <w:color w:val="auto"/>
        </w:rPr>
      </w:pPr>
    </w:p>
    <w:p>
      <w:pPr>
        <w:ind w:left="80" w:right="4619" w:hanging="79"/>
        <w:spacing w:after="0" w:line="247" w:lineRule="auto"/>
        <w:rPr>
          <w:sz w:val="20"/>
          <w:szCs w:val="20"/>
          <w:color w:val="auto"/>
        </w:rPr>
      </w:pPr>
      <w:r>
        <w:rPr>
          <w:rFonts w:ascii="Courier New" w:cs="Courier New" w:eastAsia="Courier New" w:hAnsi="Courier New"/>
          <w:sz w:val="13"/>
          <w:szCs w:val="13"/>
          <w:color w:val="auto"/>
        </w:rPr>
        <w:t>by Sierra prior to its acquisition by the Company.</w:t>
      </w:r>
      <w:r>
        <w:rPr>
          <w:sz w:val="20"/>
          <w:szCs w:val="20"/>
          <w:color w:val="auto"/>
        </w:rPr>
        <w:t xml:space="preserve"> </w:t>
      </w:r>
      <w:r>
        <w:rPr>
          <w:rFonts w:ascii="Courier New" w:cs="Courier New" w:eastAsia="Courier New" w:hAnsi="Courier New"/>
          <w:sz w:val="13"/>
          <w:szCs w:val="13"/>
          <w:color w:val="auto"/>
        </w:rPr>
        <w:t>The fines for such violations are based upon</w:t>
      </w:r>
    </w:p>
    <w:p>
      <w:pPr>
        <w:spacing w:after="0" w:line="157" w:lineRule="exact"/>
        <w:rPr>
          <w:sz w:val="20"/>
          <w:szCs w:val="20"/>
          <w:color w:val="auto"/>
        </w:rPr>
      </w:pPr>
    </w:p>
    <w:p>
      <w:pPr>
        <w:ind w:left="80" w:right="4219" w:hanging="79"/>
        <w:spacing w:after="0" w:line="247" w:lineRule="auto"/>
        <w:rPr>
          <w:sz w:val="20"/>
          <w:szCs w:val="20"/>
          <w:color w:val="auto"/>
        </w:rPr>
      </w:pPr>
      <w:r>
        <w:rPr>
          <w:rFonts w:ascii="Courier New" w:cs="Courier New" w:eastAsia="Courier New" w:hAnsi="Courier New"/>
          <w:sz w:val="13"/>
          <w:szCs w:val="13"/>
          <w:color w:val="auto"/>
        </w:rPr>
        <w:t>formulas as stated in FIFRA.</w:t>
      </w:r>
      <w:r>
        <w:rPr>
          <w:sz w:val="20"/>
          <w:szCs w:val="20"/>
          <w:color w:val="auto"/>
        </w:rPr>
        <w:t xml:space="preserve"> </w:t>
      </w:r>
      <w:r>
        <w:rPr>
          <w:rFonts w:ascii="Courier New" w:cs="Courier New" w:eastAsia="Courier New" w:hAnsi="Courier New"/>
          <w:sz w:val="13"/>
          <w:szCs w:val="13"/>
          <w:color w:val="auto"/>
        </w:rPr>
        <w:t>As determined by these formulas the Company's maximum</w:t>
      </w:r>
    </w:p>
    <w:p>
      <w:pPr>
        <w:spacing w:after="0" w:line="157" w:lineRule="exact"/>
        <w:rPr>
          <w:sz w:val="20"/>
          <w:szCs w:val="20"/>
          <w:color w:val="auto"/>
        </w:rPr>
      </w:pPr>
    </w:p>
    <w:p>
      <w:pPr>
        <w:ind w:left="80" w:right="3979" w:hanging="79"/>
        <w:spacing w:after="0" w:line="247" w:lineRule="auto"/>
        <w:rPr>
          <w:sz w:val="20"/>
          <w:szCs w:val="20"/>
          <w:color w:val="auto"/>
        </w:rPr>
      </w:pPr>
      <w:r>
        <w:rPr>
          <w:rFonts w:ascii="Courier New" w:cs="Courier New" w:eastAsia="Courier New" w:hAnsi="Courier New"/>
          <w:sz w:val="13"/>
          <w:szCs w:val="13"/>
          <w:color w:val="auto"/>
        </w:rPr>
        <w:t>exposure for the violations is approximately $810,000.</w:t>
      </w:r>
      <w:r>
        <w:rPr>
          <w:sz w:val="20"/>
          <w:szCs w:val="20"/>
          <w:color w:val="auto"/>
        </w:rPr>
        <w:t xml:space="preserve"> </w:t>
      </w:r>
      <w:r>
        <w:rPr>
          <w:rFonts w:ascii="Courier New" w:cs="Courier New" w:eastAsia="Courier New" w:hAnsi="Courier New"/>
          <w:sz w:val="13"/>
          <w:szCs w:val="13"/>
          <w:color w:val="auto"/>
        </w:rPr>
        <w:t>The formulas allow for certain reductions</w:t>
      </w:r>
    </w:p>
    <w:p>
      <w:pPr>
        <w:spacing w:after="0" w:line="157" w:lineRule="exact"/>
        <w:rPr>
          <w:sz w:val="20"/>
          <w:szCs w:val="20"/>
          <w:color w:val="auto"/>
        </w:rPr>
      </w:pPr>
    </w:p>
    <w:p>
      <w:pPr>
        <w:ind w:left="80" w:right="3979" w:hanging="79"/>
        <w:spacing w:after="0" w:line="247" w:lineRule="auto"/>
        <w:rPr>
          <w:sz w:val="20"/>
          <w:szCs w:val="20"/>
          <w:color w:val="auto"/>
        </w:rPr>
      </w:pPr>
      <w:r>
        <w:rPr>
          <w:rFonts w:ascii="Courier New" w:cs="Courier New" w:eastAsia="Courier New" w:hAnsi="Courier New"/>
          <w:sz w:val="13"/>
          <w:szCs w:val="13"/>
          <w:color w:val="auto"/>
        </w:rPr>
        <w:t>of the fines based upon achievable levels of compliance.</w:t>
      </w:r>
      <w:r>
        <w:rPr>
          <w:sz w:val="20"/>
          <w:szCs w:val="20"/>
          <w:color w:val="auto"/>
        </w:rPr>
        <w:t xml:space="preserve"> </w:t>
      </w:r>
      <w:r>
        <w:rPr>
          <w:rFonts w:ascii="Courier New" w:cs="Courier New" w:eastAsia="Courier New" w:hAnsi="Courier New"/>
          <w:sz w:val="13"/>
          <w:szCs w:val="13"/>
          <w:color w:val="auto"/>
        </w:rPr>
        <w:t>Management estimates the Company's</w:t>
      </w:r>
    </w:p>
    <w:p>
      <w:pPr>
        <w:spacing w:after="0" w:line="157" w:lineRule="exact"/>
        <w:rPr>
          <w:sz w:val="20"/>
          <w:szCs w:val="20"/>
          <w:color w:val="auto"/>
        </w:rPr>
      </w:pPr>
    </w:p>
    <w:p>
      <w:pPr>
        <w:ind w:left="80" w:right="4219" w:hanging="79"/>
        <w:spacing w:after="0" w:line="247" w:lineRule="auto"/>
        <w:rPr>
          <w:sz w:val="20"/>
          <w:szCs w:val="20"/>
          <w:color w:val="auto"/>
        </w:rPr>
      </w:pPr>
      <w:r>
        <w:rPr>
          <w:rFonts w:ascii="Courier New" w:cs="Courier New" w:eastAsia="Courier New" w:hAnsi="Courier New"/>
          <w:sz w:val="13"/>
          <w:szCs w:val="13"/>
          <w:color w:val="auto"/>
        </w:rPr>
        <w:t>ultimate liability</w:t>
      </w:r>
      <w:r>
        <w:rPr>
          <w:sz w:val="20"/>
          <w:szCs w:val="20"/>
          <w:color w:val="auto"/>
        </w:rPr>
        <w:t xml:space="preserve"> </w:t>
      </w:r>
      <w:r>
        <w:rPr>
          <w:rFonts w:ascii="Courier New" w:cs="Courier New" w:eastAsia="Courier New" w:hAnsi="Courier New"/>
          <w:sz w:val="13"/>
          <w:szCs w:val="13"/>
          <w:color w:val="auto"/>
        </w:rPr>
        <w:t>to be $200,000, which has been accrued in the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PART II - OTHER INFORMATION</w:t>
      </w:r>
    </w:p>
    <w:p>
      <w:pPr>
        <w:spacing w:after="0" w:line="16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color w:val="auto"/>
        </w:rPr>
        <w:t>Item 1.</w:t>
        <w:tab/>
        <w:t>Legal Proceedings</w:t>
      </w:r>
    </w:p>
    <w:p>
      <w:pPr>
        <w:spacing w:after="0" w:line="161" w:lineRule="exact"/>
        <w:rPr>
          <w:sz w:val="20"/>
          <w:szCs w:val="20"/>
          <w:color w:val="auto"/>
        </w:rPr>
      </w:pPr>
    </w:p>
    <w:p>
      <w:pPr>
        <w:ind w:left="80" w:right="3899" w:hanging="79"/>
        <w:spacing w:after="0" w:line="251" w:lineRule="auto"/>
        <w:rPr>
          <w:sz w:val="20"/>
          <w:szCs w:val="20"/>
          <w:color w:val="auto"/>
        </w:rPr>
      </w:pPr>
      <w:r>
        <w:rPr>
          <w:rFonts w:ascii="Courier New" w:cs="Courier New" w:eastAsia="Courier New" w:hAnsi="Courier New"/>
          <w:sz w:val="13"/>
          <w:szCs w:val="13"/>
          <w:color w:val="auto"/>
        </w:rPr>
        <w:t>The Company is involved in various lawsuits and claims that arise in the normal course of</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business.</w:t>
      </w:r>
      <w:r>
        <w:rPr>
          <w:sz w:val="20"/>
          <w:szCs w:val="20"/>
          <w:color w:val="auto"/>
        </w:rPr>
        <w:t xml:space="preserve"> </w:t>
      </w:r>
      <w:r>
        <w:rPr>
          <w:rFonts w:ascii="Courier New" w:cs="Courier New" w:eastAsia="Courier New" w:hAnsi="Courier New"/>
          <w:sz w:val="13"/>
          <w:szCs w:val="13"/>
          <w:color w:val="auto"/>
        </w:rPr>
        <w:t>In the opinion of management, these claims individually and in the aggregate are</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not expected to result in a material adverse effect on the Company's financial position or</w:t>
      </w:r>
    </w:p>
    <w:p>
      <w:pPr>
        <w:ind w:left="80" w:right="3899" w:hanging="79"/>
        <w:spacing w:after="0" w:line="251" w:lineRule="auto"/>
        <w:rPr>
          <w:sz w:val="20"/>
          <w:szCs w:val="20"/>
          <w:color w:val="auto"/>
        </w:rPr>
      </w:pPr>
      <w:r>
        <w:rPr>
          <w:rFonts w:ascii="Courier New" w:cs="Courier New" w:eastAsia="Courier New" w:hAnsi="Courier New"/>
          <w:sz w:val="13"/>
          <w:szCs w:val="13"/>
          <w:color w:val="auto"/>
        </w:rPr>
        <w:t>results of operations, however, there can be no assurance that future quarterly or annual</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operating results will not be materially affected by final resolution of these matters. The</w:t>
      </w:r>
    </w:p>
    <w:p>
      <w:pPr>
        <w:spacing w:after="0"/>
        <w:rPr>
          <w:sz w:val="20"/>
          <w:szCs w:val="20"/>
          <w:color w:val="auto"/>
        </w:rPr>
      </w:pPr>
      <w:r>
        <w:rPr>
          <w:rFonts w:ascii="Courier New" w:cs="Courier New" w:eastAsia="Courier New" w:hAnsi="Courier New"/>
          <w:sz w:val="13"/>
          <w:szCs w:val="13"/>
          <w:color w:val="auto"/>
        </w:rPr>
        <w:t>following details the more significant of these matters.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14</w:t>
      </w:r>
    </w:p>
    <w:p>
      <w:pPr>
        <w:spacing w:after="0" w:line="200" w:lineRule="exact"/>
        <w:rPr>
          <w:sz w:val="20"/>
          <w:szCs w:val="20"/>
          <w:color w:val="auto"/>
        </w:rPr>
      </w:pPr>
    </w:p>
    <w:p>
      <w:pPr>
        <w:spacing w:after="0" w:line="270"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The Company has been involved in studying a landfill to which it is believed some of the</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Company's solid waste had been hauled in the 1970's.</w:t>
      </w:r>
      <w:r>
        <w:rPr>
          <w:sz w:val="20"/>
          <w:szCs w:val="20"/>
          <w:color w:val="auto"/>
        </w:rPr>
        <w:t xml:space="preserve"> </w:t>
      </w:r>
      <w:r>
        <w:rPr>
          <w:rFonts w:ascii="Courier New" w:cs="Courier New" w:eastAsia="Courier New" w:hAnsi="Courier New"/>
          <w:sz w:val="13"/>
          <w:szCs w:val="13"/>
          <w:color w:val="auto"/>
        </w:rPr>
        <w:t>In September 1991, the Company</w:t>
      </w:r>
    </w:p>
    <w:p>
      <w:pPr>
        <w:spacing w:after="0" w:line="157" w:lineRule="exact"/>
        <w:rPr>
          <w:sz w:val="20"/>
          <w:szCs w:val="20"/>
          <w:color w:val="auto"/>
        </w:rPr>
      </w:pPr>
    </w:p>
    <w:p>
      <w:pPr>
        <w:ind w:left="80" w:right="4539" w:hanging="79"/>
        <w:spacing w:after="0" w:line="251" w:lineRule="auto"/>
        <w:rPr>
          <w:sz w:val="20"/>
          <w:szCs w:val="20"/>
          <w:color w:val="auto"/>
        </w:rPr>
      </w:pPr>
      <w:r>
        <w:rPr>
          <w:rFonts w:ascii="Courier New" w:cs="Courier New" w:eastAsia="Courier New" w:hAnsi="Courier New"/>
          <w:sz w:val="13"/>
          <w:szCs w:val="13"/>
          <w:color w:val="auto"/>
        </w:rPr>
        <w:t>was named by the Ohio Environmental Protection Agency ("Ohio EPA") as a Potentially</w:t>
      </w:r>
    </w:p>
    <w:p>
      <w:pPr>
        <w:ind w:left="80" w:right="4459" w:hanging="79"/>
        <w:spacing w:after="0" w:line="247" w:lineRule="auto"/>
        <w:rPr>
          <w:sz w:val="20"/>
          <w:szCs w:val="20"/>
          <w:color w:val="auto"/>
        </w:rPr>
      </w:pPr>
      <w:r>
        <w:rPr>
          <w:rFonts w:ascii="Courier New" w:cs="Courier New" w:eastAsia="Courier New" w:hAnsi="Courier New"/>
          <w:sz w:val="13"/>
          <w:szCs w:val="13"/>
          <w:color w:val="auto"/>
        </w:rPr>
        <w:t>Responsible Party )("PRP") with respect to this landfill.</w:t>
      </w:r>
      <w:r>
        <w:rPr>
          <w:sz w:val="20"/>
          <w:szCs w:val="20"/>
          <w:color w:val="auto"/>
        </w:rPr>
        <w:t xml:space="preserve"> </w:t>
      </w:r>
      <w:r>
        <w:rPr>
          <w:rFonts w:ascii="Courier New" w:cs="Courier New" w:eastAsia="Courier New" w:hAnsi="Courier New"/>
          <w:sz w:val="13"/>
          <w:szCs w:val="13"/>
          <w:color w:val="auto"/>
        </w:rPr>
        <w:t>Pursuant to a consent order with the</w:t>
      </w:r>
    </w:p>
    <w:p>
      <w:pPr>
        <w:spacing w:after="0" w:line="157" w:lineRule="exact"/>
        <w:rPr>
          <w:sz w:val="20"/>
          <w:szCs w:val="20"/>
          <w:color w:val="auto"/>
        </w:rPr>
      </w:pPr>
    </w:p>
    <w:p>
      <w:pPr>
        <w:ind w:left="80" w:right="4139" w:hanging="79"/>
        <w:spacing w:after="0" w:line="251" w:lineRule="auto"/>
        <w:rPr>
          <w:sz w:val="20"/>
          <w:szCs w:val="20"/>
          <w:color w:val="auto"/>
        </w:rPr>
      </w:pPr>
      <w:r>
        <w:rPr>
          <w:rFonts w:ascii="Courier New" w:cs="Courier New" w:eastAsia="Courier New" w:hAnsi="Courier New"/>
          <w:sz w:val="13"/>
          <w:szCs w:val="13"/>
          <w:color w:val="auto"/>
        </w:rPr>
        <w:t>Ohio EPA, the Company, together with four other PRP's identified to date, is investigating the</w:t>
      </w:r>
    </w:p>
    <w:p>
      <w:pPr>
        <w:spacing w:after="0"/>
        <w:rPr>
          <w:sz w:val="20"/>
          <w:szCs w:val="20"/>
          <w:color w:val="auto"/>
        </w:rPr>
      </w:pPr>
      <w:r>
        <w:rPr>
          <w:rFonts w:ascii="Courier New" w:cs="Courier New" w:eastAsia="Courier New" w:hAnsi="Courier New"/>
          <w:sz w:val="13"/>
          <w:szCs w:val="13"/>
          <w:color w:val="auto"/>
        </w:rPr>
        <w:t>extent of contamination at the landfill and developing a remediation program.</w:t>
      </w:r>
    </w:p>
    <w:p>
      <w:pPr>
        <w:spacing w:after="0" w:line="161"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In July 1990, the Company was directed by the Army Corps of Engineers (the "Corps") to</w:t>
      </w:r>
    </w:p>
    <w:p>
      <w:pPr>
        <w:ind w:left="80" w:right="4219" w:hanging="79"/>
        <w:spacing w:after="0" w:line="247" w:lineRule="auto"/>
        <w:rPr>
          <w:sz w:val="20"/>
          <w:szCs w:val="20"/>
          <w:color w:val="auto"/>
        </w:rPr>
      </w:pPr>
      <w:r>
        <w:rPr>
          <w:rFonts w:ascii="Courier New" w:cs="Courier New" w:eastAsia="Courier New" w:hAnsi="Courier New"/>
          <w:sz w:val="13"/>
          <w:szCs w:val="13"/>
          <w:color w:val="auto"/>
        </w:rPr>
        <w:t>cease peat harvesting operations at its New Jersey facility.</w:t>
      </w:r>
      <w:r>
        <w:rPr>
          <w:sz w:val="20"/>
          <w:szCs w:val="20"/>
          <w:color w:val="auto"/>
        </w:rPr>
        <w:t xml:space="preserve"> </w:t>
      </w:r>
      <w:r>
        <w:rPr>
          <w:rFonts w:ascii="Courier New" w:cs="Courier New" w:eastAsia="Courier New" w:hAnsi="Courier New"/>
          <w:sz w:val="13"/>
          <w:szCs w:val="13"/>
          <w:color w:val="auto"/>
        </w:rPr>
        <w:t>The Corps has alleged that the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peat harvesting operations were in violation of the Clean Water Act ("CWA").</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The United</w:t>
      </w:r>
    </w:p>
    <w:p>
      <w:pPr>
        <w:spacing w:after="0" w:line="7" w:lineRule="exact"/>
        <w:rPr>
          <w:sz w:val="20"/>
          <w:szCs w:val="20"/>
          <w:color w:val="auto"/>
        </w:rPr>
      </w:pPr>
    </w:p>
    <w:p>
      <w:pPr>
        <w:ind w:left="80" w:right="4059" w:hanging="79"/>
        <w:spacing w:after="0" w:line="251" w:lineRule="auto"/>
        <w:rPr>
          <w:sz w:val="20"/>
          <w:szCs w:val="20"/>
          <w:color w:val="auto"/>
        </w:rPr>
      </w:pPr>
      <w:r>
        <w:rPr>
          <w:rFonts w:ascii="Courier New" w:cs="Courier New" w:eastAsia="Courier New" w:hAnsi="Courier New"/>
          <w:sz w:val="13"/>
          <w:szCs w:val="13"/>
          <w:color w:val="auto"/>
        </w:rPr>
        <w:t>States Department of Justice has commenced a legal action to seek a permanent injunction</w:t>
      </w:r>
    </w:p>
    <w:p>
      <w:pPr>
        <w:ind w:left="80" w:right="4059" w:hanging="79"/>
        <w:spacing w:after="0" w:line="251" w:lineRule="auto"/>
        <w:rPr>
          <w:sz w:val="20"/>
          <w:szCs w:val="20"/>
          <w:color w:val="auto"/>
        </w:rPr>
      </w:pPr>
      <w:r>
        <w:rPr>
          <w:rFonts w:ascii="Courier New" w:cs="Courier New" w:eastAsia="Courier New" w:hAnsi="Courier New"/>
          <w:sz w:val="13"/>
          <w:szCs w:val="13"/>
          <w:color w:val="auto"/>
        </w:rPr>
        <w:t>against peat harvesting at this facility and to recover civil penalties under the CWA. This</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action had been suspended while the parties engaged in discussion to resolve the dispute.</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Those discussions have not resulted in a settlement and accordingly the action has been</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reinstated.</w:t>
      </w:r>
      <w:r>
        <w:rPr>
          <w:sz w:val="20"/>
          <w:szCs w:val="20"/>
          <w:color w:val="auto"/>
        </w:rPr>
        <w:t xml:space="preserve"> </w:t>
      </w:r>
      <w:r>
        <w:rPr>
          <w:rFonts w:ascii="Courier New" w:cs="Courier New" w:eastAsia="Courier New" w:hAnsi="Courier New"/>
          <w:sz w:val="13"/>
          <w:szCs w:val="13"/>
          <w:color w:val="auto"/>
        </w:rPr>
        <w:t>The Company intends to defend the action vigorously but if the Corps' position is</w:t>
      </w:r>
    </w:p>
    <w:p>
      <w:pPr>
        <w:ind w:left="80" w:right="3979" w:hanging="79"/>
        <w:spacing w:after="0" w:line="251" w:lineRule="auto"/>
        <w:rPr>
          <w:sz w:val="20"/>
          <w:szCs w:val="20"/>
          <w:color w:val="auto"/>
        </w:rPr>
      </w:pPr>
      <w:r>
        <w:rPr>
          <w:rFonts w:ascii="Courier New" w:cs="Courier New" w:eastAsia="Courier New" w:hAnsi="Courier New"/>
          <w:sz w:val="13"/>
          <w:szCs w:val="13"/>
          <w:color w:val="auto"/>
        </w:rPr>
        <w:t>upheld the Company could be prohibited from further harvesting of peat at this location and</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penalties could be assessed against the Company.</w:t>
      </w:r>
      <w:r>
        <w:rPr>
          <w:sz w:val="20"/>
          <w:szCs w:val="20"/>
          <w:color w:val="auto"/>
        </w:rPr>
        <w:t xml:space="preserve"> </w:t>
      </w:r>
      <w:r>
        <w:rPr>
          <w:rFonts w:ascii="Courier New" w:cs="Courier New" w:eastAsia="Courier New" w:hAnsi="Courier New"/>
          <w:sz w:val="13"/>
          <w:szCs w:val="13"/>
          <w:color w:val="auto"/>
        </w:rPr>
        <w:t>In the opinion of management, the</w:t>
      </w:r>
    </w:p>
    <w:p>
      <w:pPr>
        <w:spacing w:after="0" w:line="157" w:lineRule="exact"/>
        <w:rPr>
          <w:sz w:val="20"/>
          <w:szCs w:val="20"/>
          <w:color w:val="auto"/>
        </w:rPr>
      </w:pPr>
    </w:p>
    <w:p>
      <w:pPr>
        <w:ind w:left="80" w:right="4539" w:hanging="79"/>
        <w:spacing w:after="0" w:line="251" w:lineRule="auto"/>
        <w:rPr>
          <w:sz w:val="20"/>
          <w:szCs w:val="20"/>
          <w:color w:val="auto"/>
        </w:rPr>
      </w:pPr>
      <w:r>
        <w:rPr>
          <w:rFonts w:ascii="Courier New" w:cs="Courier New" w:eastAsia="Courier New" w:hAnsi="Courier New"/>
          <w:sz w:val="13"/>
          <w:szCs w:val="13"/>
          <w:color w:val="auto"/>
        </w:rPr>
        <w:t>outcome of this action will not have a material effect on the Company's financial position or</w:t>
      </w:r>
    </w:p>
    <w:p>
      <w:pPr>
        <w:ind w:left="80" w:right="4459" w:hanging="79"/>
        <w:spacing w:after="0" w:line="247" w:lineRule="auto"/>
        <w:rPr>
          <w:sz w:val="20"/>
          <w:szCs w:val="20"/>
          <w:color w:val="auto"/>
        </w:rPr>
      </w:pPr>
      <w:r>
        <w:rPr>
          <w:rFonts w:ascii="Courier New" w:cs="Courier New" w:eastAsia="Courier New" w:hAnsi="Courier New"/>
          <w:sz w:val="13"/>
          <w:szCs w:val="13"/>
          <w:color w:val="auto"/>
        </w:rPr>
        <w:t>results of operations.</w:t>
      </w:r>
      <w:r>
        <w:rPr>
          <w:sz w:val="20"/>
          <w:szCs w:val="20"/>
          <w:color w:val="auto"/>
        </w:rPr>
        <w:t xml:space="preserve"> </w:t>
      </w:r>
      <w:r>
        <w:rPr>
          <w:rFonts w:ascii="Courier New" w:cs="Courier New" w:eastAsia="Courier New" w:hAnsi="Courier New"/>
          <w:sz w:val="13"/>
          <w:szCs w:val="13"/>
          <w:color w:val="auto"/>
        </w:rPr>
        <w:t>Furthermore, management believes the Company has sufficient raw</w:t>
      </w:r>
    </w:p>
    <w:p>
      <w:pPr>
        <w:spacing w:after="0" w:line="157" w:lineRule="exact"/>
        <w:rPr>
          <w:sz w:val="20"/>
          <w:szCs w:val="20"/>
          <w:color w:val="auto"/>
        </w:rPr>
      </w:pPr>
    </w:p>
    <w:p>
      <w:pPr>
        <w:ind w:left="80" w:right="4619" w:hanging="79"/>
        <w:spacing w:after="0" w:line="251" w:lineRule="auto"/>
        <w:rPr>
          <w:sz w:val="20"/>
          <w:szCs w:val="20"/>
          <w:color w:val="auto"/>
        </w:rPr>
      </w:pPr>
      <w:r>
        <w:rPr>
          <w:rFonts w:ascii="Courier New" w:cs="Courier New" w:eastAsia="Courier New" w:hAnsi="Courier New"/>
          <w:sz w:val="13"/>
          <w:szCs w:val="13"/>
          <w:color w:val="auto"/>
        </w:rPr>
        <w:t>material supplies available such that service to customers will not be adversely affected by</w:t>
      </w:r>
    </w:p>
    <w:p>
      <w:pPr>
        <w:spacing w:after="0"/>
        <w:rPr>
          <w:sz w:val="20"/>
          <w:szCs w:val="20"/>
          <w:color w:val="auto"/>
        </w:rPr>
      </w:pPr>
      <w:r>
        <w:rPr>
          <w:rFonts w:ascii="Courier New" w:cs="Courier New" w:eastAsia="Courier New" w:hAnsi="Courier New"/>
          <w:sz w:val="13"/>
          <w:szCs w:val="13"/>
          <w:color w:val="auto"/>
        </w:rPr>
        <w:t>continued closure of this peat harvesting operation.</w:t>
      </w:r>
    </w:p>
    <w:p>
      <w:pPr>
        <w:sectPr>
          <w:pgSz w:w="11900" w:h="16838" w:orient="portrait"/>
          <w:cols w:equalWidth="0" w:num="1">
            <w:col w:w="10239"/>
          </w:cols>
          <w:pgMar w:left="220" w:top="141" w:right="1440" w:bottom="0" w:gutter="0" w:footer="0" w:header="0"/>
        </w:sectPr>
      </w:pPr>
    </w:p>
    <w:bookmarkStart w:id="11" w:name="page12"/>
    <w:bookmarkEnd w:id="11"/>
    <w:p>
      <w:pPr>
        <w:ind w:left="80" w:right="3899" w:hanging="79"/>
        <w:spacing w:after="0" w:line="251" w:lineRule="auto"/>
        <w:rPr>
          <w:sz w:val="20"/>
          <w:szCs w:val="20"/>
          <w:color w:val="auto"/>
        </w:rPr>
      </w:pPr>
      <w:r>
        <w:rPr>
          <w:rFonts w:ascii="Courier New" w:cs="Courier New" w:eastAsia="Courier New" w:hAnsi="Courier New"/>
          <w:sz w:val="13"/>
          <w:szCs w:val="13"/>
          <w:color w:val="auto"/>
        </w:rPr>
        <w:t>Sierra is a potentially responsible party in connection with the Lorentz Barrel and Drum</w:t>
      </w:r>
    </w:p>
    <w:p>
      <w:pPr>
        <w:ind w:left="80" w:right="4219" w:hanging="79"/>
        <w:spacing w:after="0" w:line="251" w:lineRule="auto"/>
        <w:rPr>
          <w:sz w:val="20"/>
          <w:szCs w:val="20"/>
          <w:color w:val="auto"/>
        </w:rPr>
      </w:pPr>
      <w:r>
        <w:rPr>
          <w:rFonts w:ascii="Courier New" w:cs="Courier New" w:eastAsia="Courier New" w:hAnsi="Courier New"/>
          <w:sz w:val="13"/>
          <w:szCs w:val="13"/>
          <w:color w:val="auto"/>
        </w:rPr>
        <w:t>Superfund Site in California, as a result of its predecessor having shipped barrels to Lorentz</w:t>
      </w:r>
    </w:p>
    <w:p>
      <w:pPr>
        <w:ind w:left="80" w:right="4619" w:hanging="79"/>
        <w:spacing w:after="0" w:line="247" w:lineRule="auto"/>
        <w:rPr>
          <w:sz w:val="20"/>
          <w:szCs w:val="20"/>
          <w:color w:val="auto"/>
        </w:rPr>
      </w:pPr>
      <w:r>
        <w:rPr>
          <w:rFonts w:ascii="Courier New" w:cs="Courier New" w:eastAsia="Courier New" w:hAnsi="Courier New"/>
          <w:sz w:val="13"/>
          <w:szCs w:val="13"/>
          <w:color w:val="auto"/>
        </w:rPr>
        <w:t>for reconditioning or sale between 1967 and 1972.</w:t>
      </w:r>
      <w:r>
        <w:rPr>
          <w:sz w:val="20"/>
          <w:szCs w:val="20"/>
          <w:color w:val="auto"/>
        </w:rPr>
        <w:t xml:space="preserve"> </w:t>
      </w:r>
      <w:r>
        <w:rPr>
          <w:rFonts w:ascii="Courier New" w:cs="Courier New" w:eastAsia="Courier New" w:hAnsi="Courier New"/>
          <w:sz w:val="13"/>
          <w:szCs w:val="13"/>
          <w:color w:val="auto"/>
        </w:rPr>
        <w:t>Although many other companies are</w:t>
      </w:r>
    </w:p>
    <w:p>
      <w:pPr>
        <w:spacing w:after="0" w:line="157" w:lineRule="exact"/>
        <w:rPr>
          <w:sz w:val="20"/>
          <w:szCs w:val="20"/>
          <w:color w:val="auto"/>
        </w:rPr>
      </w:pPr>
    </w:p>
    <w:p>
      <w:pPr>
        <w:ind w:left="80" w:right="4699" w:hanging="79"/>
        <w:spacing w:after="0" w:line="251" w:lineRule="auto"/>
        <w:rPr>
          <w:sz w:val="20"/>
          <w:szCs w:val="20"/>
          <w:color w:val="auto"/>
        </w:rPr>
      </w:pPr>
      <w:r>
        <w:rPr>
          <w:rFonts w:ascii="Courier New" w:cs="Courier New" w:eastAsia="Courier New" w:hAnsi="Courier New"/>
          <w:sz w:val="13"/>
          <w:szCs w:val="13"/>
          <w:color w:val="auto"/>
        </w:rPr>
        <w:t>participating in the remediation of this site, issues relating to the allocation of the costs have</w:t>
      </w:r>
    </w:p>
    <w:p>
      <w:pPr>
        <w:ind w:left="80" w:right="4459" w:hanging="79"/>
        <w:spacing w:after="0" w:line="247" w:lineRule="auto"/>
        <w:rPr>
          <w:sz w:val="20"/>
          <w:szCs w:val="20"/>
          <w:color w:val="auto"/>
        </w:rPr>
      </w:pPr>
      <w:r>
        <w:rPr>
          <w:rFonts w:ascii="Courier New" w:cs="Courier New" w:eastAsia="Courier New" w:hAnsi="Courier New"/>
          <w:sz w:val="13"/>
          <w:szCs w:val="13"/>
          <w:color w:val="auto"/>
        </w:rPr>
        <w:t>not yet been resolved.</w:t>
      </w:r>
      <w:r>
        <w:rPr>
          <w:sz w:val="20"/>
          <w:szCs w:val="20"/>
          <w:color w:val="auto"/>
        </w:rPr>
        <w:t xml:space="preserve"> </w:t>
      </w:r>
      <w:r>
        <w:rPr>
          <w:rFonts w:ascii="Courier New" w:cs="Courier New" w:eastAsia="Courier New" w:hAnsi="Courier New"/>
          <w:sz w:val="13"/>
          <w:szCs w:val="13"/>
          <w:color w:val="auto"/>
        </w:rPr>
        <w:t>Management estimates that the Company's share of remediation</w:t>
      </w:r>
    </w:p>
    <w:p>
      <w:pPr>
        <w:spacing w:after="0" w:line="157" w:lineRule="exact"/>
        <w:rPr>
          <w:sz w:val="20"/>
          <w:szCs w:val="20"/>
          <w:color w:val="auto"/>
        </w:rPr>
      </w:pPr>
    </w:p>
    <w:p>
      <w:pPr>
        <w:ind w:left="80" w:right="4379" w:hanging="79"/>
        <w:spacing w:after="0" w:line="247" w:lineRule="auto"/>
        <w:rPr>
          <w:sz w:val="20"/>
          <w:szCs w:val="20"/>
          <w:color w:val="auto"/>
        </w:rPr>
      </w:pPr>
      <w:r>
        <w:rPr>
          <w:rFonts w:ascii="Courier New" w:cs="Courier New" w:eastAsia="Courier New" w:hAnsi="Courier New"/>
          <w:sz w:val="13"/>
          <w:szCs w:val="13"/>
          <w:color w:val="auto"/>
        </w:rPr>
        <w:t>costs for this site will be less than $200,000.</w:t>
      </w:r>
      <w:r>
        <w:rPr>
          <w:sz w:val="20"/>
          <w:szCs w:val="20"/>
          <w:color w:val="auto"/>
        </w:rPr>
        <w:t xml:space="preserve"> </w:t>
      </w:r>
      <w:r>
        <w:rPr>
          <w:rFonts w:ascii="Courier New" w:cs="Courier New" w:eastAsia="Courier New" w:hAnsi="Courier New"/>
          <w:sz w:val="13"/>
          <w:szCs w:val="13"/>
          <w:color w:val="auto"/>
        </w:rPr>
        <w:t>In addition, Sierra is a defendant in a private</w:t>
      </w:r>
    </w:p>
    <w:p>
      <w:pPr>
        <w:spacing w:after="0" w:line="157"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cost-recovery action relating to the Novak Sanitary Landfill, located near Allentown,</w:t>
      </w:r>
    </w:p>
    <w:p>
      <w:pPr>
        <w:ind w:left="80" w:right="4379" w:hanging="79"/>
        <w:spacing w:after="0" w:line="247" w:lineRule="auto"/>
        <w:rPr>
          <w:sz w:val="20"/>
          <w:szCs w:val="20"/>
          <w:color w:val="auto"/>
        </w:rPr>
      </w:pPr>
      <w:r>
        <w:rPr>
          <w:rFonts w:ascii="Courier New" w:cs="Courier New" w:eastAsia="Courier New" w:hAnsi="Courier New"/>
          <w:sz w:val="13"/>
          <w:szCs w:val="13"/>
          <w:color w:val="auto"/>
        </w:rPr>
        <w:t>Pennsylvania.</w:t>
      </w:r>
      <w:r>
        <w:rPr>
          <w:sz w:val="20"/>
          <w:szCs w:val="20"/>
          <w:color w:val="auto"/>
        </w:rPr>
        <w:t xml:space="preserve"> </w:t>
      </w:r>
      <w:r>
        <w:rPr>
          <w:rFonts w:ascii="Courier New" w:cs="Courier New" w:eastAsia="Courier New" w:hAnsi="Courier New"/>
          <w:sz w:val="13"/>
          <w:szCs w:val="13"/>
          <w:color w:val="auto"/>
        </w:rPr>
        <w:t>By agreement with W. R. Grace-Conn., Sierra's liability is limited to a</w:t>
      </w:r>
    </w:p>
    <w:p>
      <w:pPr>
        <w:spacing w:after="0" w:line="157" w:lineRule="exact"/>
        <w:rPr>
          <w:sz w:val="20"/>
          <w:szCs w:val="20"/>
          <w:color w:val="auto"/>
        </w:rPr>
      </w:pPr>
    </w:p>
    <w:p>
      <w:pPr>
        <w:ind w:left="80" w:right="4059" w:hanging="79"/>
        <w:spacing w:after="0" w:line="247" w:lineRule="auto"/>
        <w:rPr>
          <w:sz w:val="20"/>
          <w:szCs w:val="20"/>
          <w:color w:val="auto"/>
        </w:rPr>
      </w:pPr>
      <w:r>
        <w:rPr>
          <w:rFonts w:ascii="Courier New" w:cs="Courier New" w:eastAsia="Courier New" w:hAnsi="Courier New"/>
          <w:sz w:val="13"/>
          <w:szCs w:val="13"/>
          <w:color w:val="auto"/>
        </w:rPr>
        <w:t>maximum of $200,000 with respect to this site.</w:t>
      </w:r>
      <w:r>
        <w:rPr>
          <w:sz w:val="20"/>
          <w:szCs w:val="20"/>
          <w:color w:val="auto"/>
        </w:rPr>
        <w:t xml:space="preserve"> </w:t>
      </w:r>
      <w:r>
        <w:rPr>
          <w:rFonts w:ascii="Courier New" w:cs="Courier New" w:eastAsia="Courier New" w:hAnsi="Courier New"/>
          <w:sz w:val="13"/>
          <w:szCs w:val="13"/>
          <w:color w:val="auto"/>
        </w:rPr>
        <w:t>The Company's management does not</w:t>
      </w:r>
    </w:p>
    <w:p>
      <w:pPr>
        <w:spacing w:after="0" w:line="157"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believe that the outcome of these proceedings will in the aggregate have a material adverse</w:t>
      </w:r>
    </w:p>
    <w:p>
      <w:pPr>
        <w:ind w:left="80" w:right="4219" w:hanging="79"/>
        <w:spacing w:after="0" w:line="247" w:lineRule="auto"/>
        <w:rPr>
          <w:sz w:val="20"/>
          <w:szCs w:val="20"/>
          <w:color w:val="auto"/>
        </w:rPr>
      </w:pPr>
      <w:r>
        <w:rPr>
          <w:rFonts w:ascii="Courier New" w:cs="Courier New" w:eastAsia="Courier New" w:hAnsi="Courier New"/>
          <w:sz w:val="13"/>
          <w:szCs w:val="13"/>
          <w:color w:val="auto"/>
        </w:rPr>
        <w:t>effect on its financial condition or results of operations.</w:t>
      </w:r>
      <w:r>
        <w:rPr>
          <w:sz w:val="20"/>
          <w:szCs w:val="20"/>
          <w:color w:val="auto"/>
        </w:rPr>
        <w:t xml:space="preserve"> </w:t>
      </w:r>
      <w:r>
        <w:rPr>
          <w:rFonts w:ascii="Courier New" w:cs="Courier New" w:eastAsia="Courier New" w:hAnsi="Courier New"/>
          <w:sz w:val="13"/>
          <w:szCs w:val="13"/>
          <w:color w:val="auto"/>
        </w:rPr>
        <w:t>In addition to being named as PRP's</w:t>
      </w:r>
    </w:p>
    <w:p>
      <w:pPr>
        <w:spacing w:after="0" w:line="157" w:lineRule="exact"/>
        <w:rPr>
          <w:sz w:val="20"/>
          <w:szCs w:val="20"/>
          <w:color w:val="auto"/>
        </w:rPr>
      </w:pPr>
    </w:p>
    <w:p>
      <w:pPr>
        <w:ind w:left="80" w:right="4219" w:hanging="79"/>
        <w:spacing w:after="0" w:line="251" w:lineRule="auto"/>
        <w:rPr>
          <w:sz w:val="20"/>
          <w:szCs w:val="20"/>
          <w:color w:val="auto"/>
        </w:rPr>
      </w:pPr>
      <w:r>
        <w:rPr>
          <w:rFonts w:ascii="Courier New" w:cs="Courier New" w:eastAsia="Courier New" w:hAnsi="Courier New"/>
          <w:sz w:val="13"/>
          <w:szCs w:val="13"/>
          <w:color w:val="auto"/>
        </w:rPr>
        <w:t>in the above noted situations, the Company is subject to potential fines in connection with</w:t>
      </w:r>
    </w:p>
    <w:p>
      <w:pPr>
        <w:ind w:left="80" w:right="4139" w:hanging="79"/>
        <w:spacing w:after="0" w:line="251" w:lineRule="auto"/>
        <w:rPr>
          <w:sz w:val="20"/>
          <w:szCs w:val="20"/>
          <w:color w:val="auto"/>
        </w:rPr>
      </w:pPr>
      <w:r>
        <w:rPr>
          <w:rFonts w:ascii="Courier New" w:cs="Courier New" w:eastAsia="Courier New" w:hAnsi="Courier New"/>
          <w:sz w:val="13"/>
          <w:szCs w:val="13"/>
          <w:color w:val="auto"/>
        </w:rPr>
        <w:t>certain EPA labeling violations under the Federal Insecticide, Fungicide and Rodenticide Act</w:t>
      </w:r>
    </w:p>
    <w:p>
      <w:pPr>
        <w:ind w:left="80" w:right="4139" w:hanging="79"/>
        <w:spacing w:after="0" w:line="247" w:lineRule="auto"/>
        <w:rPr>
          <w:sz w:val="20"/>
          <w:szCs w:val="20"/>
          <w:color w:val="auto"/>
        </w:rPr>
      </w:pPr>
      <w:r>
        <w:rPr>
          <w:rFonts w:ascii="Courier New" w:cs="Courier New" w:eastAsia="Courier New" w:hAnsi="Courier New"/>
          <w:sz w:val="13"/>
          <w:szCs w:val="13"/>
          <w:color w:val="auto"/>
        </w:rPr>
        <w:t>(FIFRA).</w:t>
      </w:r>
      <w:r>
        <w:rPr>
          <w:sz w:val="20"/>
          <w:szCs w:val="20"/>
          <w:color w:val="auto"/>
        </w:rPr>
        <w:t xml:space="preserve"> </w:t>
      </w:r>
      <w:r>
        <w:rPr>
          <w:rFonts w:ascii="Courier New" w:cs="Courier New" w:eastAsia="Courier New" w:hAnsi="Courier New"/>
          <w:sz w:val="13"/>
          <w:szCs w:val="13"/>
          <w:color w:val="auto"/>
        </w:rPr>
        <w:t>The fines for such violations are based upon formulas as stated in FIFRA. As</w:t>
      </w:r>
    </w:p>
    <w:p>
      <w:pPr>
        <w:spacing w:after="0" w:line="157" w:lineRule="exact"/>
        <w:rPr>
          <w:sz w:val="20"/>
          <w:szCs w:val="20"/>
          <w:color w:val="auto"/>
        </w:rPr>
      </w:pPr>
    </w:p>
    <w:p>
      <w:pPr>
        <w:ind w:left="80" w:right="4859" w:hanging="79"/>
        <w:spacing w:after="0" w:line="251" w:lineRule="auto"/>
        <w:rPr>
          <w:sz w:val="20"/>
          <w:szCs w:val="20"/>
          <w:color w:val="auto"/>
        </w:rPr>
      </w:pPr>
      <w:r>
        <w:rPr>
          <w:rFonts w:ascii="Courier New" w:cs="Courier New" w:eastAsia="Courier New" w:hAnsi="Courier New"/>
          <w:sz w:val="13"/>
          <w:szCs w:val="13"/>
          <w:color w:val="auto"/>
        </w:rPr>
        <w:t>determined by these formulas the Company's maximum exposure for the violations is</w:t>
      </w:r>
    </w:p>
    <w:p>
      <w:pPr>
        <w:ind w:left="80" w:right="3899" w:hanging="79"/>
        <w:spacing w:after="0" w:line="247" w:lineRule="auto"/>
        <w:rPr>
          <w:sz w:val="20"/>
          <w:szCs w:val="20"/>
          <w:color w:val="auto"/>
        </w:rPr>
      </w:pPr>
      <w:r>
        <w:rPr>
          <w:rFonts w:ascii="Courier New" w:cs="Courier New" w:eastAsia="Courier New" w:hAnsi="Courier New"/>
          <w:sz w:val="13"/>
          <w:szCs w:val="13"/>
          <w:color w:val="auto"/>
        </w:rPr>
        <w:t>approximately $810,000.</w:t>
      </w:r>
      <w:r>
        <w:rPr>
          <w:sz w:val="20"/>
          <w:szCs w:val="20"/>
          <w:color w:val="auto"/>
        </w:rPr>
        <w:t xml:space="preserve"> </w:t>
      </w:r>
      <w:r>
        <w:rPr>
          <w:rFonts w:ascii="Courier New" w:cs="Courier New" w:eastAsia="Courier New" w:hAnsi="Courier New"/>
          <w:sz w:val="13"/>
          <w:szCs w:val="13"/>
          <w:color w:val="auto"/>
        </w:rPr>
        <w:t>The formulas allow for certain reductions of the fines based upon</w:t>
      </w:r>
    </w:p>
    <w:p>
      <w:pPr>
        <w:spacing w:after="0" w:line="157"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3"/>
          <w:szCs w:val="13"/>
          <w:color w:val="auto"/>
        </w:rPr>
        <w:t>achievable levels of compliance.</w:t>
        <w:tab/>
        <w:t>Based upon management's anticipated levels of</w:t>
      </w:r>
    </w:p>
    <w:p>
      <w:pPr>
        <w:spacing w:after="0" w:line="161" w:lineRule="exact"/>
        <w:rPr>
          <w:sz w:val="20"/>
          <w:szCs w:val="20"/>
          <w:color w:val="auto"/>
        </w:rPr>
      </w:pPr>
    </w:p>
    <w:p>
      <w:pPr>
        <w:ind w:left="80" w:right="4299" w:hanging="79"/>
        <w:spacing w:after="0" w:line="251" w:lineRule="auto"/>
        <w:rPr>
          <w:sz w:val="20"/>
          <w:szCs w:val="20"/>
          <w:color w:val="auto"/>
        </w:rPr>
      </w:pPr>
      <w:r>
        <w:rPr>
          <w:rFonts w:ascii="Courier New" w:cs="Courier New" w:eastAsia="Courier New" w:hAnsi="Courier New"/>
          <w:sz w:val="13"/>
          <w:szCs w:val="13"/>
          <w:color w:val="auto"/>
        </w:rPr>
        <w:t>compliance, they estimate the Company's ultimate liability to be $200,000, which has been</w:t>
      </w:r>
    </w:p>
    <w:p>
      <w:pPr>
        <w:spacing w:after="0"/>
        <w:rPr>
          <w:sz w:val="20"/>
          <w:szCs w:val="20"/>
          <w:color w:val="auto"/>
        </w:rPr>
      </w:pPr>
      <w:r>
        <w:rPr>
          <w:rFonts w:ascii="Courier New" w:cs="Courier New" w:eastAsia="Courier New" w:hAnsi="Courier New"/>
          <w:sz w:val="13"/>
          <w:szCs w:val="13"/>
          <w:color w:val="auto"/>
        </w:rPr>
        <w:t>accrued in the financial statements.</w:t>
      </w:r>
    </w:p>
    <w:p>
      <w:pPr>
        <w:spacing w:after="0" w:line="200" w:lineRule="exact"/>
        <w:rPr>
          <w:sz w:val="20"/>
          <w:szCs w:val="20"/>
          <w:color w:val="auto"/>
        </w:rPr>
      </w:pPr>
    </w:p>
    <w:p>
      <w:pPr>
        <w:spacing w:after="0" w:line="27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3"/>
          <w:szCs w:val="13"/>
          <w:color w:val="auto"/>
        </w:rPr>
        <w:t>Item 6.</w:t>
        <w:tab/>
        <w:t>Exhibits and Reports on Form 8-K.</w:t>
      </w:r>
    </w:p>
    <w:p>
      <w:pPr>
        <w:spacing w:after="0" w:line="161" w:lineRule="exact"/>
        <w:rPr>
          <w:sz w:val="20"/>
          <w:szCs w:val="20"/>
          <w:color w:val="auto"/>
        </w:rPr>
      </w:pPr>
    </w:p>
    <w:p>
      <w:pPr>
        <w:ind w:left="880" w:hanging="397"/>
        <w:spacing w:after="0"/>
        <w:tabs>
          <w:tab w:leader="none" w:pos="880"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Exhibits.</w:t>
      </w:r>
    </w:p>
    <w:p>
      <w:pPr>
        <w:spacing w:after="0" w:line="161" w:lineRule="exact"/>
        <w:rPr>
          <w:sz w:val="20"/>
          <w:szCs w:val="20"/>
          <w:color w:val="auto"/>
        </w:rPr>
      </w:pPr>
    </w:p>
    <w:p>
      <w:pPr>
        <w:ind w:left="960"/>
        <w:spacing w:after="0"/>
        <w:tabs>
          <w:tab w:leader="none" w:pos="1500" w:val="left"/>
        </w:tabs>
        <w:rPr>
          <w:sz w:val="20"/>
          <w:szCs w:val="20"/>
          <w:color w:val="auto"/>
        </w:rPr>
      </w:pPr>
      <w:r>
        <w:rPr>
          <w:rFonts w:ascii="Courier New" w:cs="Courier New" w:eastAsia="Courier New" w:hAnsi="Courier New"/>
          <w:sz w:val="13"/>
          <w:szCs w:val="13"/>
          <w:color w:val="auto"/>
        </w:rPr>
        <w:t>11(a)</w:t>
        <w:tab/>
        <w:t>Computation of Net Income Per Common Share</w:t>
      </w:r>
    </w:p>
    <w:p>
      <w:pPr>
        <w:spacing w:after="0" w:line="161" w:lineRule="exact"/>
        <w:rPr>
          <w:sz w:val="20"/>
          <w:szCs w:val="20"/>
          <w:color w:val="auto"/>
        </w:rPr>
      </w:pPr>
    </w:p>
    <w:p>
      <w:pPr>
        <w:ind w:left="880" w:hanging="397"/>
        <w:spacing w:after="0"/>
        <w:tabs>
          <w:tab w:leader="none" w:pos="880"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Reports on Form 8-K - None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15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0" w:right="3819" w:firstLine="561"/>
        <w:spacing w:after="0" w:line="251" w:lineRule="auto"/>
        <w:rPr>
          <w:sz w:val="20"/>
          <w:szCs w:val="20"/>
          <w:color w:val="auto"/>
        </w:rPr>
      </w:pPr>
      <w:r>
        <w:rPr>
          <w:rFonts w:ascii="Courier New" w:cs="Courier New" w:eastAsia="Courier New" w:hAnsi="Courier New"/>
          <w:sz w:val="13"/>
          <w:szCs w:val="13"/>
          <w:color w:val="auto"/>
        </w:rPr>
        <w:t>Pursuant to the requirements of the Securities Exchange Act of 1934, the Registrant has</w:t>
      </w:r>
    </w:p>
    <w:p>
      <w:pPr>
        <w:ind w:left="80" w:right="4619" w:hanging="79"/>
        <w:spacing w:after="0" w:line="254" w:lineRule="auto"/>
        <w:rPr>
          <w:sz w:val="20"/>
          <w:szCs w:val="20"/>
          <w:color w:val="auto"/>
        </w:rPr>
      </w:pPr>
      <w:r>
        <w:rPr>
          <w:rFonts w:ascii="Courier New" w:cs="Courier New" w:eastAsia="Courier New" w:hAnsi="Courier New"/>
          <w:sz w:val="13"/>
          <w:szCs w:val="13"/>
          <w:color w:val="auto"/>
        </w:rPr>
        <w:t>duly caused this report to be signed on its behalf by the undersigned, thereunto duly authorized.</w:t>
      </w:r>
    </w:p>
    <w:p>
      <w:pPr>
        <w:spacing w:after="0" w:line="305"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THE SCOTTS COMPANY</w:t>
      </w:r>
    </w:p>
    <w:p>
      <w:pPr>
        <w:spacing w:after="0" w:line="200" w:lineRule="exact"/>
        <w:rPr>
          <w:sz w:val="20"/>
          <w:szCs w:val="20"/>
          <w:color w:val="auto"/>
        </w:rPr>
      </w:pPr>
    </w:p>
    <w:p>
      <w:pPr>
        <w:spacing w:after="0" w:line="270" w:lineRule="exact"/>
        <w:rPr>
          <w:sz w:val="20"/>
          <w:szCs w:val="20"/>
          <w:color w:val="auto"/>
        </w:rPr>
      </w:pPr>
    </w:p>
    <w:p>
      <w:pPr>
        <w:ind w:left="640"/>
        <w:spacing w:after="0"/>
        <w:tabs>
          <w:tab w:leader="none" w:pos="1580" w:val="left"/>
        </w:tabs>
        <w:rPr>
          <w:sz w:val="20"/>
          <w:szCs w:val="20"/>
          <w:color w:val="auto"/>
        </w:rPr>
      </w:pPr>
      <w:r>
        <w:rPr>
          <w:rFonts w:ascii="Courier New" w:cs="Courier New" w:eastAsia="Courier New" w:hAnsi="Courier New"/>
          <w:sz w:val="13"/>
          <w:szCs w:val="13"/>
          <w:color w:val="auto"/>
        </w:rPr>
        <w:t>Date</w:t>
      </w:r>
      <w:r>
        <w:rPr>
          <w:sz w:val="20"/>
          <w:szCs w:val="20"/>
          <w:color w:val="auto"/>
        </w:rPr>
        <w:tab/>
      </w:r>
      <w:r>
        <w:rPr>
          <w:rFonts w:ascii="Courier New" w:cs="Courier New" w:eastAsia="Courier New" w:hAnsi="Courier New"/>
          <w:sz w:val="13"/>
          <w:szCs w:val="13"/>
          <w:color w:val="auto"/>
        </w:rPr>
        <w:t>August 16, 1994</w:t>
      </w:r>
    </w:p>
    <w:p>
      <w:pPr>
        <w:spacing w:after="0" w:line="161" w:lineRule="exact"/>
        <w:rPr>
          <w:sz w:val="20"/>
          <w:szCs w:val="20"/>
          <w:color w:val="auto"/>
        </w:rPr>
      </w:pPr>
    </w:p>
    <w:p>
      <w:pPr>
        <w:ind w:left="1280"/>
        <w:spacing w:after="0"/>
        <w:rPr>
          <w:sz w:val="20"/>
          <w:szCs w:val="20"/>
          <w:color w:val="auto"/>
        </w:rPr>
      </w:pPr>
      <w:r>
        <w:rPr>
          <w:rFonts w:ascii="Courier New" w:cs="Courier New" w:eastAsia="Courier New" w:hAnsi="Courier New"/>
          <w:sz w:val="13"/>
          <w:szCs w:val="13"/>
          <w:color w:val="auto"/>
        </w:rPr>
        <w:t>/s/ Paul D. Yeager</w:t>
      </w:r>
    </w:p>
    <w:p>
      <w:pPr>
        <w:spacing w:after="0" w:line="7"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Paul D. Yeager</w:t>
      </w:r>
    </w:p>
    <w:p>
      <w:pPr>
        <w:spacing w:after="0" w:line="7"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Executive Vice President</w:t>
      </w:r>
    </w:p>
    <w:p>
      <w:pPr>
        <w:spacing w:after="0" w:line="7"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Chief Financial Officer</w:t>
      </w:r>
    </w:p>
    <w:p>
      <w:pPr>
        <w:spacing w:after="0" w:line="7" w:lineRule="exact"/>
        <w:rPr>
          <w:sz w:val="20"/>
          <w:szCs w:val="20"/>
          <w:color w:val="auto"/>
        </w:rPr>
      </w:pPr>
    </w:p>
    <w:p>
      <w:pPr>
        <w:ind w:left="5140"/>
        <w:spacing w:after="0"/>
        <w:rPr>
          <w:sz w:val="20"/>
          <w:szCs w:val="20"/>
          <w:color w:val="auto"/>
        </w:rPr>
      </w:pPr>
      <w:r>
        <w:rPr>
          <w:rFonts w:ascii="Courier New" w:cs="Courier New" w:eastAsia="Courier New" w:hAnsi="Courier New"/>
          <w:sz w:val="13"/>
          <w:szCs w:val="13"/>
          <w:color w:val="auto"/>
        </w:rPr>
        <w:t>Principal Accounting Officer</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SCOTTS COMPANY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QUARTERLY REPORT ON FORM 10-Q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FISCAL QUARTER ENDED JULY 2, 1994</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EXHIBIT INDEX</w:t>
      </w:r>
    </w:p>
    <w:p>
      <w:pPr>
        <w:sectPr>
          <w:pgSz w:w="11900" w:h="16838" w:orient="portrait"/>
          <w:cols w:equalWidth="0" w:num="1">
            <w:col w:w="10239"/>
          </w:cols>
          <w:pgMar w:left="220" w:top="29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3"/>
          <w:szCs w:val="13"/>
          <w:color w:val="auto"/>
        </w:rPr>
        <w:t>Page</w:t>
      </w:r>
    </w:p>
    <w:p>
      <w:pPr>
        <w:spacing w:after="0" w:line="7"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3"/>
          <w:szCs w:val="13"/>
          <w:color w:val="auto"/>
        </w:rPr>
        <w:t>Number</w:t>
      </w:r>
    </w:p>
    <w:p>
      <w:pPr>
        <w:spacing w:after="0" w:line="161" w:lineRule="exact"/>
        <w:rPr>
          <w:sz w:val="20"/>
          <w:szCs w:val="20"/>
          <w:color w:val="auto"/>
        </w:rPr>
      </w:pPr>
    </w:p>
    <w:p>
      <w:pPr>
        <w:sectPr>
          <w:pgSz w:w="11900" w:h="16838" w:orient="portrait"/>
          <w:cols w:equalWidth="0" w:num="3">
            <w:col w:w="1280" w:space="720"/>
            <w:col w:w="2020" w:space="720"/>
            <w:col w:w="5499"/>
          </w:cols>
          <w:pgMar w:left="220" w:top="295" w:right="1440" w:bottom="0" w:gutter="0" w:footer="0" w:header="0"/>
          <w:type w:val="continuous"/>
        </w:sectPr>
      </w:pPr>
    </w:p>
    <w:p>
      <w:pPr>
        <w:ind w:left="80"/>
        <w:spacing w:after="0"/>
        <w:rPr>
          <w:sz w:val="20"/>
          <w:szCs w:val="20"/>
          <w:color w:val="auto"/>
        </w:rPr>
      </w:pPr>
      <w:r>
        <w:rPr>
          <w:rFonts w:ascii="Courier New" w:cs="Courier New" w:eastAsia="Courier New" w:hAnsi="Courier New"/>
          <w:sz w:val="13"/>
          <w:szCs w:val="13"/>
          <w:color w:val="auto"/>
        </w:rPr>
        <w:t>11(a)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Computation of Net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 Common Share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18</w:t>
      </w:r>
    </w:p>
    <w:p>
      <w:pPr>
        <w:spacing w:after="0" w:line="200" w:lineRule="exact"/>
        <w:rPr>
          <w:sz w:val="20"/>
          <w:szCs w:val="20"/>
          <w:color w:val="auto"/>
        </w:rPr>
      </w:pPr>
    </w:p>
    <w:p>
      <w:pPr>
        <w:sectPr>
          <w:pgSz w:w="11900" w:h="16838" w:orient="portrait"/>
          <w:cols w:equalWidth="0" w:num="3">
            <w:col w:w="1280" w:space="720"/>
            <w:col w:w="2180" w:space="720"/>
            <w:col w:w="5339"/>
          </w:cols>
          <w:pgMar w:left="220" w:top="295" w:right="1440" w:bottom="0" w:gutter="0" w:footer="0" w:header="0"/>
          <w:type w:val="continuous"/>
        </w:sect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Page 17</w:t>
      </w:r>
    </w:p>
    <w:p>
      <w:pPr>
        <w:sectPr>
          <w:pgSz w:w="11900" w:h="16838" w:orient="portrait"/>
          <w:cols w:equalWidth="0" w:num="1">
            <w:col w:w="10239"/>
          </w:cols>
          <w:pgMar w:left="220" w:top="295" w:right="1440" w:bottom="0" w:gutter="0" w:footer="0" w:header="0"/>
          <w:type w:val="continuous"/>
        </w:sectPr>
      </w:pPr>
    </w:p>
    <w:bookmarkStart w:id="12" w:name="page13"/>
    <w:bookmarkEnd w:id="12"/>
    <w:p>
      <w:pPr>
        <w:ind w:left="6420"/>
        <w:spacing w:after="0"/>
        <w:rPr>
          <w:sz w:val="20"/>
          <w:szCs w:val="20"/>
          <w:color w:val="auto"/>
        </w:rPr>
      </w:pPr>
      <w:r>
        <w:rPr>
          <w:rFonts w:ascii="Courier New" w:cs="Courier New" w:eastAsia="Courier New" w:hAnsi="Courier New"/>
          <w:sz w:val="13"/>
          <w:szCs w:val="13"/>
          <w:color w:val="auto"/>
        </w:rPr>
        <w:t>Exhibit 11a</w:t>
      </w:r>
    </w:p>
    <w:p>
      <w:pPr>
        <w:spacing w:after="0" w:line="200" w:lineRule="exact"/>
        <w:rPr>
          <w:sz w:val="20"/>
          <w:szCs w:val="20"/>
          <w:color w:val="auto"/>
        </w:rPr>
      </w:pPr>
    </w:p>
    <w:p>
      <w:pPr>
        <w:spacing w:after="0" w:line="270"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3"/>
          <w:szCs w:val="13"/>
          <w:color w:val="auto"/>
        </w:rPr>
        <w:t>THE SCOTTS COMPANY</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3"/>
          <w:szCs w:val="13"/>
          <w:color w:val="auto"/>
        </w:rPr>
        <w:t>Computation of Net Income Per Common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gridSpan w:val="5"/>
          </w:tcPr>
          <w:p>
            <w:pPr>
              <w:jc w:val="right"/>
              <w:spacing w:after="0"/>
              <w:rPr>
                <w:sz w:val="20"/>
                <w:szCs w:val="20"/>
                <w:color w:val="auto"/>
              </w:rPr>
            </w:pPr>
            <w:r>
              <w:rPr>
                <w:rFonts w:ascii="Courier New" w:cs="Courier New" w:eastAsia="Courier New" w:hAnsi="Courier New"/>
                <w:sz w:val="13"/>
                <w:szCs w:val="13"/>
                <w:color w:val="auto"/>
              </w:rPr>
              <w:t>(in thousands except share amounts)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463"/>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jc w:val="right"/>
              <w:ind w:right="253"/>
              <w:spacing w:after="0"/>
              <w:rPr>
                <w:sz w:val="20"/>
                <w:szCs w:val="20"/>
                <w:color w:val="auto"/>
              </w:rPr>
            </w:pPr>
            <w:r>
              <w:rPr>
                <w:rFonts w:ascii="Courier New" w:cs="Courier New" w:eastAsia="Courier New" w:hAnsi="Courier New"/>
                <w:sz w:val="13"/>
                <w:szCs w:val="13"/>
                <w:color w:val="auto"/>
              </w:rPr>
              <w:t>For the Three Months Ended</w:t>
            </w:r>
          </w:p>
        </w:tc>
        <w:tc>
          <w:tcPr>
            <w:tcW w:w="2080" w:type="dxa"/>
            <w:vAlign w:val="bottom"/>
            <w:gridSpan w:val="4"/>
          </w:tcPr>
          <w:p>
            <w:pPr>
              <w:jc w:val="right"/>
              <w:ind w:right="13"/>
              <w:spacing w:after="0"/>
              <w:rPr>
                <w:sz w:val="20"/>
                <w:szCs w:val="20"/>
                <w:color w:val="auto"/>
              </w:rPr>
            </w:pPr>
            <w:r>
              <w:rPr>
                <w:rFonts w:ascii="Courier New" w:cs="Courier New" w:eastAsia="Courier New" w:hAnsi="Courier New"/>
                <w:sz w:val="13"/>
                <w:szCs w:val="13"/>
                <w:color w:val="auto"/>
              </w:rPr>
              <w:t>For the Nine Months Ended</w:t>
            </w:r>
          </w:p>
        </w:tc>
      </w:tr>
      <w:tr>
        <w:trPr>
          <w:trHeight w:val="154"/>
        </w:trPr>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July 3,</w:t>
            </w:r>
          </w:p>
        </w:tc>
        <w:tc>
          <w:tcPr>
            <w:tcW w:w="1260" w:type="dxa"/>
            <w:vAlign w:val="bottom"/>
            <w:gridSpan w:val="2"/>
          </w:tcPr>
          <w:p>
            <w:pPr>
              <w:jc w:val="right"/>
              <w:ind w:right="493"/>
              <w:spacing w:after="0"/>
              <w:rPr>
                <w:sz w:val="20"/>
                <w:szCs w:val="20"/>
                <w:color w:val="auto"/>
              </w:rPr>
            </w:pPr>
            <w:r>
              <w:rPr>
                <w:rFonts w:ascii="Courier New" w:cs="Courier New" w:eastAsia="Courier New" w:hAnsi="Courier New"/>
                <w:sz w:val="13"/>
                <w:szCs w:val="13"/>
                <w:color w:val="auto"/>
              </w:rPr>
              <w:t>July 2,</w:t>
            </w:r>
          </w:p>
        </w:tc>
        <w:tc>
          <w:tcPr>
            <w:tcW w:w="160" w:type="dxa"/>
            <w:vAlign w:val="bottom"/>
          </w:tcPr>
          <w:p>
            <w:pPr>
              <w:spacing w:after="0"/>
              <w:rPr>
                <w:sz w:val="13"/>
                <w:szCs w:val="13"/>
                <w:color w:val="auto"/>
              </w:rPr>
            </w:pPr>
          </w:p>
        </w:tc>
        <w:tc>
          <w:tcPr>
            <w:tcW w:w="920" w:type="dxa"/>
            <w:vAlign w:val="bottom"/>
          </w:tcPr>
          <w:p>
            <w:pPr>
              <w:jc w:val="right"/>
              <w:ind w:right="293"/>
              <w:spacing w:after="0"/>
              <w:rPr>
                <w:sz w:val="20"/>
                <w:szCs w:val="20"/>
                <w:color w:val="auto"/>
              </w:rPr>
            </w:pPr>
            <w:r>
              <w:rPr>
                <w:rFonts w:ascii="Courier New" w:cs="Courier New" w:eastAsia="Courier New" w:hAnsi="Courier New"/>
                <w:sz w:val="13"/>
                <w:szCs w:val="13"/>
                <w:color w:val="auto"/>
                <w:w w:val="98"/>
              </w:rPr>
              <w:t>July 3,</w:t>
            </w:r>
          </w:p>
        </w:tc>
        <w:tc>
          <w:tcPr>
            <w:tcW w:w="1000" w:type="dxa"/>
            <w:vAlign w:val="bottom"/>
            <w:gridSpan w:val="2"/>
          </w:tcPr>
          <w:p>
            <w:pPr>
              <w:jc w:val="right"/>
              <w:ind w:right="333"/>
              <w:spacing w:after="0"/>
              <w:rPr>
                <w:sz w:val="20"/>
                <w:szCs w:val="20"/>
                <w:color w:val="auto"/>
              </w:rPr>
            </w:pPr>
            <w:r>
              <w:rPr>
                <w:rFonts w:ascii="Courier New" w:cs="Courier New" w:eastAsia="Courier New" w:hAnsi="Courier New"/>
                <w:sz w:val="13"/>
                <w:szCs w:val="13"/>
                <w:color w:val="auto"/>
              </w:rPr>
              <w:t>July 2,</w:t>
            </w:r>
          </w:p>
        </w:tc>
      </w:tr>
      <w:tr>
        <w:trPr>
          <w:trHeight w:val="154"/>
        </w:trPr>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533"/>
              <w:spacing w:after="0"/>
              <w:rPr>
                <w:sz w:val="20"/>
                <w:szCs w:val="20"/>
                <w:color w:val="auto"/>
              </w:rPr>
            </w:pPr>
            <w:r>
              <w:rPr>
                <w:rFonts w:ascii="Courier New" w:cs="Courier New" w:eastAsia="Courier New" w:hAnsi="Courier New"/>
                <w:sz w:val="13"/>
                <w:szCs w:val="13"/>
                <w:color w:val="auto"/>
                <w:w w:val="95"/>
              </w:rPr>
              <w:t>1993</w:t>
            </w:r>
          </w:p>
        </w:tc>
        <w:tc>
          <w:tcPr>
            <w:tcW w:w="220" w:type="dxa"/>
            <w:vAlign w:val="bottom"/>
          </w:tcPr>
          <w:p>
            <w:pPr>
              <w:spacing w:after="0"/>
              <w:rPr>
                <w:sz w:val="13"/>
                <w:szCs w:val="13"/>
                <w:color w:val="auto"/>
              </w:rPr>
            </w:pPr>
          </w:p>
        </w:tc>
        <w:tc>
          <w:tcPr>
            <w:tcW w:w="1040" w:type="dxa"/>
            <w:vAlign w:val="bottom"/>
          </w:tcPr>
          <w:p>
            <w:pPr>
              <w:jc w:val="right"/>
              <w:ind w:right="653"/>
              <w:spacing w:after="0"/>
              <w:rPr>
                <w:sz w:val="20"/>
                <w:szCs w:val="20"/>
                <w:color w:val="auto"/>
              </w:rPr>
            </w:pPr>
            <w:r>
              <w:rPr>
                <w:rFonts w:ascii="Courier New" w:cs="Courier New" w:eastAsia="Courier New" w:hAnsi="Courier New"/>
                <w:sz w:val="13"/>
                <w:szCs w:val="13"/>
                <w:color w:val="auto"/>
                <w:w w:val="95"/>
              </w:rPr>
              <w:t>1994</w:t>
            </w:r>
          </w:p>
        </w:tc>
        <w:tc>
          <w:tcPr>
            <w:tcW w:w="160" w:type="dxa"/>
            <w:vAlign w:val="bottom"/>
          </w:tcPr>
          <w:p>
            <w:pPr>
              <w:spacing w:after="0"/>
              <w:rPr>
                <w:sz w:val="13"/>
                <w:szCs w:val="13"/>
                <w:color w:val="auto"/>
              </w:rPr>
            </w:pPr>
          </w:p>
        </w:tc>
        <w:tc>
          <w:tcPr>
            <w:tcW w:w="920" w:type="dxa"/>
            <w:vAlign w:val="bottom"/>
          </w:tcPr>
          <w:p>
            <w:pPr>
              <w:jc w:val="right"/>
              <w:ind w:right="453"/>
              <w:spacing w:after="0"/>
              <w:rPr>
                <w:sz w:val="20"/>
                <w:szCs w:val="20"/>
                <w:color w:val="auto"/>
              </w:rPr>
            </w:pPr>
            <w:r>
              <w:rPr>
                <w:rFonts w:ascii="Courier New" w:cs="Courier New" w:eastAsia="Courier New" w:hAnsi="Courier New"/>
                <w:sz w:val="13"/>
                <w:szCs w:val="13"/>
                <w:color w:val="auto"/>
              </w:rPr>
              <w:t>1993</w:t>
            </w:r>
          </w:p>
        </w:tc>
        <w:tc>
          <w:tcPr>
            <w:tcW w:w="10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1994</w:t>
            </w:r>
          </w:p>
        </w:tc>
      </w:tr>
      <w:tr>
        <w:trPr>
          <w:trHeight w:val="463"/>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Net income for computing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36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net income per</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common share:</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8"/>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Income before cumulative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effect of</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accounting changes</w:t>
            </w:r>
          </w:p>
        </w:tc>
        <w:tc>
          <w:tcPr>
            <w:tcW w:w="120" w:type="dxa"/>
            <w:vAlign w:val="bottom"/>
          </w:tcPr>
          <w:p>
            <w:pPr>
              <w:ind w:left="4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7,986</w:t>
            </w:r>
          </w:p>
        </w:tc>
        <w:tc>
          <w:tcPr>
            <w:tcW w:w="22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9,405</w:t>
            </w:r>
          </w:p>
        </w:tc>
        <w:tc>
          <w:tcPr>
            <w:tcW w:w="160" w:type="dxa"/>
            <w:vAlign w:val="bottom"/>
          </w:tcPr>
          <w:p>
            <w:pPr>
              <w:ind w:left="8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18,362</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20,861</w:t>
            </w:r>
          </w:p>
        </w:tc>
      </w:tr>
      <w:tr>
        <w:trPr>
          <w:trHeight w:val="463"/>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Cumulative effect of</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changes in accounting</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for postretirement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36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benefits, net of</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tax and income taxes</w:t>
            </w:r>
          </w:p>
        </w:tc>
        <w:tc>
          <w:tcPr>
            <w:tcW w:w="120" w:type="dxa"/>
            <w:vAlign w:val="bottom"/>
          </w:tcPr>
          <w:p>
            <w:pPr>
              <w:spacing w:after="0"/>
              <w:rPr>
                <w:sz w:val="13"/>
                <w:szCs w:val="13"/>
                <w:color w:val="auto"/>
              </w:rPr>
            </w:pPr>
          </w:p>
        </w:tc>
        <w:tc>
          <w:tcPr>
            <w:tcW w:w="920" w:type="dxa"/>
            <w:vAlign w:val="bottom"/>
          </w:tcPr>
          <w:p>
            <w:pPr>
              <w:jc w:val="right"/>
              <w:ind w:right="533"/>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ind w:right="493"/>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(13,157)</w:t>
            </w:r>
          </w:p>
        </w:tc>
        <w:tc>
          <w:tcPr>
            <w:tcW w:w="20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r>
      <w:tr>
        <w:trPr>
          <w:trHeight w:val="308"/>
        </w:trPr>
        <w:tc>
          <w:tcPr>
            <w:tcW w:w="1120" w:type="dxa"/>
            <w:vAlign w:val="bottom"/>
            <w:gridSpan w:val="2"/>
          </w:tcPr>
          <w:p>
            <w:pPr>
              <w:spacing w:after="0"/>
              <w:rPr>
                <w:sz w:val="20"/>
                <w:szCs w:val="20"/>
                <w:color w:val="auto"/>
              </w:rPr>
            </w:pPr>
            <w:r>
              <w:rPr>
                <w:rFonts w:ascii="Courier New" w:cs="Courier New" w:eastAsia="Courier New" w:hAnsi="Courier New"/>
                <w:sz w:val="13"/>
                <w:szCs w:val="13"/>
                <w:color w:val="auto"/>
              </w:rPr>
              <w:t>Net income</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7,986</w:t>
            </w:r>
          </w:p>
        </w:tc>
        <w:tc>
          <w:tcPr>
            <w:tcW w:w="22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9,405</w:t>
            </w:r>
          </w:p>
        </w:tc>
        <w:tc>
          <w:tcPr>
            <w:tcW w:w="160" w:type="dxa"/>
            <w:vAlign w:val="bottom"/>
          </w:tcPr>
          <w:p>
            <w:pPr>
              <w:ind w:left="8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5,205</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20,861</w:t>
            </w:r>
          </w:p>
        </w:tc>
      </w:tr>
      <w:tr>
        <w:trPr>
          <w:trHeight w:val="308"/>
        </w:trPr>
        <w:tc>
          <w:tcPr>
            <w:tcW w:w="1120" w:type="dxa"/>
            <w:vAlign w:val="bottom"/>
            <w:gridSpan w:val="2"/>
          </w:tcPr>
          <w:p>
            <w:pPr>
              <w:spacing w:after="0"/>
              <w:rPr>
                <w:sz w:val="20"/>
                <w:szCs w:val="20"/>
                <w:color w:val="auto"/>
              </w:rPr>
            </w:pPr>
            <w:r>
              <w:rPr>
                <w:rFonts w:ascii="Courier New" w:cs="Courier New" w:eastAsia="Courier New" w:hAnsi="Courier New"/>
                <w:sz w:val="13"/>
                <w:szCs w:val="13"/>
                <w:color w:val="auto"/>
              </w:rPr>
              <w:t>Net income per</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common share:</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Income before cumulative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effect of accounting</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640" w:type="dxa"/>
            <w:vAlign w:val="bottom"/>
          </w:tcPr>
          <w:p>
            <w:pPr>
              <w:ind w:left="80"/>
              <w:spacing w:after="0"/>
              <w:rPr>
                <w:sz w:val="20"/>
                <w:szCs w:val="20"/>
                <w:color w:val="auto"/>
              </w:rPr>
            </w:pPr>
            <w:r>
              <w:rPr>
                <w:rFonts w:ascii="Courier New" w:cs="Courier New" w:eastAsia="Courier New" w:hAnsi="Courier New"/>
                <w:sz w:val="13"/>
                <w:szCs w:val="13"/>
                <w:color w:val="auto"/>
                <w:w w:val="98"/>
              </w:rPr>
              <w:t>changes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.43</w:t>
            </w:r>
          </w:p>
        </w:tc>
        <w:tc>
          <w:tcPr>
            <w:tcW w:w="22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.50</w:t>
            </w:r>
          </w:p>
        </w:tc>
        <w:tc>
          <w:tcPr>
            <w:tcW w:w="160" w:type="dxa"/>
            <w:vAlign w:val="bottom"/>
          </w:tcPr>
          <w:p>
            <w:pPr>
              <w:ind w:left="8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.92</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1.11</w:t>
            </w:r>
          </w:p>
        </w:tc>
      </w:tr>
      <w:tr>
        <w:trPr>
          <w:trHeight w:val="308"/>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spacing w:after="0"/>
              <w:rPr>
                <w:sz w:val="24"/>
                <w:szCs w:val="24"/>
                <w:color w:val="auto"/>
              </w:rPr>
            </w:pPr>
          </w:p>
        </w:tc>
        <w:tc>
          <w:tcPr>
            <w:tcW w:w="1040" w:type="dxa"/>
            <w:vAlign w:val="bottom"/>
          </w:tcPr>
          <w:p>
            <w:pPr>
              <w:jc w:val="right"/>
              <w:ind w:right="413"/>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(.66)</w:t>
            </w:r>
          </w:p>
        </w:tc>
        <w:tc>
          <w:tcPr>
            <w:tcW w:w="200" w:type="dxa"/>
            <w:vAlign w:val="bottom"/>
          </w:tcPr>
          <w:p>
            <w:pPr>
              <w:spacing w:after="0"/>
              <w:rPr>
                <w:sz w:val="24"/>
                <w:szCs w:val="24"/>
                <w:color w:val="auto"/>
              </w:rPr>
            </w:pPr>
          </w:p>
        </w:tc>
        <w:tc>
          <w:tcPr>
            <w:tcW w:w="800" w:type="dxa"/>
            <w:vAlign w:val="bottom"/>
          </w:tcPr>
          <w:p>
            <w:pPr>
              <w:jc w:val="right"/>
              <w:ind w:right="93"/>
              <w:spacing w:after="0"/>
              <w:rPr>
                <w:sz w:val="20"/>
                <w:szCs w:val="20"/>
                <w:color w:val="auto"/>
              </w:rPr>
            </w:pPr>
            <w:r>
              <w:rPr>
                <w:rFonts w:ascii="Courier New" w:cs="Courier New" w:eastAsia="Courier New" w:hAnsi="Courier New"/>
                <w:sz w:val="13"/>
                <w:szCs w:val="13"/>
                <w:color w:val="auto"/>
              </w:rPr>
              <w:t>-</w:t>
            </w:r>
          </w:p>
        </w:tc>
      </w:tr>
      <w:tr>
        <w:trPr>
          <w:trHeight w:val="154"/>
        </w:trPr>
        <w:tc>
          <w:tcPr>
            <w:tcW w:w="1120" w:type="dxa"/>
            <w:vAlign w:val="bottom"/>
            <w:gridSpan w:val="2"/>
          </w:tcPr>
          <w:p>
            <w:pPr>
              <w:spacing w:after="0"/>
              <w:rPr>
                <w:sz w:val="20"/>
                <w:szCs w:val="20"/>
                <w:color w:val="auto"/>
              </w:rPr>
            </w:pPr>
            <w:r>
              <w:rPr>
                <w:rFonts w:ascii="Courier New" w:cs="Courier New" w:eastAsia="Courier New" w:hAnsi="Courier New"/>
                <w:sz w:val="13"/>
                <w:szCs w:val="13"/>
                <w:color w:val="auto"/>
              </w:rPr>
              <w:t>Net income</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.43</w:t>
            </w:r>
          </w:p>
        </w:tc>
        <w:tc>
          <w:tcPr>
            <w:tcW w:w="22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.50</w:t>
            </w:r>
          </w:p>
        </w:tc>
        <w:tc>
          <w:tcPr>
            <w:tcW w:w="160" w:type="dxa"/>
            <w:vAlign w:val="bottom"/>
          </w:tcPr>
          <w:p>
            <w:pPr>
              <w:ind w:left="80"/>
              <w:spacing w:after="0"/>
              <w:rPr>
                <w:sz w:val="20"/>
                <w:szCs w:val="20"/>
                <w:color w:val="auto"/>
              </w:rPr>
            </w:pPr>
            <w:r>
              <w:rPr>
                <w:rFonts w:ascii="Courier New" w:cs="Courier New" w:eastAsia="Courier New" w:hAnsi="Courier New"/>
                <w:sz w:val="13"/>
                <w:szCs w:val="13"/>
                <w:color w:val="auto"/>
                <w:w w:val="76"/>
              </w:rPr>
              <w:t>$</w:t>
            </w: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.26</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1.11</w:t>
            </w:r>
          </w:p>
        </w:tc>
      </w:tr>
      <w:tr>
        <w:trPr>
          <w:trHeight w:val="308"/>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gridSpan w:val="7"/>
          </w:tcPr>
          <w:p>
            <w:pPr>
              <w:jc w:val="right"/>
              <w:ind w:right="453"/>
              <w:spacing w:after="0"/>
              <w:rPr>
                <w:sz w:val="20"/>
                <w:szCs w:val="20"/>
                <w:color w:val="auto"/>
              </w:rPr>
            </w:pPr>
            <w:r>
              <w:rPr>
                <w:rFonts w:ascii="Courier New" w:cs="Courier New" w:eastAsia="Courier New" w:hAnsi="Courier New"/>
                <w:sz w:val="13"/>
                <w:szCs w:val="13"/>
                <w:color w:val="auto"/>
              </w:rPr>
              <w:t>Computation of Weighted Average Number</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spacing w:after="0"/>
              <w:rPr>
                <w:sz w:val="20"/>
                <w:szCs w:val="20"/>
                <w:color w:val="auto"/>
              </w:rPr>
            </w:pPr>
            <w:r>
              <w:rPr>
                <w:rFonts w:ascii="Courier New" w:cs="Courier New" w:eastAsia="Courier New" w:hAnsi="Courier New"/>
                <w:sz w:val="13"/>
                <w:szCs w:val="13"/>
                <w:color w:val="auto"/>
              </w:rPr>
              <w:t>of Common Shares Outstanding</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8"/>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gridSpan w:val="4"/>
          </w:tcPr>
          <w:p>
            <w:pPr>
              <w:ind w:left="40"/>
              <w:spacing w:after="0"/>
              <w:rPr>
                <w:sz w:val="20"/>
                <w:szCs w:val="20"/>
                <w:color w:val="auto"/>
              </w:rPr>
            </w:pPr>
            <w:r>
              <w:rPr>
                <w:rFonts w:ascii="Courier New" w:cs="Courier New" w:eastAsia="Courier New" w:hAnsi="Courier New"/>
                <w:sz w:val="13"/>
                <w:szCs w:val="13"/>
                <w:color w:val="auto"/>
              </w:rPr>
              <w:t>For the Three Months Ended</w:t>
            </w:r>
          </w:p>
        </w:tc>
        <w:tc>
          <w:tcPr>
            <w:tcW w:w="208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For the Nine Months Ended</w:t>
            </w:r>
          </w:p>
        </w:tc>
      </w:tr>
      <w:tr>
        <w:trPr>
          <w:trHeight w:val="154"/>
        </w:trPr>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July 3,</w:t>
            </w:r>
          </w:p>
        </w:tc>
        <w:tc>
          <w:tcPr>
            <w:tcW w:w="220" w:type="dxa"/>
            <w:vAlign w:val="bottom"/>
          </w:tcPr>
          <w:p>
            <w:pPr>
              <w:spacing w:after="0"/>
              <w:rPr>
                <w:sz w:val="13"/>
                <w:szCs w:val="13"/>
                <w:color w:val="auto"/>
              </w:rPr>
            </w:pPr>
          </w:p>
        </w:tc>
        <w:tc>
          <w:tcPr>
            <w:tcW w:w="1040" w:type="dxa"/>
            <w:vAlign w:val="bottom"/>
          </w:tcPr>
          <w:p>
            <w:pPr>
              <w:jc w:val="right"/>
              <w:ind w:right="413"/>
              <w:spacing w:after="0"/>
              <w:rPr>
                <w:sz w:val="20"/>
                <w:szCs w:val="20"/>
                <w:color w:val="auto"/>
              </w:rPr>
            </w:pPr>
            <w:r>
              <w:rPr>
                <w:rFonts w:ascii="Courier New" w:cs="Courier New" w:eastAsia="Courier New" w:hAnsi="Courier New"/>
                <w:sz w:val="13"/>
                <w:szCs w:val="13"/>
                <w:color w:val="auto"/>
                <w:w w:val="98"/>
              </w:rPr>
              <w:t>July 2,</w:t>
            </w:r>
          </w:p>
        </w:tc>
        <w:tc>
          <w:tcPr>
            <w:tcW w:w="160" w:type="dxa"/>
            <w:vAlign w:val="bottom"/>
          </w:tcPr>
          <w:p>
            <w:pPr>
              <w:spacing w:after="0"/>
              <w:rPr>
                <w:sz w:val="13"/>
                <w:szCs w:val="13"/>
                <w:color w:val="auto"/>
              </w:rPr>
            </w:pP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July 3,</w:t>
            </w:r>
          </w:p>
        </w:tc>
        <w:tc>
          <w:tcPr>
            <w:tcW w:w="1000" w:type="dxa"/>
            <w:vAlign w:val="bottom"/>
            <w:gridSpan w:val="2"/>
          </w:tcPr>
          <w:p>
            <w:pPr>
              <w:jc w:val="right"/>
              <w:ind w:right="253"/>
              <w:spacing w:after="0"/>
              <w:rPr>
                <w:sz w:val="20"/>
                <w:szCs w:val="20"/>
                <w:color w:val="auto"/>
              </w:rPr>
            </w:pPr>
            <w:r>
              <w:rPr>
                <w:rFonts w:ascii="Courier New" w:cs="Courier New" w:eastAsia="Courier New" w:hAnsi="Courier New"/>
                <w:sz w:val="13"/>
                <w:szCs w:val="13"/>
                <w:color w:val="auto"/>
              </w:rPr>
              <w:t>July 2,</w:t>
            </w:r>
          </w:p>
        </w:tc>
      </w:tr>
      <w:tr>
        <w:trPr>
          <w:trHeight w:val="154"/>
        </w:trPr>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3"/>
              <w:spacing w:after="0"/>
              <w:rPr>
                <w:sz w:val="20"/>
                <w:szCs w:val="20"/>
                <w:color w:val="auto"/>
              </w:rPr>
            </w:pPr>
            <w:r>
              <w:rPr>
                <w:rFonts w:ascii="Courier New" w:cs="Courier New" w:eastAsia="Courier New" w:hAnsi="Courier New"/>
                <w:sz w:val="13"/>
                <w:szCs w:val="13"/>
                <w:color w:val="auto"/>
              </w:rPr>
              <w:t>1993</w:t>
            </w:r>
          </w:p>
        </w:tc>
        <w:tc>
          <w:tcPr>
            <w:tcW w:w="220" w:type="dxa"/>
            <w:vAlign w:val="bottom"/>
          </w:tcPr>
          <w:p>
            <w:pPr>
              <w:spacing w:after="0"/>
              <w:rPr>
                <w:sz w:val="13"/>
                <w:szCs w:val="13"/>
                <w:color w:val="auto"/>
              </w:rPr>
            </w:pPr>
          </w:p>
        </w:tc>
        <w:tc>
          <w:tcPr>
            <w:tcW w:w="1040" w:type="dxa"/>
            <w:vAlign w:val="bottom"/>
          </w:tcPr>
          <w:p>
            <w:pPr>
              <w:jc w:val="right"/>
              <w:ind w:right="573"/>
              <w:spacing w:after="0"/>
              <w:rPr>
                <w:sz w:val="20"/>
                <w:szCs w:val="20"/>
                <w:color w:val="auto"/>
              </w:rPr>
            </w:pPr>
            <w:r>
              <w:rPr>
                <w:rFonts w:ascii="Courier New" w:cs="Courier New" w:eastAsia="Courier New" w:hAnsi="Courier New"/>
                <w:sz w:val="13"/>
                <w:szCs w:val="13"/>
                <w:color w:val="auto"/>
              </w:rPr>
              <w:t>1994</w:t>
            </w:r>
          </w:p>
        </w:tc>
        <w:tc>
          <w:tcPr>
            <w:tcW w:w="16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1993</w:t>
            </w:r>
          </w:p>
        </w:tc>
        <w:tc>
          <w:tcPr>
            <w:tcW w:w="200" w:type="dxa"/>
            <w:vAlign w:val="bottom"/>
          </w:tcPr>
          <w:p>
            <w:pPr>
              <w:spacing w:after="0"/>
              <w:rPr>
                <w:sz w:val="13"/>
                <w:szCs w:val="13"/>
                <w:color w:val="auto"/>
              </w:rPr>
            </w:pPr>
          </w:p>
        </w:tc>
        <w:tc>
          <w:tcPr>
            <w:tcW w:w="800" w:type="dxa"/>
            <w:vAlign w:val="bottom"/>
          </w:tcPr>
          <w:p>
            <w:pPr>
              <w:jc w:val="right"/>
              <w:ind w:right="413"/>
              <w:spacing w:after="0"/>
              <w:rPr>
                <w:sz w:val="20"/>
                <w:szCs w:val="20"/>
                <w:color w:val="auto"/>
              </w:rPr>
            </w:pPr>
            <w:r>
              <w:rPr>
                <w:rFonts w:ascii="Courier New" w:cs="Courier New" w:eastAsia="Courier New" w:hAnsi="Courier New"/>
                <w:sz w:val="13"/>
                <w:szCs w:val="13"/>
                <w:color w:val="auto"/>
                <w:w w:val="95"/>
              </w:rPr>
              <w:t>1994</w:t>
            </w:r>
          </w:p>
        </w:tc>
      </w:tr>
      <w:tr>
        <w:trPr>
          <w:trHeight w:val="308"/>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Weighted average common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shares outstanding</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during the period</w:t>
            </w:r>
          </w:p>
        </w:tc>
        <w:tc>
          <w:tcPr>
            <w:tcW w:w="12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9"/>
              </w:rPr>
              <w:t>18,658,535</w:t>
            </w:r>
          </w:p>
        </w:tc>
        <w:tc>
          <w:tcPr>
            <w:tcW w:w="22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w w:val="99"/>
              </w:rPr>
              <w:t>18,667,064</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3"/>
                <w:szCs w:val="13"/>
                <w:color w:val="auto"/>
              </w:rPr>
              <w:t>19,935,979</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18,661,667</w:t>
            </w:r>
          </w:p>
        </w:tc>
      </w:tr>
      <w:tr>
        <w:trPr>
          <w:trHeight w:val="308"/>
        </w:trPr>
        <w:tc>
          <w:tcPr>
            <w:tcW w:w="1360" w:type="dxa"/>
            <w:vAlign w:val="bottom"/>
            <w:gridSpan w:val="3"/>
          </w:tcPr>
          <w:p>
            <w:pPr>
              <w:spacing w:after="0"/>
              <w:rPr>
                <w:sz w:val="20"/>
                <w:szCs w:val="20"/>
                <w:color w:val="auto"/>
              </w:rPr>
            </w:pPr>
            <w:r>
              <w:rPr>
                <w:rFonts w:ascii="Courier New" w:cs="Courier New" w:eastAsia="Courier New" w:hAnsi="Courier New"/>
                <w:sz w:val="13"/>
                <w:szCs w:val="13"/>
                <w:color w:val="auto"/>
              </w:rPr>
              <w:t>Effect of options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outstanding based upon</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2080" w:type="dxa"/>
            <w:vAlign w:val="bottom"/>
            <w:gridSpan w:val="5"/>
          </w:tcPr>
          <w:p>
            <w:pPr>
              <w:spacing w:after="0"/>
              <w:rPr>
                <w:sz w:val="20"/>
                <w:szCs w:val="20"/>
                <w:color w:val="auto"/>
              </w:rPr>
            </w:pPr>
            <w:r>
              <w:rPr>
                <w:rFonts w:ascii="Courier New" w:cs="Courier New" w:eastAsia="Courier New" w:hAnsi="Courier New"/>
                <w:sz w:val="13"/>
                <w:szCs w:val="13"/>
                <w:color w:val="auto"/>
              </w:rPr>
              <w:t>the Treasury Stock Method: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ind w:left="160"/>
              <w:spacing w:after="0"/>
              <w:rPr>
                <w:sz w:val="20"/>
                <w:szCs w:val="20"/>
                <w:color w:val="auto"/>
              </w:rPr>
            </w:pPr>
            <w:r>
              <w:rPr>
                <w:rFonts w:ascii="Courier New" w:cs="Courier New" w:eastAsia="Courier New" w:hAnsi="Courier New"/>
                <w:sz w:val="13"/>
                <w:szCs w:val="13"/>
                <w:color w:val="auto"/>
              </w:rPr>
              <w:t>Performance shares</w:t>
            </w:r>
          </w:p>
        </w:tc>
        <w:tc>
          <w:tcPr>
            <w:tcW w:w="12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13,042</w:t>
            </w:r>
          </w:p>
        </w:tc>
        <w:tc>
          <w:tcPr>
            <w:tcW w:w="22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56,607</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3"/>
                <w:szCs w:val="13"/>
                <w:color w:val="auto"/>
              </w:rPr>
              <w:t>17,489</w:t>
            </w:r>
          </w:p>
        </w:tc>
        <w:tc>
          <w:tcPr>
            <w:tcW w:w="2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76,016</w:t>
            </w:r>
          </w:p>
        </w:tc>
      </w:tr>
      <w:tr>
        <w:trPr>
          <w:trHeight w:val="308"/>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December 1992 - 300,000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at $ 18.00</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13"/>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5,722</w:t>
            </w:r>
          </w:p>
        </w:tc>
      </w:tr>
      <w:tr>
        <w:trPr>
          <w:trHeight w:val="154"/>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November 1992 - 123,925</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at $ 16.25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8,969</w:t>
            </w:r>
          </w:p>
        </w:tc>
        <w:tc>
          <w:tcPr>
            <w:tcW w:w="22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12,754</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3"/>
                <w:szCs w:val="13"/>
                <w:color w:val="auto"/>
              </w:rPr>
              <w:t>11,716</w:t>
            </w:r>
          </w:p>
        </w:tc>
        <w:tc>
          <w:tcPr>
            <w:tcW w:w="2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16,471</w:t>
            </w:r>
          </w:p>
        </w:tc>
      </w:tr>
      <w:tr>
        <w:trPr>
          <w:trHeight w:val="308"/>
        </w:trPr>
        <w:tc>
          <w:tcPr>
            <w:tcW w:w="640" w:type="dxa"/>
            <w:vAlign w:val="bottom"/>
          </w:tcPr>
          <w:p>
            <w:pPr>
              <w:spacing w:after="0"/>
              <w:rPr>
                <w:sz w:val="20"/>
                <w:szCs w:val="20"/>
                <w:color w:val="auto"/>
              </w:rPr>
            </w:pPr>
            <w:r>
              <w:rPr>
                <w:rFonts w:ascii="Courier New" w:cs="Courier New" w:eastAsia="Courier New" w:hAnsi="Courier New"/>
                <w:sz w:val="13"/>
                <w:szCs w:val="13"/>
                <w:color w:val="auto"/>
              </w:rPr>
              <w:t>January</w:t>
            </w:r>
          </w:p>
        </w:tc>
        <w:tc>
          <w:tcPr>
            <w:tcW w:w="48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5"/>
              </w:rPr>
              <w:t>1992</w:t>
            </w:r>
          </w:p>
        </w:tc>
        <w:tc>
          <w:tcPr>
            <w:tcW w:w="84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w w:val="99"/>
              </w:rPr>
              <w:t>- 136,364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40" w:type="dxa"/>
            <w:vAlign w:val="bottom"/>
          </w:tcPr>
          <w:p>
            <w:pPr>
              <w:ind w:left="80"/>
              <w:spacing w:after="0"/>
              <w:rPr>
                <w:sz w:val="20"/>
                <w:szCs w:val="20"/>
                <w:color w:val="auto"/>
              </w:rPr>
            </w:pPr>
            <w:r>
              <w:rPr>
                <w:rFonts w:ascii="Courier New" w:cs="Courier New" w:eastAsia="Courier New" w:hAnsi="Courier New"/>
                <w:sz w:val="13"/>
                <w:szCs w:val="13"/>
                <w:color w:val="auto"/>
              </w:rPr>
              <w:t>at $</w:t>
            </w:r>
          </w:p>
        </w:tc>
        <w:tc>
          <w:tcPr>
            <w:tcW w:w="480" w:type="dxa"/>
            <w:vAlign w:val="bottom"/>
          </w:tcPr>
          <w:p>
            <w:pPr>
              <w:jc w:val="right"/>
              <w:ind w:right="93"/>
              <w:spacing w:after="0"/>
              <w:rPr>
                <w:sz w:val="20"/>
                <w:szCs w:val="20"/>
                <w:color w:val="auto"/>
              </w:rPr>
            </w:pPr>
            <w:r>
              <w:rPr>
                <w:rFonts w:ascii="Courier New" w:cs="Courier New" w:eastAsia="Courier New" w:hAnsi="Courier New"/>
                <w:sz w:val="13"/>
                <w:szCs w:val="13"/>
                <w:color w:val="auto"/>
                <w:w w:val="95"/>
              </w:rPr>
              <w:t>9.90</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63,206</w:t>
            </w:r>
          </w:p>
        </w:tc>
        <w:tc>
          <w:tcPr>
            <w:tcW w:w="22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68,801</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3"/>
                <w:szCs w:val="13"/>
                <w:color w:val="auto"/>
              </w:rPr>
              <w:t>64,733</w:t>
            </w:r>
          </w:p>
        </w:tc>
        <w:tc>
          <w:tcPr>
            <w:tcW w:w="2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70,715</w:t>
            </w:r>
          </w:p>
        </w:tc>
      </w:tr>
      <w:tr>
        <w:trPr>
          <w:trHeight w:val="308"/>
        </w:trPr>
        <w:tc>
          <w:tcPr>
            <w:tcW w:w="1120" w:type="dxa"/>
            <w:vAlign w:val="bottom"/>
            <w:gridSpan w:val="2"/>
          </w:tcPr>
          <w:p>
            <w:pPr>
              <w:spacing w:after="0"/>
              <w:rPr>
                <w:sz w:val="20"/>
                <w:szCs w:val="20"/>
                <w:color w:val="auto"/>
              </w:rPr>
            </w:pPr>
            <w:r>
              <w:rPr>
                <w:rFonts w:ascii="Courier New" w:cs="Courier New" w:eastAsia="Courier New" w:hAnsi="Courier New"/>
                <w:sz w:val="13"/>
                <w:szCs w:val="13"/>
                <w:color w:val="auto"/>
              </w:rPr>
              <w:t>June 1992</w:t>
            </w:r>
          </w:p>
        </w:tc>
        <w:tc>
          <w:tcPr>
            <w:tcW w:w="240" w:type="dxa"/>
            <w:vAlign w:val="bottom"/>
          </w:tcPr>
          <w:p>
            <w:pPr>
              <w:jc w:val="right"/>
              <w:ind w:right="93"/>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8"/>
              </w:rPr>
              <w:t>15,000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at $ 16.25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1,330</w:t>
            </w: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1,717</w:t>
            </w:r>
          </w:p>
        </w:tc>
      </w:tr>
      <w:tr>
        <w:trPr>
          <w:trHeight w:val="308"/>
        </w:trPr>
        <w:tc>
          <w:tcPr>
            <w:tcW w:w="1120" w:type="dxa"/>
            <w:vAlign w:val="bottom"/>
            <w:gridSpan w:val="2"/>
          </w:tcPr>
          <w:p>
            <w:pPr>
              <w:spacing w:after="0"/>
              <w:rPr>
                <w:sz w:val="20"/>
                <w:szCs w:val="20"/>
                <w:color w:val="auto"/>
              </w:rPr>
            </w:pPr>
            <w:r>
              <w:rPr>
                <w:rFonts w:ascii="Courier New" w:cs="Courier New" w:eastAsia="Courier New" w:hAnsi="Courier New"/>
                <w:sz w:val="13"/>
                <w:szCs w:val="13"/>
                <w:color w:val="auto"/>
              </w:rPr>
              <w:t>October 1993</w:t>
            </w:r>
          </w:p>
        </w:tc>
        <w:tc>
          <w:tcPr>
            <w:tcW w:w="840" w:type="dxa"/>
            <w:vAlign w:val="bottom"/>
            <w:gridSpan w:val="2"/>
          </w:tcPr>
          <w:p>
            <w:pPr>
              <w:jc w:val="right"/>
              <w:ind w:right="53"/>
              <w:spacing w:after="0"/>
              <w:rPr>
                <w:sz w:val="20"/>
                <w:szCs w:val="20"/>
                <w:color w:val="auto"/>
              </w:rPr>
            </w:pPr>
            <w:r>
              <w:rPr>
                <w:rFonts w:ascii="Courier New" w:cs="Courier New" w:eastAsia="Courier New" w:hAnsi="Courier New"/>
                <w:sz w:val="13"/>
                <w:szCs w:val="13"/>
                <w:color w:val="auto"/>
                <w:w w:val="99"/>
              </w:rPr>
              <w:t>- 129,950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at $ 17.25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3"/>
                <w:szCs w:val="13"/>
                <w:color w:val="auto"/>
              </w:rPr>
              <w:t>4,227</w:t>
            </w: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7,790</w:t>
            </w:r>
          </w:p>
        </w:tc>
      </w:tr>
      <w:tr>
        <w:trPr>
          <w:trHeight w:val="308"/>
        </w:trPr>
        <w:tc>
          <w:tcPr>
            <w:tcW w:w="1120" w:type="dxa"/>
            <w:vAlign w:val="bottom"/>
            <w:gridSpan w:val="2"/>
          </w:tcPr>
          <w:p>
            <w:pPr>
              <w:spacing w:after="0"/>
              <w:rPr>
                <w:sz w:val="20"/>
                <w:szCs w:val="20"/>
                <w:color w:val="auto"/>
              </w:rPr>
            </w:pPr>
            <w:r>
              <w:rPr>
                <w:rFonts w:ascii="Courier New" w:cs="Courier New" w:eastAsia="Courier New" w:hAnsi="Courier New"/>
                <w:sz w:val="13"/>
                <w:szCs w:val="13"/>
                <w:color w:val="auto"/>
              </w:rPr>
              <w:t>March 1993</w:t>
            </w:r>
          </w:p>
        </w:tc>
        <w:tc>
          <w:tcPr>
            <w:tcW w:w="240" w:type="dxa"/>
            <w:vAlign w:val="bottom"/>
          </w:tcPr>
          <w:p>
            <w:pPr>
              <w:jc w:val="right"/>
              <w:ind w:right="93"/>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ind w:right="53"/>
              <w:spacing w:after="0"/>
              <w:rPr>
                <w:sz w:val="20"/>
                <w:szCs w:val="20"/>
                <w:color w:val="auto"/>
              </w:rPr>
            </w:pPr>
            <w:r>
              <w:rPr>
                <w:rFonts w:ascii="Courier New" w:cs="Courier New" w:eastAsia="Courier New" w:hAnsi="Courier New"/>
                <w:sz w:val="13"/>
                <w:szCs w:val="13"/>
                <w:color w:val="auto"/>
                <w:w w:val="98"/>
              </w:rPr>
              <w:t>24,000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at $ 18.25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Courier New" w:cs="Courier New" w:eastAsia="Courier New" w:hAnsi="Courier New"/>
                <w:sz w:val="13"/>
                <w:szCs w:val="13"/>
                <w:color w:val="auto"/>
              </w:rPr>
              <w:t>131</w:t>
            </w:r>
          </w:p>
        </w:tc>
      </w:tr>
      <w:tr>
        <w:trPr>
          <w:trHeight w:val="463"/>
        </w:trPr>
        <w:tc>
          <w:tcPr>
            <w:tcW w:w="1960" w:type="dxa"/>
            <w:vAlign w:val="bottom"/>
            <w:gridSpan w:val="4"/>
          </w:tcPr>
          <w:p>
            <w:pPr>
              <w:spacing w:after="0"/>
              <w:rPr>
                <w:sz w:val="20"/>
                <w:szCs w:val="20"/>
                <w:color w:val="auto"/>
              </w:rPr>
            </w:pPr>
            <w:r>
              <w:rPr>
                <w:rFonts w:ascii="Courier New" w:cs="Courier New" w:eastAsia="Courier New" w:hAnsi="Courier New"/>
                <w:sz w:val="13"/>
                <w:szCs w:val="13"/>
                <w:color w:val="auto"/>
              </w:rPr>
              <w:t>Weighted average common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shares outstanding</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during the period for</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960" w:type="dxa"/>
            <w:vAlign w:val="bottom"/>
            <w:gridSpan w:val="4"/>
          </w:tcPr>
          <w:p>
            <w:pPr>
              <w:ind w:left="80"/>
              <w:spacing w:after="0"/>
              <w:rPr>
                <w:sz w:val="20"/>
                <w:szCs w:val="20"/>
                <w:color w:val="auto"/>
              </w:rPr>
            </w:pPr>
            <w:r>
              <w:rPr>
                <w:rFonts w:ascii="Courier New" w:cs="Courier New" w:eastAsia="Courier New" w:hAnsi="Courier New"/>
                <w:sz w:val="13"/>
                <w:szCs w:val="13"/>
                <w:color w:val="auto"/>
              </w:rPr>
              <w:t>computing net income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(loss) per</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112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common share</w:t>
            </w:r>
          </w:p>
        </w:tc>
        <w:tc>
          <w:tcPr>
            <w:tcW w:w="240" w:type="dxa"/>
            <w:vAlign w:val="bottom"/>
          </w:tcPr>
          <w:p>
            <w:pPr>
              <w:spacing w:after="0"/>
              <w:rPr>
                <w:sz w:val="13"/>
                <w:szCs w:val="13"/>
                <w:color w:val="auto"/>
              </w:rPr>
            </w:pPr>
          </w:p>
        </w:tc>
        <w:tc>
          <w:tcPr>
            <w:tcW w:w="1640" w:type="dxa"/>
            <w:vAlign w:val="bottom"/>
            <w:gridSpan w:val="3"/>
          </w:tcPr>
          <w:p>
            <w:pPr>
              <w:jc w:val="right"/>
              <w:ind w:right="533"/>
              <w:spacing w:after="0"/>
              <w:rPr>
                <w:sz w:val="20"/>
                <w:szCs w:val="20"/>
                <w:color w:val="auto"/>
              </w:rPr>
            </w:pPr>
            <w:r>
              <w:rPr>
                <w:rFonts w:ascii="Courier New" w:cs="Courier New" w:eastAsia="Courier New" w:hAnsi="Courier New"/>
                <w:sz w:val="13"/>
                <w:szCs w:val="13"/>
                <w:color w:val="auto"/>
              </w:rPr>
              <w:t>18,743,752</w:t>
            </w:r>
          </w:p>
        </w:tc>
        <w:tc>
          <w:tcPr>
            <w:tcW w:w="126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18,810,783</w:t>
            </w:r>
          </w:p>
        </w:tc>
        <w:tc>
          <w:tcPr>
            <w:tcW w:w="1080" w:type="dxa"/>
            <w:vAlign w:val="bottom"/>
            <w:gridSpan w:val="2"/>
          </w:tcPr>
          <w:p>
            <w:pPr>
              <w:jc w:val="right"/>
              <w:ind w:right="133"/>
              <w:spacing w:after="0"/>
              <w:rPr>
                <w:sz w:val="20"/>
                <w:szCs w:val="20"/>
                <w:color w:val="auto"/>
              </w:rPr>
            </w:pPr>
            <w:r>
              <w:rPr>
                <w:rFonts w:ascii="Courier New" w:cs="Courier New" w:eastAsia="Courier New" w:hAnsi="Courier New"/>
                <w:sz w:val="13"/>
                <w:szCs w:val="13"/>
                <w:color w:val="auto"/>
              </w:rPr>
              <w:t>20,029,917</w:t>
            </w:r>
          </w:p>
        </w:tc>
        <w:tc>
          <w:tcPr>
            <w:tcW w:w="1000" w:type="dxa"/>
            <w:vAlign w:val="bottom"/>
            <w:gridSpan w:val="2"/>
          </w:tcPr>
          <w:p>
            <w:pPr>
              <w:jc w:val="right"/>
              <w:ind w:right="13"/>
              <w:spacing w:after="0"/>
              <w:rPr>
                <w:sz w:val="20"/>
                <w:szCs w:val="20"/>
                <w:color w:val="auto"/>
              </w:rPr>
            </w:pPr>
            <w:r>
              <w:rPr>
                <w:rFonts w:ascii="Courier New" w:cs="Courier New" w:eastAsia="Courier New" w:hAnsi="Courier New"/>
                <w:sz w:val="13"/>
                <w:szCs w:val="13"/>
                <w:color w:val="auto"/>
              </w:rPr>
              <w:t>18,840,229</w:t>
            </w:r>
          </w:p>
        </w:tc>
      </w:tr>
    </w:tbl>
    <w:p>
      <w:pPr>
        <w:spacing w:after="0" w:line="200" w:lineRule="exact"/>
        <w:rPr>
          <w:sz w:val="20"/>
          <w:szCs w:val="20"/>
          <w:color w:val="auto"/>
        </w:rPr>
      </w:pPr>
    </w:p>
    <w:p>
      <w:pPr>
        <w:spacing w:after="0" w:line="268" w:lineRule="exact"/>
        <w:rPr>
          <w:sz w:val="20"/>
          <w:szCs w:val="20"/>
          <w:color w:val="auto"/>
        </w:rPr>
      </w:pPr>
    </w:p>
    <w:p>
      <w:pPr>
        <w:ind w:right="2859"/>
        <w:spacing w:after="0" w:line="254" w:lineRule="auto"/>
        <w:rPr>
          <w:sz w:val="20"/>
          <w:szCs w:val="20"/>
          <w:color w:val="auto"/>
        </w:rPr>
      </w:pPr>
      <w:r>
        <w:rPr>
          <w:rFonts w:ascii="Courier New" w:cs="Courier New" w:eastAsia="Courier New" w:hAnsi="Courier New"/>
          <w:sz w:val="13"/>
          <w:szCs w:val="13"/>
          <w:color w:val="auto"/>
        </w:rPr>
        <w:t>Fully diluted weighted average shares outstanding were not materially different than primary weighted average shares outstanding for the periods presented.</w:t>
      </w:r>
    </w:p>
    <w:sectPr>
      <w:pgSz w:w="11900" w:h="16838" w:orient="portrait"/>
      <w:cols w:equalWidth="0" w:num="1">
        <w:col w:w="10239"/>
      </w:cols>
      <w:pgMar w:left="220" w:top="4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513"/>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2019-12-19T23:46:55Z</dcterms:created>
  <dcterms:modified xsi:type="dcterms:W3CDTF">2019-12-19T23:46:55Z</dcterms:modified>
</cp:coreProperties>
</file>